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431800</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457200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62" w:lineRule="exact"/>
        <w:rPr>
          <w:sz w:val="24"/>
          <w:szCs w:val="24"/>
          <w:color w:val="auto"/>
        </w:rPr>
      </w:pPr>
    </w:p>
    <w:p>
      <w:pPr>
        <w:jc w:val="center"/>
        <w:ind w:right="-119"/>
        <w:spacing w:after="0"/>
        <w:tabs>
          <w:tab w:leader="none" w:pos="300" w:val="left"/>
        </w:tabs>
        <w:rPr>
          <w:sz w:val="20"/>
          <w:szCs w:val="20"/>
          <w:color w:val="auto"/>
        </w:rPr>
      </w:pPr>
      <w:r>
        <w:rPr>
          <w:rFonts w:ascii="Arial" w:cs="Arial" w:eastAsia="Arial" w:hAnsi="Arial"/>
          <w:sz w:val="32"/>
          <w:szCs w:val="32"/>
          <w:b w:val="1"/>
          <w:bCs w:val="1"/>
          <w:color w:val="auto"/>
        </w:rPr>
        <w:t>Form</w:t>
        <w:tab/>
        <w:t>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33020</wp:posOffset>
            </wp:positionV>
            <wp:extent cx="14484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843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-214630</wp:posOffset>
            </wp:positionV>
            <wp:extent cx="14484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33" w:lineRule="exact"/>
        <w:rPr>
          <w:sz w:val="24"/>
          <w:szCs w:val="24"/>
          <w:color w:val="auto"/>
        </w:rPr>
      </w:pPr>
    </w:p>
    <w:p>
      <w:pPr>
        <w:ind w:left="3900" w:right="3160" w:hanging="3656"/>
        <w:spacing w:after="0" w:line="423" w:lineRule="auto"/>
        <w:tabs>
          <w:tab w:leader="none" w:pos="673" w:val="left"/>
        </w:tabs>
        <w:numPr>
          <w:ilvl w:val="0"/>
          <w:numId w:val="1"/>
        </w:numPr>
        <w:rPr>
          <w:rFonts w:ascii="MS PGothic" w:cs="MS PGothic" w:eastAsia="MS PGothic" w:hAnsi="MS PGothic"/>
          <w:sz w:val="20"/>
          <w:szCs w:val="20"/>
          <w:color w:val="auto"/>
        </w:rPr>
      </w:pPr>
      <w:r>
        <w:rPr>
          <w:rFonts w:ascii="Arial" w:cs="Arial" w:eastAsia="Arial" w:hAnsi="Arial"/>
          <w:sz w:val="14"/>
          <w:szCs w:val="14"/>
          <w:b w:val="1"/>
          <w:bCs w:val="1"/>
          <w:color w:val="auto"/>
        </w:rPr>
        <w:t>QUARTERLY REPORT PURSUANT TO SECTION 13 OR 15(d) OF THE SECURITIES EXCHANGE ACT OF 1934 For the quarterly period ended September-30-2020</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OR</w:t>
      </w:r>
    </w:p>
    <w:p>
      <w:pPr>
        <w:spacing w:after="0" w:line="123" w:lineRule="exact"/>
        <w:rPr>
          <w:sz w:val="24"/>
          <w:szCs w:val="24"/>
          <w:color w:val="auto"/>
        </w:rPr>
      </w:pPr>
    </w:p>
    <w:p>
      <w:pPr>
        <w:ind w:left="4080" w:right="3160" w:hanging="3829"/>
        <w:spacing w:after="0" w:line="396" w:lineRule="auto"/>
        <w:tabs>
          <w:tab w:leader="none" w:pos="682" w:val="left"/>
        </w:tabs>
        <w:numPr>
          <w:ilvl w:val="0"/>
          <w:numId w:val="2"/>
        </w:numPr>
        <w:rPr>
          <w:rFonts w:ascii="MS PGothic" w:cs="MS PGothic" w:eastAsia="MS PGothic" w:hAnsi="MS PGothic"/>
          <w:sz w:val="22"/>
          <w:szCs w:val="22"/>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 to _____</w:t>
      </w:r>
    </w:p>
    <w:p>
      <w:pPr>
        <w:spacing w:after="0" w:line="6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No. 001-10308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267335</wp:posOffset>
            </wp:positionV>
            <wp:extent cx="1448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Avis Budget Group, Inc.</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p>
      <w:pPr>
        <w:sectPr>
          <w:pgSz w:w="11900" w:h="16838" w:orient="portrait"/>
          <w:cols w:equalWidth="0" w:num="1">
            <w:col w:w="11220"/>
          </w:cols>
          <w:pgMar w:left="320" w:top="225" w:right="359" w:bottom="1440" w:gutter="0" w:footer="0" w:header="0"/>
        </w:sectPr>
      </w:pPr>
    </w:p>
    <w:p>
      <w:pPr>
        <w:spacing w:after="0" w:line="161" w:lineRule="exact"/>
        <w:rPr>
          <w:sz w:val="24"/>
          <w:szCs w:val="24"/>
          <w:color w:val="auto"/>
        </w:rPr>
      </w:pPr>
    </w:p>
    <w:p>
      <w:pPr>
        <w:ind w:left="1340"/>
        <w:spacing w:after="0"/>
        <w:rPr>
          <w:sz w:val="20"/>
          <w:szCs w:val="20"/>
          <w:color w:val="auto"/>
        </w:rPr>
      </w:pPr>
      <w:r>
        <w:rPr>
          <w:rFonts w:ascii="Arial" w:cs="Arial" w:eastAsia="Arial" w:hAnsi="Arial"/>
          <w:sz w:val="14"/>
          <w:szCs w:val="14"/>
          <w:b w:val="1"/>
          <w:bCs w:val="1"/>
          <w:color w:val="auto"/>
        </w:rPr>
        <w:t>Delaware</w:t>
      </w:r>
    </w:p>
    <w:p>
      <w:pPr>
        <w:spacing w:after="0" w:line="22" w:lineRule="exact"/>
        <w:rPr>
          <w:sz w:val="24"/>
          <w:szCs w:val="24"/>
          <w:color w:val="auto"/>
        </w:rPr>
      </w:pPr>
    </w:p>
    <w:p>
      <w:pPr>
        <w:ind w:left="860"/>
        <w:spacing w:after="0"/>
        <w:rPr>
          <w:sz w:val="20"/>
          <w:szCs w:val="20"/>
          <w:color w:val="auto"/>
        </w:rPr>
      </w:pPr>
      <w:r>
        <w:rPr>
          <w:rFonts w:ascii="Arial" w:cs="Arial" w:eastAsia="Arial" w:hAnsi="Arial"/>
          <w:sz w:val="14"/>
          <w:szCs w:val="14"/>
          <w:i w:val="1"/>
          <w:iCs w:val="1"/>
          <w:color w:val="auto"/>
        </w:rPr>
        <w:t>(State or other jurisdiction of</w:t>
      </w:r>
    </w:p>
    <w:p>
      <w:pPr>
        <w:ind w:left="820"/>
        <w:spacing w:after="0"/>
        <w:rPr>
          <w:sz w:val="20"/>
          <w:szCs w:val="20"/>
          <w:color w:val="auto"/>
        </w:rPr>
      </w:pPr>
      <w:r>
        <w:rPr>
          <w:rFonts w:ascii="Arial" w:cs="Arial" w:eastAsia="Arial" w:hAnsi="Arial"/>
          <w:sz w:val="14"/>
          <w:szCs w:val="14"/>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jc w:val="center"/>
        <w:ind w:right="960"/>
        <w:spacing w:after="0"/>
        <w:rPr>
          <w:sz w:val="20"/>
          <w:szCs w:val="20"/>
          <w:color w:val="auto"/>
        </w:rPr>
      </w:pPr>
      <w:r>
        <w:rPr>
          <w:rFonts w:ascii="Arial" w:cs="Arial" w:eastAsia="Arial" w:hAnsi="Arial"/>
          <w:sz w:val="14"/>
          <w:szCs w:val="14"/>
          <w:b w:val="1"/>
          <w:bCs w:val="1"/>
          <w:color w:val="auto"/>
        </w:rPr>
        <w:t>06-0918165</w:t>
      </w:r>
    </w:p>
    <w:p>
      <w:pPr>
        <w:spacing w:after="0" w:line="22" w:lineRule="exact"/>
        <w:rPr>
          <w:sz w:val="24"/>
          <w:szCs w:val="24"/>
          <w:color w:val="auto"/>
        </w:rPr>
      </w:pPr>
    </w:p>
    <w:p>
      <w:pPr>
        <w:jc w:val="center"/>
        <w:ind w:right="960"/>
        <w:spacing w:after="0"/>
        <w:rPr>
          <w:sz w:val="20"/>
          <w:szCs w:val="20"/>
          <w:color w:val="auto"/>
        </w:rPr>
      </w:pPr>
      <w:r>
        <w:rPr>
          <w:rFonts w:ascii="Arial" w:cs="Arial" w:eastAsia="Arial" w:hAnsi="Arial"/>
          <w:sz w:val="14"/>
          <w:szCs w:val="14"/>
          <w:i w:val="1"/>
          <w:iCs w:val="1"/>
          <w:color w:val="auto"/>
        </w:rPr>
        <w:t>(I.R.S. Employer</w:t>
      </w:r>
    </w:p>
    <w:p>
      <w:pPr>
        <w:jc w:val="center"/>
        <w:ind w:right="960"/>
        <w:spacing w:after="0"/>
        <w:rPr>
          <w:sz w:val="20"/>
          <w:szCs w:val="20"/>
          <w:color w:val="auto"/>
        </w:rPr>
      </w:pPr>
      <w:r>
        <w:rPr>
          <w:rFonts w:ascii="Arial" w:cs="Arial" w:eastAsia="Arial" w:hAnsi="Arial"/>
          <w:sz w:val="14"/>
          <w:szCs w:val="14"/>
          <w:i w:val="1"/>
          <w:iCs w:val="1"/>
          <w:color w:val="auto"/>
        </w:rPr>
        <w:t>Identification Number)</w:t>
      </w:r>
    </w:p>
    <w:p>
      <w:pPr>
        <w:spacing w:after="0" w:line="15" w:lineRule="exact"/>
        <w:rPr>
          <w:sz w:val="24"/>
          <w:szCs w:val="24"/>
          <w:color w:val="auto"/>
        </w:rPr>
      </w:pPr>
    </w:p>
    <w:p>
      <w:pPr>
        <w:sectPr>
          <w:pgSz w:w="11900" w:h="16838" w:orient="portrait"/>
          <w:cols w:equalWidth="0" w:num="2">
            <w:col w:w="8140" w:space="720"/>
            <w:col w:w="2360"/>
          </w:cols>
          <w:pgMar w:left="320" w:top="225" w:right="359" w:bottom="1440" w:gutter="0" w:footer="0" w:header="0"/>
          <w:type w:val="continuous"/>
        </w:sectPr>
      </w:pPr>
    </w:p>
    <w:p>
      <w:pPr>
        <w:ind w:left="1200"/>
        <w:spacing w:after="0"/>
        <w:rPr>
          <w:sz w:val="20"/>
          <w:szCs w:val="20"/>
          <w:color w:val="auto"/>
        </w:rPr>
      </w:pPr>
      <w:r>
        <w:rPr>
          <w:rFonts w:ascii="Arial" w:cs="Arial" w:eastAsia="Arial" w:hAnsi="Arial"/>
          <w:sz w:val="14"/>
          <w:szCs w:val="14"/>
          <w:b w:val="1"/>
          <w:bCs w:val="1"/>
          <w:color w:val="auto"/>
        </w:rPr>
        <w:t>6 Sylvan Way</w:t>
      </w:r>
    </w:p>
    <w:p>
      <w:pPr>
        <w:sectPr>
          <w:pgSz w:w="11900" w:h="16838" w:orient="portrait"/>
          <w:cols w:equalWidth="0" w:num="1">
            <w:col w:w="11220"/>
          </w:cols>
          <w:pgMar w:left="320" w:top="225" w:right="359" w:bottom="1440" w:gutter="0" w:footer="0" w:header="0"/>
          <w:type w:val="continuous"/>
        </w:sectPr>
      </w:pPr>
    </w:p>
    <w:p>
      <w:pPr>
        <w:spacing w:after="0" w:line="34" w:lineRule="exact"/>
        <w:rPr>
          <w:sz w:val="24"/>
          <w:szCs w:val="24"/>
          <w:color w:val="auto"/>
        </w:rPr>
      </w:pPr>
    </w:p>
    <w:p>
      <w:pPr>
        <w:ind w:left="1060"/>
        <w:spacing w:after="0"/>
        <w:tabs>
          <w:tab w:leader="none" w:pos="2100" w:val="left"/>
        </w:tabs>
        <w:rPr>
          <w:sz w:val="20"/>
          <w:szCs w:val="20"/>
          <w:color w:val="auto"/>
        </w:rPr>
      </w:pPr>
      <w:r>
        <w:rPr>
          <w:rFonts w:ascii="Arial" w:cs="Arial" w:eastAsia="Arial" w:hAnsi="Arial"/>
          <w:sz w:val="14"/>
          <w:szCs w:val="14"/>
          <w:b w:val="1"/>
          <w:bCs w:val="1"/>
          <w:color w:val="auto"/>
        </w:rPr>
        <w:t>Parsippany,</w:t>
      </w:r>
      <w:r>
        <w:rPr>
          <w:sz w:val="20"/>
          <w:szCs w:val="20"/>
          <w:color w:val="auto"/>
        </w:rPr>
        <w:tab/>
      </w:r>
      <w:r>
        <w:rPr>
          <w:rFonts w:ascii="Arial" w:cs="Arial" w:eastAsia="Arial" w:hAnsi="Arial"/>
          <w:sz w:val="14"/>
          <w:szCs w:val="14"/>
          <w:b w:val="1"/>
          <w:bCs w:val="1"/>
          <w:color w:val="auto"/>
        </w:rPr>
        <w:t>NJ</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07054</w:t>
      </w:r>
    </w:p>
    <w:p>
      <w:pPr>
        <w:spacing w:after="0" w:line="28" w:lineRule="exact"/>
        <w:rPr>
          <w:sz w:val="24"/>
          <w:szCs w:val="24"/>
          <w:color w:val="auto"/>
        </w:rPr>
      </w:pPr>
    </w:p>
    <w:p>
      <w:pPr>
        <w:sectPr>
          <w:pgSz w:w="11900" w:h="16838" w:orient="portrait"/>
          <w:cols w:equalWidth="0" w:num="2">
            <w:col w:w="8640" w:space="720"/>
            <w:col w:w="1860"/>
          </w:cols>
          <w:pgMar w:left="320" w:top="225" w:right="359" w:bottom="1440" w:gutter="0" w:footer="0" w:header="0"/>
          <w:type w:val="continuous"/>
        </w:sectPr>
      </w:pPr>
    </w:p>
    <w:p>
      <w:pPr>
        <w:ind w:left="520"/>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(Zip Code)</w:t>
      </w:r>
    </w:p>
    <w:p>
      <w:pPr>
        <w:spacing w:after="0" w:line="22" w:lineRule="exact"/>
        <w:rPr>
          <w:sz w:val="24"/>
          <w:szCs w:val="24"/>
          <w:color w:val="auto"/>
        </w:rPr>
      </w:pPr>
    </w:p>
    <w:p>
      <w:pPr>
        <w:sectPr>
          <w:pgSz w:w="11900" w:h="16838" w:orient="portrait"/>
          <w:cols w:equalWidth="0" w:num="2">
            <w:col w:w="8500" w:space="720"/>
            <w:col w:w="2000"/>
          </w:cols>
          <w:pgMar w:left="320" w:top="225" w:right="359" w:bottom="1440" w:gutter="0" w:footer="0" w:header="0"/>
          <w:type w:val="continuous"/>
        </w:sectPr>
      </w:pPr>
    </w:p>
    <w:p>
      <w:pPr>
        <w:jc w:val="center"/>
        <w:ind w:right="-79"/>
        <w:spacing w:after="0"/>
        <w:tabs>
          <w:tab w:leader="none" w:pos="220" w:val="left"/>
        </w:tabs>
        <w:rPr>
          <w:sz w:val="20"/>
          <w:szCs w:val="20"/>
          <w:color w:val="auto"/>
        </w:rPr>
      </w:pPr>
      <w:r>
        <w:rPr>
          <w:rFonts w:ascii="Arial" w:cs="Arial" w:eastAsia="Arial" w:hAnsi="Arial"/>
          <w:sz w:val="14"/>
          <w:szCs w:val="14"/>
          <w:b w:val="1"/>
          <w:bCs w:val="1"/>
          <w:color w:val="auto"/>
        </w:rPr>
        <w:t>(973)</w:t>
        <w:tab/>
        <w:t>496-4700</w:t>
      </w:r>
    </w:p>
    <w:p>
      <w:pPr>
        <w:sectPr>
          <w:pgSz w:w="11900" w:h="16838" w:orient="portrait"/>
          <w:cols w:equalWidth="0" w:num="1">
            <w:col w:w="11220"/>
          </w:cols>
          <w:pgMar w:left="320" w:top="225" w:right="359" w:bottom="1440" w:gutter="0" w:footer="0" w:header="0"/>
          <w:type w:val="continuous"/>
        </w:sectPr>
      </w:pPr>
    </w:p>
    <w:p>
      <w:pPr>
        <w:spacing w:after="0" w:line="34" w:lineRule="exact"/>
        <w:rPr>
          <w:sz w:val="24"/>
          <w:szCs w:val="24"/>
          <w:color w:val="auto"/>
        </w:rPr>
      </w:pPr>
    </w:p>
    <w:p>
      <w:pPr>
        <w:jc w:val="center"/>
        <w:ind w:right="-159"/>
        <w:spacing w:after="0"/>
        <w:rPr>
          <w:sz w:val="20"/>
          <w:szCs w:val="20"/>
          <w:color w:val="auto"/>
        </w:rPr>
      </w:pPr>
      <w:r>
        <w:rPr>
          <w:rFonts w:ascii="Arial" w:cs="Arial" w:eastAsia="Arial" w:hAnsi="Arial"/>
          <w:sz w:val="14"/>
          <w:szCs w:val="14"/>
          <w:color w:val="auto"/>
        </w:rPr>
        <w:t>(Registrant’s telephone number, including area code)</w:t>
      </w:r>
    </w:p>
    <w:p>
      <w:pPr>
        <w:spacing w:after="0" w:line="111" w:lineRule="exact"/>
        <w:rPr>
          <w:sz w:val="24"/>
          <w:szCs w:val="24"/>
          <w:color w:val="auto"/>
        </w:rPr>
      </w:pPr>
    </w:p>
    <w:p>
      <w:pPr>
        <w:ind w:right="80"/>
        <w:spacing w:after="0" w:line="24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1120" w:val="left"/>
        </w:tabs>
        <w:rPr>
          <w:sz w:val="20"/>
          <w:szCs w:val="20"/>
          <w:color w:val="auto"/>
        </w:rPr>
      </w:pPr>
      <w:r>
        <w:rPr>
          <w:rFonts w:ascii="Arial" w:cs="Arial" w:eastAsia="Arial" w:hAnsi="Arial"/>
          <w:sz w:val="14"/>
          <w:szCs w:val="14"/>
          <w:color w:val="auto"/>
        </w:rPr>
        <w:t xml:space="preserve">days.  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156" w:lineRule="exact"/>
        <w:rPr>
          <w:sz w:val="24"/>
          <w:szCs w:val="24"/>
          <w:color w:val="auto"/>
        </w:rPr>
      </w:pPr>
    </w:p>
    <w:p>
      <w:pPr>
        <w:spacing w:after="0" w:line="195"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220"/>
          </w:cols>
          <w:pgMar w:left="320" w:top="225" w:right="359" w:bottom="1440" w:gutter="0" w:footer="0" w:header="0"/>
          <w:type w:val="continuous"/>
        </w:sectPr>
      </w:pPr>
    </w:p>
    <w:p>
      <w:pPr>
        <w:spacing w:after="0" w:line="78" w:lineRule="exact"/>
        <w:rPr>
          <w:sz w:val="24"/>
          <w:szCs w:val="24"/>
          <w:color w:val="auto"/>
        </w:rPr>
      </w:pPr>
    </w:p>
    <w:p>
      <w:pPr>
        <w:ind w:left="100" w:right="880"/>
        <w:spacing w:after="0" w:line="392"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8"/>
          <w:szCs w:val="18"/>
          <w:color w:val="auto"/>
        </w:rPr>
        <w:t>☒</w:t>
      </w:r>
    </w:p>
    <w:p>
      <w:pPr>
        <w:spacing w:after="0" w:line="76"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ind w:right="920"/>
        <w:spacing w:after="0" w:line="392" w:lineRule="auto"/>
        <w:rPr>
          <w:sz w:val="20"/>
          <w:szCs w:val="20"/>
          <w:color w:val="auto"/>
        </w:rPr>
      </w:pPr>
      <w:r>
        <w:rPr>
          <w:rFonts w:ascii="Arial" w:cs="Arial" w:eastAsia="Arial" w:hAnsi="Arial"/>
          <w:sz w:val="14"/>
          <w:szCs w:val="14"/>
          <w:color w:val="auto"/>
        </w:rPr>
        <w:t>Accelerated Filer Emerging Growth Company</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8"/>
          <w:szCs w:val="18"/>
          <w:color w:val="auto"/>
        </w:rPr>
        <w:t>☐</w:t>
      </w:r>
    </w:p>
    <w:p>
      <w:pPr>
        <w:spacing w:after="0" w:line="76"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8"/>
          <w:szCs w:val="18"/>
          <w:color w:val="auto"/>
        </w:rPr>
        <w:t>☐</w:t>
      </w:r>
    </w:p>
    <w:p>
      <w:pPr>
        <w:spacing w:after="0" w:line="409" w:lineRule="exact"/>
        <w:rPr>
          <w:sz w:val="24"/>
          <w:szCs w:val="24"/>
          <w:color w:val="auto"/>
        </w:rPr>
      </w:pPr>
    </w:p>
    <w:p>
      <w:pPr>
        <w:sectPr>
          <w:pgSz w:w="11900" w:h="16838" w:orient="portrait"/>
          <w:cols w:equalWidth="0" w:num="6">
            <w:col w:w="2780" w:space="720"/>
            <w:col w:w="180" w:space="100"/>
            <w:col w:w="2700" w:space="720"/>
            <w:col w:w="180" w:space="100"/>
            <w:col w:w="2700" w:space="720"/>
            <w:col w:w="320"/>
          </w:cols>
          <w:pgMar w:left="320" w:top="225" w:right="359" w:bottom="1440" w:gutter="0" w:footer="0" w:header="0"/>
          <w:type w:val="continuous"/>
        </w:sectPr>
      </w:pPr>
    </w:p>
    <w:p>
      <w:pPr>
        <w:ind w:right="280"/>
        <w:spacing w:after="0" w:line="19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8" w:lineRule="exact"/>
        <w:rPr>
          <w:sz w:val="24"/>
          <w:szCs w:val="24"/>
          <w:color w:val="auto"/>
        </w:rPr>
      </w:pPr>
    </w:p>
    <w:p>
      <w:pPr>
        <w:spacing w:after="0" w:line="184" w:lineRule="exact"/>
        <w:tabs>
          <w:tab w:leader="none" w:pos="79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275"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20"/>
          </w:cols>
          <w:pgMar w:left="320" w:top="225" w:right="359" w:bottom="1440" w:gutter="0" w:footer="0" w:header="0"/>
          <w:type w:val="continuous"/>
        </w:sectPr>
      </w:pPr>
    </w:p>
    <w:p>
      <w:pPr>
        <w:spacing w:after="0" w:line="40" w:lineRule="exact"/>
        <w:rPr>
          <w:sz w:val="24"/>
          <w:szCs w:val="24"/>
          <w:color w:val="auto"/>
        </w:rPr>
      </w:pPr>
    </w:p>
    <w:p>
      <w:pPr>
        <w:ind w:left="126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41" w:lineRule="exact"/>
        <w:rPr>
          <w:sz w:val="24"/>
          <w:szCs w:val="24"/>
          <w:color w:val="auto"/>
        </w:rPr>
      </w:pPr>
    </w:p>
    <w:p>
      <w:pPr>
        <w:sectPr>
          <w:pgSz w:w="11900" w:h="16838" w:orient="portrait"/>
          <w:cols w:equalWidth="0" w:num="3">
            <w:col w:w="4260" w:space="720"/>
            <w:col w:w="2140" w:space="720"/>
            <w:col w:w="3380"/>
          </w:cols>
          <w:pgMar w:left="320" w:top="225" w:right="359" w:bottom="1440" w:gutter="0" w:footer="0" w:header="0"/>
          <w:type w:val="continuous"/>
        </w:sectPr>
      </w:pPr>
    </w:p>
    <w:p>
      <w:pPr>
        <w:ind w:left="820"/>
        <w:spacing w:after="0"/>
        <w:rPr>
          <w:sz w:val="20"/>
          <w:szCs w:val="20"/>
          <w:color w:val="auto"/>
        </w:rPr>
      </w:pPr>
      <w:r>
        <w:rPr>
          <w:rFonts w:ascii="Arial" w:cs="Arial" w:eastAsia="Arial" w:hAnsi="Arial"/>
          <w:sz w:val="14"/>
          <w:szCs w:val="14"/>
          <w:color w:val="auto"/>
        </w:rPr>
        <w:t>Common Stock, Par Value $0.01</w:t>
      </w:r>
    </w:p>
    <w:p>
      <w:pPr>
        <w:spacing w:after="0" w:line="20" w:lineRule="exact"/>
        <w:rPr>
          <w:sz w:val="24"/>
          <w:szCs w:val="24"/>
          <w:color w:val="auto"/>
        </w:rPr>
      </w:pPr>
      <w:r>
        <w:rPr>
          <w:sz w:val="24"/>
          <w:szCs w:val="24"/>
          <w:color w:val="auto"/>
        </w:rPr>
        <w:br w:type="column"/>
      </w:r>
    </w:p>
    <w:p>
      <w:pPr>
        <w:jc w:val="center"/>
        <w:ind w:right="1740"/>
        <w:spacing w:after="0"/>
        <w:rPr>
          <w:sz w:val="20"/>
          <w:szCs w:val="20"/>
          <w:color w:val="auto"/>
        </w:rPr>
      </w:pPr>
      <w:r>
        <w:rPr>
          <w:rFonts w:ascii="Arial" w:cs="Arial" w:eastAsia="Arial" w:hAnsi="Arial"/>
          <w:sz w:val="14"/>
          <w:szCs w:val="14"/>
          <w:color w:val="auto"/>
        </w:rPr>
        <w:t>CAR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Global Select Market</w:t>
      </w:r>
    </w:p>
    <w:p>
      <w:pPr>
        <w:spacing w:after="0" w:line="111" w:lineRule="exact"/>
        <w:rPr>
          <w:sz w:val="24"/>
          <w:szCs w:val="24"/>
          <w:color w:val="auto"/>
        </w:rPr>
      </w:pPr>
    </w:p>
    <w:p>
      <w:pPr>
        <w:sectPr>
          <w:pgSz w:w="11900" w:h="16838" w:orient="portrait"/>
          <w:cols w:equalWidth="0" w:num="3">
            <w:col w:w="4740" w:space="720"/>
            <w:col w:w="2040" w:space="720"/>
            <w:col w:w="3000"/>
          </w:cols>
          <w:pgMar w:left="320" w:top="225" w:right="359" w:bottom="1440" w:gutter="0" w:footer="0" w:header="0"/>
          <w:type w:val="continuous"/>
        </w:sectPr>
      </w:pPr>
    </w:p>
    <w:p>
      <w:pPr>
        <w:spacing w:after="0"/>
        <w:rPr>
          <w:sz w:val="20"/>
          <w:szCs w:val="20"/>
          <w:color w:val="auto"/>
        </w:rPr>
      </w:pPr>
      <w:r>
        <w:rPr>
          <w:rFonts w:ascii="Arial" w:cs="Arial" w:eastAsia="Arial" w:hAnsi="Arial"/>
          <w:sz w:val="14"/>
          <w:szCs w:val="14"/>
          <w:color w:val="auto"/>
        </w:rPr>
        <w:t>The number of shares outstanding of the issuer’s common stock was 69,683,361 shares as of October 27,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9440" w:type="dxa"/>
            <w:vAlign w:val="bottom"/>
            <w:gridSpan w:val="10"/>
            <w:vMerge w:val="restart"/>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Financial Information</w:t>
              </w:r>
            </w:hyperlink>
          </w:p>
        </w:tc>
        <w:tc>
          <w:tcPr>
            <w:tcW w:w="7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7"/>
        </w:trPr>
        <w:tc>
          <w:tcPr>
            <w:tcW w:w="1020" w:type="dxa"/>
            <w:vAlign w:val="bottom"/>
            <w:vMerge w:val="continue"/>
          </w:tcPr>
          <w:p>
            <w:pPr>
              <w:spacing w:after="0"/>
              <w:rPr>
                <w:sz w:val="19"/>
                <w:szCs w:val="19"/>
                <w:color w:val="auto"/>
              </w:rPr>
            </w:pPr>
          </w:p>
        </w:tc>
        <w:tc>
          <w:tcPr>
            <w:tcW w:w="9440" w:type="dxa"/>
            <w:vAlign w:val="bottom"/>
            <w:gridSpan w:val="10"/>
            <w:vMerge w:val="continue"/>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20" w:type="dxa"/>
            <w:vAlign w:val="bottom"/>
          </w:tcPr>
          <w:p>
            <w:pPr>
              <w:ind w:left="20"/>
              <w:spacing w:after="0" w:line="198" w:lineRule="exact"/>
              <w:rPr>
                <w:sz w:val="20"/>
                <w:szCs w:val="20"/>
                <w:color w:val="auto"/>
              </w:rPr>
            </w:pPr>
            <w:r>
              <w:rPr>
                <w:rFonts w:ascii="Arial" w:cs="Arial" w:eastAsia="Arial" w:hAnsi="Arial"/>
                <w:sz w:val="18"/>
                <w:szCs w:val="18"/>
                <w:color w:val="auto"/>
              </w:rPr>
              <w:t>Item 1.</w:t>
            </w:r>
          </w:p>
        </w:tc>
        <w:tc>
          <w:tcPr>
            <w:tcW w:w="9440" w:type="dxa"/>
            <w:vAlign w:val="bottom"/>
            <w:gridSpan w:val="10"/>
          </w:tcPr>
          <w:p>
            <w:pPr>
              <w:spacing w:after="0" w:line="198" w:lineRule="exact"/>
              <w:rPr>
                <w:rFonts w:ascii="Arial" w:cs="Arial" w:eastAsia="Arial" w:hAnsi="Arial"/>
                <w:sz w:val="18"/>
                <w:szCs w:val="18"/>
                <w:color w:val="0000FF"/>
              </w:rPr>
            </w:pPr>
            <w:hyperlink w:anchor="page6">
              <w:r>
                <w:rPr>
                  <w:rFonts w:ascii="Arial" w:cs="Arial" w:eastAsia="Arial" w:hAnsi="Arial"/>
                  <w:sz w:val="18"/>
                  <w:szCs w:val="18"/>
                  <w:color w:val="0000FF"/>
                </w:rPr>
                <w:t>Financial Statements</w:t>
              </w:r>
            </w:hyperlink>
          </w:p>
        </w:tc>
        <w:tc>
          <w:tcPr>
            <w:tcW w:w="780" w:type="dxa"/>
            <w:vAlign w:val="bottom"/>
            <w:gridSpan w:val="2"/>
            <w:vMerge w:val="restart"/>
          </w:tcPr>
          <w:p>
            <w:pPr>
              <w:jc w:val="right"/>
              <w:ind w:right="6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spacing w:after="0"/>
              <w:rPr>
                <w:sz w:val="19"/>
                <w:szCs w:val="19"/>
                <w:color w:val="auto"/>
              </w:rPr>
            </w:pPr>
          </w:p>
        </w:tc>
        <w:tc>
          <w:tcPr>
            <w:tcW w:w="9440" w:type="dxa"/>
            <w:vAlign w:val="bottom"/>
            <w:gridSpan w:val="10"/>
          </w:tcPr>
          <w:p>
            <w:pPr>
              <w:spacing w:after="0"/>
              <w:rPr>
                <w:rFonts w:ascii="Arial" w:cs="Arial" w:eastAsia="Arial" w:hAnsi="Arial"/>
                <w:sz w:val="18"/>
                <w:szCs w:val="18"/>
                <w:color w:val="0000FF"/>
              </w:rPr>
            </w:pPr>
            <w:hyperlink w:anchor="page6">
              <w:r>
                <w:rPr>
                  <w:rFonts w:ascii="Arial" w:cs="Arial" w:eastAsia="Arial" w:hAnsi="Arial"/>
                  <w:sz w:val="18"/>
                  <w:szCs w:val="18"/>
                  <w:u w:val="single" w:color="auto"/>
                  <w:color w:val="0000FF"/>
                </w:rPr>
                <w:t>Consolidated Condensed Statements of Comprehensive Income for the Three and</w:t>
              </w:r>
              <w:r>
                <w:rPr>
                  <w:rFonts w:ascii="Arial" w:cs="Arial" w:eastAsia="Arial" w:hAnsi="Arial"/>
                  <w:sz w:val="18"/>
                  <w:szCs w:val="18"/>
                  <w:color w:val="0000FF"/>
                </w:rPr>
                <w:t xml:space="preserve"> Nine Months Ended</w:t>
              </w:r>
            </w:hyperlink>
          </w:p>
        </w:tc>
        <w:tc>
          <w:tcPr>
            <w:tcW w:w="7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6620" w:type="dxa"/>
            <w:vAlign w:val="bottom"/>
            <w:gridSpan w:val="5"/>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September 30, 2020 and 2019 (Unaudited)</w:t>
              </w:r>
            </w:hyperlink>
          </w:p>
        </w:tc>
        <w:tc>
          <w:tcPr>
            <w:tcW w:w="1580" w:type="dxa"/>
            <w:vAlign w:val="bottom"/>
            <w:tcBorders>
              <w:top w:val="single" w:sz="8" w:color="0000FF"/>
            </w:tcBorders>
            <w:gridSpan w:val="3"/>
          </w:tcPr>
          <w:p>
            <w:pPr>
              <w:spacing w:after="0"/>
              <w:rPr>
                <w:sz w:val="20"/>
                <w:szCs w:val="20"/>
                <w:color w:val="auto"/>
              </w:rPr>
            </w:pPr>
          </w:p>
        </w:tc>
        <w:tc>
          <w:tcPr>
            <w:tcW w:w="1240" w:type="dxa"/>
            <w:vAlign w:val="bottom"/>
            <w:gridSpan w:val="2"/>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3"/>
                <w:szCs w:val="23"/>
                <w:color w:val="auto"/>
              </w:rPr>
            </w:pPr>
          </w:p>
        </w:tc>
        <w:tc>
          <w:tcPr>
            <w:tcW w:w="9440" w:type="dxa"/>
            <w:vAlign w:val="bottom"/>
            <w:gridSpan w:val="10"/>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Condensed Balance Sheets as of September 30, 2020 and December 31, 2019 (Unaudited)</w:t>
              </w:r>
            </w:hyperlink>
          </w:p>
        </w:tc>
        <w:tc>
          <w:tcPr>
            <w:tcW w:w="780" w:type="dxa"/>
            <w:vAlign w:val="bottom"/>
            <w:gridSpan w:val="2"/>
          </w:tcPr>
          <w:p>
            <w:pPr>
              <w:jc w:val="right"/>
              <w:ind w:right="6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tc>
        <w:tc>
          <w:tcPr>
            <w:tcW w:w="0" w:type="dxa"/>
            <w:vAlign w:val="bottom"/>
          </w:tcPr>
          <w:p>
            <w:pPr>
              <w:spacing w:after="0"/>
              <w:rPr>
                <w:sz w:val="1"/>
                <w:szCs w:val="1"/>
                <w:color w:val="auto"/>
              </w:rPr>
            </w:pPr>
          </w:p>
        </w:tc>
      </w:tr>
      <w:tr>
        <w:trPr>
          <w:trHeight w:val="226"/>
        </w:trPr>
        <w:tc>
          <w:tcPr>
            <w:tcW w:w="1020" w:type="dxa"/>
            <w:vAlign w:val="bottom"/>
          </w:tcPr>
          <w:p>
            <w:pPr>
              <w:spacing w:after="0"/>
              <w:rPr>
                <w:sz w:val="19"/>
                <w:szCs w:val="19"/>
                <w:color w:val="auto"/>
              </w:rPr>
            </w:pPr>
          </w:p>
        </w:tc>
        <w:tc>
          <w:tcPr>
            <w:tcW w:w="9440" w:type="dxa"/>
            <w:vAlign w:val="bottom"/>
            <w:gridSpan w:val="10"/>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 xml:space="preserve">Consolidated Condensed Statements of Cash Flows for the Nine Months Ended </w:t>
              </w:r>
              <w:r>
                <w:rPr>
                  <w:rFonts w:ascii="Arial" w:cs="Arial" w:eastAsia="Arial" w:hAnsi="Arial"/>
                  <w:sz w:val="18"/>
                  <w:szCs w:val="18"/>
                  <w:u w:val="single" w:color="auto"/>
                  <w:color w:val="0000FF"/>
                </w:rPr>
                <w:t>September</w:t>
              </w:r>
              <w:r>
                <w:rPr>
                  <w:rFonts w:ascii="Arial" w:cs="Arial" w:eastAsia="Arial" w:hAnsi="Arial"/>
                  <w:sz w:val="18"/>
                  <w:szCs w:val="18"/>
                  <w:color w:val="0000FF"/>
                </w:rPr>
                <w:t xml:space="preserve"> 30, 2020 and 2019</w:t>
              </w:r>
            </w:hyperlink>
          </w:p>
        </w:tc>
        <w:tc>
          <w:tcPr>
            <w:tcW w:w="780" w:type="dxa"/>
            <w:vAlign w:val="bottom"/>
            <w:gridSpan w:val="2"/>
          </w:tcPr>
          <w:p>
            <w:pPr>
              <w:jc w:val="right"/>
              <w:ind w:right="6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6</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884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w:anchor="page7">
              <w:r>
                <w:rPr>
                  <w:rFonts w:ascii="Arial" w:cs="Arial" w:eastAsia="Arial" w:hAnsi="Arial"/>
                  <w:sz w:val="18"/>
                  <w:szCs w:val="18"/>
                  <w:color w:val="0000FF"/>
                </w:rPr>
                <w:t>(Unaudited)</w:t>
              </w:r>
            </w:hyperlink>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780" w:type="dxa"/>
            <w:vAlign w:val="bottom"/>
            <w:gridSpan w:val="2"/>
            <w:vMerge w:val="restart"/>
          </w:tcPr>
          <w:p>
            <w:pPr>
              <w:jc w:val="right"/>
              <w:ind w:right="6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8</w:t>
              </w:r>
            </w:hyperlink>
          </w:p>
        </w:tc>
        <w:tc>
          <w:tcPr>
            <w:tcW w:w="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9440" w:type="dxa"/>
            <w:vAlign w:val="bottom"/>
            <w:gridSpan w:val="10"/>
          </w:tcPr>
          <w:p>
            <w:pPr>
              <w:spacing w:after="0"/>
              <w:rPr>
                <w:rFonts w:ascii="Arial" w:cs="Arial" w:eastAsia="Arial" w:hAnsi="Arial"/>
                <w:sz w:val="18"/>
                <w:szCs w:val="18"/>
                <w:color w:val="0000FF"/>
              </w:rPr>
            </w:pPr>
            <w:hyperlink w:anchor="page9">
              <w:r>
                <w:rPr>
                  <w:rFonts w:ascii="Arial" w:cs="Arial" w:eastAsia="Arial" w:hAnsi="Arial"/>
                  <w:sz w:val="18"/>
                  <w:szCs w:val="18"/>
                  <w:u w:val="single" w:color="auto"/>
                  <w:color w:val="0000FF"/>
                </w:rPr>
                <w:t>Consolidated Condensed Statements of Stockholders’ Equity for the Three and</w:t>
              </w:r>
              <w:r>
                <w:rPr>
                  <w:rFonts w:ascii="Arial" w:cs="Arial" w:eastAsia="Arial" w:hAnsi="Arial"/>
                  <w:sz w:val="18"/>
                  <w:szCs w:val="18"/>
                  <w:color w:val="0000FF"/>
                </w:rPr>
                <w:t xml:space="preserve"> Nine Months Ended </w:t>
              </w:r>
              <w:r>
                <w:rPr>
                  <w:rFonts w:ascii="Arial" w:cs="Arial" w:eastAsia="Arial" w:hAnsi="Arial"/>
                  <w:sz w:val="18"/>
                  <w:szCs w:val="18"/>
                  <w:u w:val="single" w:color="auto"/>
                  <w:color w:val="0000FF"/>
                </w:rPr>
                <w:t>September</w:t>
              </w:r>
            </w:hyperlink>
          </w:p>
        </w:tc>
        <w:tc>
          <w:tcPr>
            <w:tcW w:w="7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6340" w:type="dxa"/>
            <w:vAlign w:val="bottom"/>
            <w:gridSpan w:val="3"/>
          </w:tcPr>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30, 2020 and 2019 (Unaudited)</w:t>
              </w:r>
            </w:hyperlink>
          </w:p>
        </w:tc>
        <w:tc>
          <w:tcPr>
            <w:tcW w:w="1640" w:type="dxa"/>
            <w:vAlign w:val="bottom"/>
            <w:tcBorders>
              <w:top w:val="single" w:sz="8" w:color="0000FF"/>
            </w:tcBorders>
            <w:gridSpan w:val="4"/>
          </w:tcPr>
          <w:p>
            <w:pPr>
              <w:spacing w:after="0"/>
              <w:rPr>
                <w:sz w:val="20"/>
                <w:szCs w:val="20"/>
                <w:color w:val="auto"/>
              </w:rPr>
            </w:pPr>
          </w:p>
        </w:tc>
        <w:tc>
          <w:tcPr>
            <w:tcW w:w="1460" w:type="dxa"/>
            <w:vAlign w:val="bottom"/>
            <w:gridSpan w:val="3"/>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9440" w:type="dxa"/>
            <w:vAlign w:val="bottom"/>
            <w:gridSpan w:val="10"/>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Notes to Consolidated Condensed Financial Statements (Unaudited)</w:t>
              </w:r>
            </w:hyperlink>
          </w:p>
        </w:tc>
        <w:tc>
          <w:tcPr>
            <w:tcW w:w="780" w:type="dxa"/>
            <w:vAlign w:val="bottom"/>
            <w:gridSpan w:val="2"/>
          </w:tcPr>
          <w:p>
            <w:pPr>
              <w:jc w:val="right"/>
              <w:ind w:right="6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9</w:t>
              </w:r>
            </w:hyperlink>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auto"/>
              </w:rPr>
              <w:t>Item 2.</w:t>
            </w:r>
          </w:p>
        </w:tc>
        <w:tc>
          <w:tcPr>
            <w:tcW w:w="9440" w:type="dxa"/>
            <w:vAlign w:val="bottom"/>
            <w:gridSpan w:val="10"/>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Management’s Discussion and Analysis of Financial Condition and Results of Operations</w:t>
              </w:r>
            </w:hyperlink>
          </w:p>
        </w:tc>
        <w:tc>
          <w:tcPr>
            <w:tcW w:w="780" w:type="dxa"/>
            <w:vAlign w:val="bottom"/>
            <w:gridSpan w:val="2"/>
          </w:tcPr>
          <w:p>
            <w:pPr>
              <w:jc w:val="right"/>
              <w:ind w:right="6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29</w:t>
              </w:r>
            </w:hyperlink>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auto"/>
              </w:rPr>
              <w:t>Item 3.</w:t>
            </w:r>
          </w:p>
        </w:tc>
        <w:tc>
          <w:tcPr>
            <w:tcW w:w="9440" w:type="dxa"/>
            <w:vAlign w:val="bottom"/>
            <w:gridSpan w:val="10"/>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Quantitative and Qualitative Disclosures about Market Risk</w:t>
              </w:r>
            </w:hyperlink>
          </w:p>
        </w:tc>
        <w:tc>
          <w:tcPr>
            <w:tcW w:w="780" w:type="dxa"/>
            <w:vAlign w:val="bottom"/>
            <w:gridSpan w:val="2"/>
          </w:tcPr>
          <w:p>
            <w:pPr>
              <w:jc w:val="right"/>
              <w:ind w:right="6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40</w:t>
              </w:r>
            </w:hyperlink>
          </w:p>
        </w:tc>
        <w:tc>
          <w:tcPr>
            <w:tcW w:w="0" w:type="dxa"/>
            <w:vAlign w:val="bottom"/>
          </w:tcPr>
          <w:p>
            <w:pPr>
              <w:spacing w:after="0"/>
              <w:rPr>
                <w:sz w:val="1"/>
                <w:szCs w:val="1"/>
                <w:color w:val="auto"/>
              </w:rPr>
            </w:pPr>
          </w:p>
        </w:tc>
      </w:tr>
      <w:tr>
        <w:trPr>
          <w:trHeight w:val="228"/>
        </w:trPr>
        <w:tc>
          <w:tcPr>
            <w:tcW w:w="1020" w:type="dxa"/>
            <w:vAlign w:val="bottom"/>
          </w:tcPr>
          <w:p>
            <w:pPr>
              <w:ind w:left="20"/>
              <w:spacing w:after="0"/>
              <w:rPr>
                <w:sz w:val="20"/>
                <w:szCs w:val="20"/>
                <w:color w:val="auto"/>
              </w:rPr>
            </w:pPr>
            <w:r>
              <w:rPr>
                <w:rFonts w:ascii="Arial" w:cs="Arial" w:eastAsia="Arial" w:hAnsi="Arial"/>
                <w:sz w:val="18"/>
                <w:szCs w:val="18"/>
                <w:color w:val="auto"/>
              </w:rPr>
              <w:t>Item 4.</w:t>
            </w:r>
          </w:p>
        </w:tc>
        <w:tc>
          <w:tcPr>
            <w:tcW w:w="9440" w:type="dxa"/>
            <w:vAlign w:val="bottom"/>
            <w:gridSpan w:val="10"/>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Controls and Procedures</w:t>
              </w:r>
            </w:hyperlink>
          </w:p>
        </w:tc>
        <w:tc>
          <w:tcPr>
            <w:tcW w:w="780" w:type="dxa"/>
            <w:vAlign w:val="bottom"/>
            <w:gridSpan w:val="2"/>
          </w:tcPr>
          <w:p>
            <w:pPr>
              <w:jc w:val="right"/>
              <w:ind w:right="6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40</w:t>
              </w:r>
            </w:hyperlink>
          </w:p>
        </w:tc>
        <w:tc>
          <w:tcPr>
            <w:tcW w:w="0" w:type="dxa"/>
            <w:vAlign w:val="bottom"/>
          </w:tcPr>
          <w:p>
            <w:pPr>
              <w:spacing w:after="0"/>
              <w:rPr>
                <w:sz w:val="1"/>
                <w:szCs w:val="1"/>
                <w:color w:val="auto"/>
              </w:rPr>
            </w:pPr>
          </w:p>
        </w:tc>
      </w:tr>
      <w:tr>
        <w:trPr>
          <w:trHeight w:val="232"/>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9440" w:type="dxa"/>
            <w:vAlign w:val="bottom"/>
            <w:gridSpan w:val="10"/>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Other Information</w:t>
              </w:r>
            </w:hyperlink>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auto"/>
              </w:rPr>
              <w:t>Item 1.</w:t>
            </w:r>
          </w:p>
        </w:tc>
        <w:tc>
          <w:tcPr>
            <w:tcW w:w="9440" w:type="dxa"/>
            <w:vAlign w:val="bottom"/>
            <w:gridSpan w:val="10"/>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Legal Proceedings</w:t>
              </w:r>
            </w:hyperlink>
          </w:p>
        </w:tc>
        <w:tc>
          <w:tcPr>
            <w:tcW w:w="780" w:type="dxa"/>
            <w:vAlign w:val="bottom"/>
            <w:gridSpan w:val="2"/>
          </w:tcPr>
          <w:p>
            <w:pPr>
              <w:jc w:val="right"/>
              <w:ind w:right="6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42</w:t>
              </w:r>
            </w:hyperlink>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Item 1A.</w:t>
            </w:r>
          </w:p>
        </w:tc>
        <w:tc>
          <w:tcPr>
            <w:tcW w:w="9440" w:type="dxa"/>
            <w:vAlign w:val="bottom"/>
            <w:gridSpan w:val="10"/>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Risk Factors</w:t>
              </w:r>
            </w:hyperlink>
          </w:p>
        </w:tc>
        <w:tc>
          <w:tcPr>
            <w:tcW w:w="780" w:type="dxa"/>
            <w:vAlign w:val="bottom"/>
            <w:gridSpan w:val="2"/>
          </w:tcPr>
          <w:p>
            <w:pPr>
              <w:jc w:val="right"/>
              <w:ind w:right="6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42</w:t>
              </w:r>
            </w:hyperlink>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auto"/>
              </w:rPr>
              <w:t>Item 2.</w:t>
            </w:r>
          </w:p>
        </w:tc>
        <w:tc>
          <w:tcPr>
            <w:tcW w:w="9440" w:type="dxa"/>
            <w:vAlign w:val="bottom"/>
            <w:gridSpan w:val="10"/>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Unregistered Sales of Equity Securities and Use of Proceeds</w:t>
              </w:r>
            </w:hyperlink>
          </w:p>
        </w:tc>
        <w:tc>
          <w:tcPr>
            <w:tcW w:w="780" w:type="dxa"/>
            <w:vAlign w:val="bottom"/>
            <w:gridSpan w:val="2"/>
          </w:tcPr>
          <w:p>
            <w:pPr>
              <w:jc w:val="right"/>
              <w:ind w:right="6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44</w:t>
              </w:r>
            </w:hyperlink>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Item 6.</w:t>
            </w:r>
          </w:p>
        </w:tc>
        <w:tc>
          <w:tcPr>
            <w:tcW w:w="9440" w:type="dxa"/>
            <w:vAlign w:val="bottom"/>
            <w:gridSpan w:val="10"/>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Exhibits</w:t>
              </w:r>
            </w:hyperlink>
          </w:p>
        </w:tc>
        <w:tc>
          <w:tcPr>
            <w:tcW w:w="780" w:type="dxa"/>
            <w:vAlign w:val="bottom"/>
            <w:gridSpan w:val="2"/>
          </w:tcPr>
          <w:p>
            <w:pPr>
              <w:jc w:val="right"/>
              <w:ind w:right="6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44</w:t>
              </w:r>
            </w:hyperlink>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9440" w:type="dxa"/>
            <w:vAlign w:val="bottom"/>
            <w:gridSpan w:val="10"/>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Signatures</w:t>
              </w:r>
            </w:hyperlink>
          </w:p>
        </w:tc>
        <w:tc>
          <w:tcPr>
            <w:tcW w:w="780" w:type="dxa"/>
            <w:vAlign w:val="bottom"/>
            <w:gridSpan w:val="2"/>
          </w:tcPr>
          <w:p>
            <w:pPr>
              <w:jc w:val="right"/>
              <w:ind w:right="6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45</w:t>
              </w:r>
            </w:hyperlink>
          </w:p>
        </w:tc>
        <w:tc>
          <w:tcPr>
            <w:tcW w:w="0" w:type="dxa"/>
            <w:vAlign w:val="bottom"/>
          </w:tcPr>
          <w:p>
            <w:pPr>
              <w:spacing w:after="0"/>
              <w:rPr>
                <w:sz w:val="1"/>
                <w:szCs w:val="1"/>
                <w:color w:val="auto"/>
              </w:rPr>
            </w:pPr>
          </w:p>
        </w:tc>
      </w:tr>
      <w:tr>
        <w:trPr>
          <w:trHeight w:val="1029"/>
        </w:trPr>
        <w:tc>
          <w:tcPr>
            <w:tcW w:w="10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5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 Additionally, many of these risks and uncertainties are currently amplified by and will continue to be amplified by, or in the future may be amplified by, the Coronavirus (“COVID-19”) outbreak, and the continued restrictions that have been placed on travel in many countries as a result of the outbreak and the adverse impact on the global economy from the outbreak. These factors include, but are not limited to:</w:t>
      </w:r>
    </w:p>
    <w:p>
      <w:pPr>
        <w:spacing w:after="0" w:line="191" w:lineRule="exact"/>
        <w:rPr>
          <w:sz w:val="20"/>
          <w:szCs w:val="20"/>
          <w:color w:val="auto"/>
        </w:rPr>
      </w:pPr>
    </w:p>
    <w:p>
      <w:pPr>
        <w:ind w:left="660" w:right="100" w:hanging="328"/>
        <w:spacing w:after="0" w:line="26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outbreak and resulting economic conditions, which had, and is expected to continue to have, a significant impact on our operations, including an unprecedented decline in demand, as well as its current, and uncertain future impact, including, but not limited to, its effect on the ability or desire of people to travel due to travel restrictions, and other restrictions and orders, which is expected to continue to impact our results, operations, outlooks, plans, goals, growth, cash flows, liquidity, and stock price;</w:t>
      </w:r>
    </w:p>
    <w:p>
      <w:pPr>
        <w:spacing w:after="0" w:line="196" w:lineRule="exact"/>
        <w:rPr>
          <w:rFonts w:ascii="Arial" w:cs="Arial" w:eastAsia="Arial" w:hAnsi="Arial"/>
          <w:sz w:val="18"/>
          <w:szCs w:val="18"/>
          <w:color w:val="auto"/>
        </w:rPr>
      </w:pPr>
    </w:p>
    <w:p>
      <w:pPr>
        <w:ind w:left="660" w:right="60" w:hanging="328"/>
        <w:spacing w:after="0" w:line="27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change in our fleet costs, including as a result of a change in the cost of new vehicles, manufacturer recalls, disruption in the supply of new vehicles, and/or a change in the price at which we dispose of used vehicles either in the used vehicle market or under repurchase or guaranteed depreciation programs;</w:t>
      </w:r>
    </w:p>
    <w:p>
      <w:pPr>
        <w:spacing w:after="0" w:line="189" w:lineRule="exact"/>
        <w:rPr>
          <w:rFonts w:ascii="Arial" w:cs="Arial" w:eastAsia="Arial" w:hAnsi="Arial"/>
          <w:sz w:val="18"/>
          <w:szCs w:val="18"/>
          <w:color w:val="auto"/>
        </w:rPr>
      </w:pPr>
    </w:p>
    <w:p>
      <w:pPr>
        <w:ind w:left="660" w:right="60" w:hanging="328"/>
        <w:spacing w:after="0" w:line="29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our estimated cost savings on a timely basis, or at all, and the amount of cash expenditures made in connection with such cost saving efforts;</w:t>
      </w:r>
    </w:p>
    <w:p>
      <w:pPr>
        <w:spacing w:after="0" w:line="171" w:lineRule="exact"/>
        <w:rPr>
          <w:rFonts w:ascii="Arial" w:cs="Arial" w:eastAsia="Arial" w:hAnsi="Arial"/>
          <w:sz w:val="18"/>
          <w:szCs w:val="18"/>
          <w:color w:val="auto"/>
        </w:rPr>
      </w:pPr>
    </w:p>
    <w:p>
      <w:pPr>
        <w:ind w:left="660" w:right="180" w:hanging="328"/>
        <w:spacing w:after="0" w:line="29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high level of competition in the mobility industry, including from new companies or technology, and the impact such competition may have on pricing and rental volume;</w:t>
      </w:r>
    </w:p>
    <w:p>
      <w:pPr>
        <w:spacing w:after="0" w:line="171" w:lineRule="exact"/>
        <w:rPr>
          <w:rFonts w:ascii="Arial" w:cs="Arial" w:eastAsia="Arial" w:hAnsi="Arial"/>
          <w:sz w:val="18"/>
          <w:szCs w:val="18"/>
          <w:color w:val="auto"/>
        </w:rPr>
      </w:pPr>
    </w:p>
    <w:p>
      <w:pPr>
        <w:ind w:left="660" w:hanging="328"/>
        <w:spacing w:after="0" w:line="26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vehicles, which could impact their ability to perform their payment obligations under our agreements with them, including repurchase and/or guaranteed depreciation arrangements, and/or their willingness or ability to make vehicles available to us or the mobility industry as a whole on commercially reasonable terms or at all particularly when COVID-19 related restrictions are lifted and travel demand increases;</w:t>
      </w:r>
    </w:p>
    <w:p>
      <w:pPr>
        <w:spacing w:after="0" w:line="196" w:lineRule="exact"/>
        <w:rPr>
          <w:rFonts w:ascii="Arial" w:cs="Arial" w:eastAsia="Arial" w:hAnsi="Arial"/>
          <w:sz w:val="18"/>
          <w:szCs w:val="18"/>
          <w:color w:val="auto"/>
        </w:rPr>
      </w:pPr>
    </w:p>
    <w:p>
      <w:pPr>
        <w:ind w:left="660" w:right="40" w:hanging="328"/>
        <w:spacing w:after="0" w:line="29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significant decline in travel demand as a result of COVID-19, including the current and any future disruptions in airline passenger traffic;</w:t>
      </w:r>
    </w:p>
    <w:p>
      <w:pPr>
        <w:spacing w:after="0" w:line="171" w:lineRule="exact"/>
        <w:rPr>
          <w:rFonts w:ascii="Arial" w:cs="Arial" w:eastAsia="Arial" w:hAnsi="Arial"/>
          <w:sz w:val="18"/>
          <w:szCs w:val="18"/>
          <w:color w:val="auto"/>
        </w:rPr>
      </w:pPr>
    </w:p>
    <w:p>
      <w:pPr>
        <w:ind w:left="660" w:right="400" w:hanging="328"/>
        <w:spacing w:after="0" w:line="29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absence of an improvement in, or further deterioration of, economic conditions, particularly during our peak season or in key market segments;</w:t>
      </w:r>
    </w:p>
    <w:p>
      <w:pPr>
        <w:spacing w:after="0" w:line="171" w:lineRule="exact"/>
        <w:rPr>
          <w:rFonts w:ascii="Arial" w:cs="Arial" w:eastAsia="Arial" w:hAnsi="Arial"/>
          <w:sz w:val="18"/>
          <w:szCs w:val="18"/>
          <w:color w:val="auto"/>
        </w:rPr>
      </w:pPr>
    </w:p>
    <w:p>
      <w:pPr>
        <w:ind w:left="660" w:right="120" w:hanging="328"/>
        <w:spacing w:after="0" w:line="29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occurrence or threat of terrorism, the current and any future pandemic diseases, natural disasters, military conflict, civil unrest or political instability in the locations in which we operate;</w:t>
      </w:r>
    </w:p>
    <w:p>
      <w:pPr>
        <w:spacing w:after="0" w:line="171" w:lineRule="exact"/>
        <w:rPr>
          <w:rFonts w:ascii="Arial" w:cs="Arial" w:eastAsia="Arial" w:hAnsi="Arial"/>
          <w:sz w:val="18"/>
          <w:szCs w:val="18"/>
          <w:color w:val="auto"/>
        </w:rPr>
      </w:pPr>
    </w:p>
    <w:p>
      <w:pPr>
        <w:ind w:left="660" w:right="120" w:hanging="328"/>
        <w:spacing w:after="0" w:line="29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 including the current and any future impacts as a result of COVID-19;</w:t>
      </w:r>
    </w:p>
    <w:p>
      <w:pPr>
        <w:spacing w:after="0" w:line="171" w:lineRule="exact"/>
        <w:rPr>
          <w:rFonts w:ascii="Arial" w:cs="Arial" w:eastAsia="Arial" w:hAnsi="Arial"/>
          <w:sz w:val="18"/>
          <w:szCs w:val="18"/>
          <w:color w:val="auto"/>
        </w:rPr>
      </w:pPr>
    </w:p>
    <w:p>
      <w:pPr>
        <w:ind w:left="660" w:right="80" w:hanging="328"/>
        <w:spacing w:after="0" w:line="29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successfully implement our business strategies, achieve and maintain cost savings and adapt our business to changes in mobility;</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economic or commercial instability in the countries in which we operate, and our ability to conform to multiple and conflicting laws or regulations in those countries;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0" w:right="40" w:hanging="328"/>
        <w:spacing w:after="0" w:line="29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the performance and retention of our senior management and key employees;</w:t>
      </w:r>
    </w:p>
    <w:p>
      <w:pPr>
        <w:spacing w:after="0" w:line="252" w:lineRule="exact"/>
        <w:rPr>
          <w:rFonts w:ascii="Arial" w:cs="Arial" w:eastAsia="Arial" w:hAnsi="Arial"/>
          <w:sz w:val="18"/>
          <w:szCs w:val="18"/>
          <w:color w:val="auto"/>
        </w:rPr>
      </w:pPr>
    </w:p>
    <w:p>
      <w:pPr>
        <w:jc w:val="both"/>
        <w:ind w:left="660" w:right="760" w:hanging="328"/>
        <w:spacing w:after="0" w:line="27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completed or future acquisitions or investments that we may pursue, including the incurrence of incremental indebtedness to help fund such transactions and our ability to promptly and effectively integrate any acquired businesses or capitalize on joint ventures, partnerships and other investments;</w:t>
      </w:r>
    </w:p>
    <w:p>
      <w:pPr>
        <w:spacing w:after="0" w:line="189"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171" w:lineRule="exact"/>
        <w:rPr>
          <w:rFonts w:ascii="Arial" w:cs="Arial" w:eastAsia="Arial" w:hAnsi="Arial"/>
          <w:sz w:val="18"/>
          <w:szCs w:val="18"/>
          <w:color w:val="auto"/>
        </w:rPr>
      </w:pPr>
    </w:p>
    <w:p>
      <w:pPr>
        <w:ind w:left="660" w:right="100" w:hanging="328"/>
        <w:spacing w:after="0" w:line="29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 and our ability to obtain insurance at desired levels and the cost of that insurance;</w:t>
      </w:r>
    </w:p>
    <w:p>
      <w:pPr>
        <w:spacing w:after="0" w:line="171" w:lineRule="exact"/>
        <w:rPr>
          <w:rFonts w:ascii="Arial" w:cs="Arial" w:eastAsia="Arial" w:hAnsi="Arial"/>
          <w:sz w:val="18"/>
          <w:szCs w:val="18"/>
          <w:color w:val="auto"/>
        </w:rPr>
      </w:pPr>
    </w:p>
    <w:p>
      <w:pPr>
        <w:ind w:left="660" w:right="60" w:hanging="328"/>
        <w:spacing w:after="0" w:line="27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litigation, governmental or regulatory inquiries,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spacing w:after="0" w:line="189" w:lineRule="exact"/>
        <w:rPr>
          <w:rFonts w:ascii="Arial" w:cs="Arial" w:eastAsia="Arial" w:hAnsi="Arial"/>
          <w:sz w:val="18"/>
          <w:szCs w:val="18"/>
          <w:color w:val="auto"/>
        </w:rPr>
      </w:pPr>
    </w:p>
    <w:p>
      <w:pPr>
        <w:jc w:val="both"/>
        <w:ind w:left="660" w:right="40" w:hanging="328"/>
        <w:spacing w:after="0" w:line="294"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related to protecting the integrity of, and preventing unauthorized access to, our information technology systems or those of our third-party vendors, and protecting the confidential information of our employees and customers against security breaches, including physical or cybersecurity breaches, attacks, or other disruptions, and compliance with privacy and data protection regulation;</w:t>
      </w:r>
    </w:p>
    <w:p>
      <w:pPr>
        <w:spacing w:after="0" w:line="172" w:lineRule="exact"/>
        <w:rPr>
          <w:rFonts w:ascii="Arial" w:cs="Arial" w:eastAsia="Arial" w:hAnsi="Arial"/>
          <w:sz w:val="17"/>
          <w:szCs w:val="17"/>
          <w:color w:val="auto"/>
        </w:rPr>
      </w:pPr>
    </w:p>
    <w:p>
      <w:pPr>
        <w:ind w:left="660" w:right="680" w:hanging="328"/>
        <w:spacing w:after="0" w:line="29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impact on us from the actions of our licensees, dealers, third-party vendors and independent operators and independent contractors and/or disputes that may arise out of our agreements with such parties;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tax laws and accounting standards;</w:t>
      </w:r>
    </w:p>
    <w:p>
      <w:pPr>
        <w:spacing w:after="0" w:line="252" w:lineRule="exact"/>
        <w:rPr>
          <w:rFonts w:ascii="Arial" w:cs="Arial" w:eastAsia="Arial" w:hAnsi="Arial"/>
          <w:sz w:val="18"/>
          <w:szCs w:val="18"/>
          <w:color w:val="auto"/>
        </w:rPr>
      </w:pPr>
    </w:p>
    <w:p>
      <w:pPr>
        <w:ind w:left="660" w:right="100" w:hanging="328"/>
        <w:spacing w:after="0" w:line="29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potential interest rate increases, recent and potential further downgrades by rating agencies and our ability to incur substantially more debt;</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the global lending markets;</w:t>
      </w:r>
    </w:p>
    <w:p>
      <w:pPr>
        <w:spacing w:after="0" w:line="171" w:lineRule="exact"/>
        <w:rPr>
          <w:rFonts w:ascii="Arial" w:cs="Arial" w:eastAsia="Arial" w:hAnsi="Arial"/>
          <w:sz w:val="18"/>
          <w:szCs w:val="18"/>
          <w:color w:val="auto"/>
        </w:rPr>
      </w:pPr>
    </w:p>
    <w:p>
      <w:pPr>
        <w:ind w:left="660" w:right="140" w:hanging="328"/>
        <w:spacing w:after="0" w:line="29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 or to obtain a waiver or amendment of such covenants should we be unable to meet such covenants;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accurately estimate our future results;</w:t>
      </w:r>
    </w:p>
    <w:p>
      <w:pPr>
        <w:spacing w:after="0" w:line="252" w:lineRule="exact"/>
        <w:rPr>
          <w:rFonts w:ascii="Arial" w:cs="Arial" w:eastAsia="Arial" w:hAnsi="Arial"/>
          <w:sz w:val="18"/>
          <w:szCs w:val="18"/>
          <w:color w:val="auto"/>
        </w:rPr>
      </w:pPr>
    </w:p>
    <w:p>
      <w:pPr>
        <w:ind w:left="660" w:right="120" w:hanging="328"/>
        <w:spacing w:after="0" w:line="27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further deterioration in general economic conditions due to COVID-19 or the future outbreak of any other highly infectious or contagious disease, which could be an indicator that our goodwill or other intangible assets are impaired and could result in a future impairment charge to earnings;</w:t>
      </w:r>
    </w:p>
    <w:p>
      <w:pPr>
        <w:spacing w:after="0" w:line="18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actions by activist stockholders and responses from our Board of Directors and senior management; and</w:t>
      </w:r>
    </w:p>
    <w:p>
      <w:pPr>
        <w:spacing w:after="0" w:line="252" w:lineRule="exact"/>
        <w:rPr>
          <w:rFonts w:ascii="Arial" w:cs="Arial" w:eastAsia="Arial" w:hAnsi="Arial"/>
          <w:sz w:val="18"/>
          <w:szCs w:val="18"/>
          <w:color w:val="auto"/>
        </w:rPr>
      </w:pPr>
    </w:p>
    <w:p>
      <w:pPr>
        <w:ind w:left="660" w:right="80" w:hanging="328"/>
        <w:spacing w:after="0" w:line="29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for the accuracy and completeness of those statements. Other factors and assumptions not identified above, including those discussed herein, including but not limited to, “Management’s Discussion and Analysis of Financial Condition and Results of Operations,” in Item 2 and “Risk Factors” in Item 1A and in similarly titled sections set forth in Item 7 and in Item 1A and in other portions of our 2019 Annual Report on Form 10-K filed with the Securities and Exchange Commission on February 20, 2020 (the “2019 Form 10-K”), may contain forward- looking statements and involve uncertainties that could cause actual results to differ materially from those projected in any forward-looking statements. Such statements are based upon assumptions and known risks and uncertainties.</w:t>
      </w:r>
    </w:p>
    <w:p>
      <w:pPr>
        <w:spacing w:after="0" w:line="208"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0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9"/>
              </w:rPr>
              <w:t>Three Months Ended</w:t>
            </w:r>
          </w:p>
        </w:tc>
        <w:tc>
          <w:tcPr>
            <w:tcW w:w="300" w:type="dxa"/>
            <w:vAlign w:val="bottom"/>
          </w:tcPr>
          <w:p>
            <w:pPr>
              <w:spacing w:after="0"/>
              <w:rPr>
                <w:sz w:val="17"/>
                <w:szCs w:val="17"/>
                <w:color w:val="auto"/>
              </w:rPr>
            </w:pPr>
          </w:p>
        </w:tc>
        <w:tc>
          <w:tcPr>
            <w:tcW w:w="25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5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September 30,</w:t>
            </w:r>
          </w:p>
        </w:tc>
        <w:tc>
          <w:tcPr>
            <w:tcW w:w="300" w:type="dxa"/>
            <w:vAlign w:val="bottom"/>
          </w:tcPr>
          <w:p>
            <w:pPr>
              <w:spacing w:after="0"/>
              <w:rPr>
                <w:sz w:val="19"/>
                <w:szCs w:val="19"/>
                <w:color w:val="auto"/>
              </w:rPr>
            </w:pPr>
          </w:p>
        </w:tc>
        <w:tc>
          <w:tcPr>
            <w:tcW w:w="25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5340" w:type="dxa"/>
            <w:vAlign w:val="bottom"/>
            <w:vMerge w:val="continue"/>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457"/>
        </w:trPr>
        <w:tc>
          <w:tcPr>
            <w:tcW w:w="53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3,534</w:t>
            </w:r>
          </w:p>
        </w:tc>
        <w:tc>
          <w:tcPr>
            <w:tcW w:w="0" w:type="dxa"/>
            <w:vAlign w:val="bottom"/>
          </w:tcPr>
          <w:p>
            <w:pPr>
              <w:spacing w:after="0"/>
              <w:rPr>
                <w:sz w:val="1"/>
                <w:szCs w:val="1"/>
                <w:color w:val="auto"/>
              </w:rPr>
            </w:pPr>
          </w:p>
        </w:tc>
      </w:tr>
      <w:tr>
        <w:trPr>
          <w:trHeight w:val="230"/>
        </w:trPr>
        <w:tc>
          <w:tcPr>
            <w:tcW w:w="5340" w:type="dxa"/>
            <w:vAlign w:val="bottom"/>
          </w:tcPr>
          <w:p>
            <w:pPr>
              <w:ind w:left="120"/>
              <w:spacing w:after="0"/>
              <w:rPr>
                <w:sz w:val="20"/>
                <w:szCs w:val="20"/>
                <w:color w:val="auto"/>
              </w:rPr>
            </w:pPr>
            <w:r>
              <w:rPr>
                <w:rFonts w:ascii="Arial" w:cs="Arial" w:eastAsia="Arial" w:hAnsi="Arial"/>
                <w:sz w:val="18"/>
                <w:szCs w:val="18"/>
                <w:color w:val="auto"/>
              </w:rPr>
              <w:t>Vehicle depreciation and lease charges,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Vehicle interest,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0"/>
        </w:trPr>
        <w:tc>
          <w:tcPr>
            <w:tcW w:w="5340" w:type="dxa"/>
            <w:vAlign w:val="bottom"/>
          </w:tcPr>
          <w:p>
            <w:pPr>
              <w:ind w:left="120"/>
              <w:spacing w:after="0"/>
              <w:rPr>
                <w:sz w:val="20"/>
                <w:szCs w:val="20"/>
                <w:color w:val="auto"/>
              </w:rPr>
            </w:pPr>
            <w:r>
              <w:rPr>
                <w:rFonts w:ascii="Arial" w:cs="Arial" w:eastAsia="Arial" w:hAnsi="Arial"/>
                <w:sz w:val="18"/>
                <w:szCs w:val="18"/>
                <w:color w:val="auto"/>
              </w:rPr>
              <w:t>Non-vehicle related depreciation and amortization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Interest expense related to corporate debt, net:</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5340" w:type="dxa"/>
            <w:vAlign w:val="bottom"/>
          </w:tcPr>
          <w:p>
            <w:pPr>
              <w:ind w:left="32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5340" w:type="dxa"/>
            <w:vAlign w:val="bottom"/>
          </w:tcPr>
          <w:p>
            <w:pPr>
              <w:ind w:left="120"/>
              <w:spacing w:after="0"/>
              <w:rPr>
                <w:sz w:val="20"/>
                <w:szCs w:val="20"/>
                <w:color w:val="auto"/>
              </w:rPr>
            </w:pPr>
            <w:r>
              <w:rPr>
                <w:rFonts w:ascii="Arial" w:cs="Arial" w:eastAsia="Arial" w:hAnsi="Arial"/>
                <w:sz w:val="18"/>
                <w:szCs w:val="18"/>
                <w:color w:val="auto"/>
              </w:rPr>
              <w:t>Restructuring and other related charges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9"/>
        </w:trPr>
        <w:tc>
          <w:tcPr>
            <w:tcW w:w="5340" w:type="dxa"/>
            <w:vAlign w:val="bottom"/>
          </w:tcPr>
          <w:p>
            <w:pPr>
              <w:ind w:left="120"/>
              <w:spacing w:after="0"/>
              <w:rPr>
                <w:sz w:val="20"/>
                <w:szCs w:val="20"/>
                <w:color w:val="auto"/>
              </w:rPr>
            </w:pPr>
            <w:r>
              <w:rPr>
                <w:rFonts w:ascii="Arial" w:cs="Arial" w:eastAsia="Arial" w:hAnsi="Arial"/>
                <w:sz w:val="18"/>
                <w:szCs w:val="18"/>
                <w:color w:val="auto"/>
              </w:rPr>
              <w:t>Transaction-related costs, net</w:t>
            </w:r>
          </w:p>
        </w:tc>
        <w:tc>
          <w:tcPr>
            <w:tcW w:w="3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Total expenses</w:t>
            </w: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6,737</w:t>
            </w:r>
          </w:p>
        </w:tc>
        <w:tc>
          <w:tcPr>
            <w:tcW w:w="0" w:type="dxa"/>
            <w:vAlign w:val="bottom"/>
          </w:tcPr>
          <w:p>
            <w:pPr>
              <w:spacing w:after="0"/>
              <w:rPr>
                <w:sz w:val="1"/>
                <w:szCs w:val="1"/>
                <w:color w:val="auto"/>
              </w:rPr>
            </w:pPr>
          </w:p>
        </w:tc>
      </w:tr>
      <w:tr>
        <w:trPr>
          <w:trHeight w:val="457"/>
        </w:trPr>
        <w:tc>
          <w:tcPr>
            <w:tcW w:w="534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9"/>
        </w:trPr>
        <w:tc>
          <w:tcPr>
            <w:tcW w:w="53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466"/>
        </w:trPr>
        <w:tc>
          <w:tcPr>
            <w:tcW w:w="53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 (loss)</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340" w:type="dxa"/>
            <w:vAlign w:val="bottom"/>
            <w:vMerge w:val="continue"/>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457"/>
        </w:trPr>
        <w:tc>
          <w:tcPr>
            <w:tcW w:w="5340" w:type="dxa"/>
            <w:vAlign w:val="bottom"/>
          </w:tcPr>
          <w:p>
            <w:pPr>
              <w:spacing w:after="0"/>
              <w:rPr>
                <w:sz w:val="20"/>
                <w:szCs w:val="20"/>
                <w:color w:val="auto"/>
              </w:rPr>
            </w:pPr>
            <w:r>
              <w:rPr>
                <w:rFonts w:ascii="Arial" w:cs="Arial" w:eastAsia="Arial" w:hAnsi="Arial"/>
                <w:sz w:val="18"/>
                <w:szCs w:val="18"/>
                <w:b w:val="1"/>
                <w:bCs w:val="1"/>
                <w:color w:val="auto"/>
              </w:rPr>
              <w:t>Earnings (loss) per share</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1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5340" w:type="dxa"/>
            <w:vAlign w:val="bottom"/>
          </w:tcPr>
          <w:p>
            <w:pPr>
              <w:ind w:left="12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5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75"/>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1,564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686</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Receivables, net</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Other current assets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w:t>
            </w:r>
          </w:p>
        </w:tc>
        <w:tc>
          <w:tcPr>
            <w:tcW w:w="0" w:type="dxa"/>
            <w:vAlign w:val="bottom"/>
          </w:tcPr>
          <w:p>
            <w:pPr>
              <w:spacing w:after="0"/>
              <w:rPr>
                <w:sz w:val="1"/>
                <w:szCs w:val="1"/>
                <w:color w:val="auto"/>
              </w:rPr>
            </w:pPr>
          </w:p>
        </w:tc>
      </w:tr>
      <w:tr>
        <w:trPr>
          <w:trHeight w:val="188"/>
        </w:trPr>
        <w:tc>
          <w:tcPr>
            <w:tcW w:w="7760" w:type="dxa"/>
            <w:vAlign w:val="bottom"/>
          </w:tcPr>
          <w:p>
            <w:pPr>
              <w:spacing w:after="0"/>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2,145</w:t>
            </w:r>
          </w:p>
        </w:tc>
        <w:tc>
          <w:tcPr>
            <w:tcW w:w="0" w:type="dxa"/>
            <w:vAlign w:val="bottom"/>
          </w:tcPr>
          <w:p>
            <w:pPr>
              <w:spacing w:after="0"/>
              <w:rPr>
                <w:sz w:val="1"/>
                <w:szCs w:val="1"/>
                <w:color w:val="auto"/>
              </w:rPr>
            </w:pPr>
          </w:p>
        </w:tc>
      </w:tr>
      <w:tr>
        <w:trPr>
          <w:trHeight w:val="332"/>
        </w:trPr>
        <w:tc>
          <w:tcPr>
            <w:tcW w:w="77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692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792</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2,596</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1,662</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1,101</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Other intangibles, net</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798</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4"/>
                <w:szCs w:val="14"/>
                <w:color w:val="auto"/>
              </w:rPr>
              <w:t>Total assets exclusive of assets under vehicle programs</w:t>
            </w: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9,553</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9,311</w:t>
            </w:r>
          </w:p>
        </w:tc>
        <w:tc>
          <w:tcPr>
            <w:tcW w:w="0" w:type="dxa"/>
            <w:vAlign w:val="bottom"/>
          </w:tcPr>
          <w:p>
            <w:pPr>
              <w:spacing w:after="0"/>
              <w:rPr>
                <w:sz w:val="1"/>
                <w:szCs w:val="1"/>
                <w:color w:val="auto"/>
              </w:rPr>
            </w:pPr>
          </w:p>
        </w:tc>
      </w:tr>
      <w:tr>
        <w:trPr>
          <w:trHeight w:val="318"/>
        </w:trPr>
        <w:tc>
          <w:tcPr>
            <w:tcW w:w="776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Program cash</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Vehicles, net</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8,780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12,177</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Receivables from vehicle manufacturers and other</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Investment in Avis Budget Rental Car Funding (AESOP) LLC—related party</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w:t>
            </w:r>
          </w:p>
        </w:tc>
        <w:tc>
          <w:tcPr>
            <w:tcW w:w="0" w:type="dxa"/>
            <w:vAlign w:val="bottom"/>
          </w:tcPr>
          <w:p>
            <w:pPr>
              <w:spacing w:after="0"/>
              <w:rPr>
                <w:sz w:val="1"/>
                <w:szCs w:val="1"/>
                <w:color w:val="auto"/>
              </w:rPr>
            </w:pPr>
          </w:p>
        </w:tc>
      </w:tr>
      <w:tr>
        <w:trPr>
          <w:trHeight w:val="183"/>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10,043</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13,815</w:t>
            </w:r>
          </w:p>
        </w:tc>
        <w:tc>
          <w:tcPr>
            <w:tcW w:w="0" w:type="dxa"/>
            <w:vAlign w:val="bottom"/>
          </w:tcPr>
          <w:p>
            <w:pPr>
              <w:spacing w:after="0"/>
              <w:rPr>
                <w:sz w:val="1"/>
                <w:szCs w:val="1"/>
                <w:color w:val="auto"/>
              </w:rPr>
            </w:pPr>
          </w:p>
        </w:tc>
      </w:tr>
      <w:tr>
        <w:trPr>
          <w:trHeight w:val="183"/>
        </w:trPr>
        <w:tc>
          <w:tcPr>
            <w:tcW w:w="776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19,596</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23,126</w:t>
            </w:r>
          </w:p>
        </w:tc>
        <w:tc>
          <w:tcPr>
            <w:tcW w:w="0" w:type="dxa"/>
            <w:vAlign w:val="bottom"/>
          </w:tcPr>
          <w:p>
            <w:pPr>
              <w:spacing w:after="0"/>
              <w:rPr>
                <w:sz w:val="1"/>
                <w:szCs w:val="1"/>
                <w:color w:val="auto"/>
              </w:rPr>
            </w:pPr>
          </w:p>
        </w:tc>
      </w:tr>
      <w:tr>
        <w:trPr>
          <w:trHeight w:val="21"/>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7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Accounts payable and other current liabilities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2,147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2,206</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Short-term debt and current portion of long-term debt</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8"/>
        </w:trPr>
        <w:tc>
          <w:tcPr>
            <w:tcW w:w="776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2,225</w:t>
            </w:r>
          </w:p>
        </w:tc>
        <w:tc>
          <w:tcPr>
            <w:tcW w:w="0" w:type="dxa"/>
            <w:vAlign w:val="bottom"/>
          </w:tcPr>
          <w:p>
            <w:pPr>
              <w:spacing w:after="0"/>
              <w:rPr>
                <w:sz w:val="1"/>
                <w:szCs w:val="1"/>
                <w:color w:val="auto"/>
              </w:rPr>
            </w:pPr>
          </w:p>
        </w:tc>
      </w:tr>
      <w:tr>
        <w:trPr>
          <w:trHeight w:val="332"/>
        </w:trPr>
        <w:tc>
          <w:tcPr>
            <w:tcW w:w="7760" w:type="dxa"/>
            <w:vAlign w:val="bottom"/>
          </w:tcPr>
          <w:p>
            <w:pPr>
              <w:spacing w:after="0"/>
              <w:rPr>
                <w:sz w:val="20"/>
                <w:szCs w:val="20"/>
                <w:color w:val="auto"/>
              </w:rPr>
            </w:pPr>
            <w:r>
              <w:rPr>
                <w:rFonts w:ascii="Arial" w:cs="Arial" w:eastAsia="Arial" w:hAnsi="Arial"/>
                <w:sz w:val="14"/>
                <w:szCs w:val="14"/>
                <w:color w:val="auto"/>
              </w:rPr>
              <w:t>Long-term debt</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4,145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3,416</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Long-term operating lease liabilities</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2,140</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757</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 programs</w:t>
            </w: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9,241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8,538</w:t>
            </w:r>
          </w:p>
        </w:tc>
        <w:tc>
          <w:tcPr>
            <w:tcW w:w="0" w:type="dxa"/>
            <w:vAlign w:val="bottom"/>
          </w:tcPr>
          <w:p>
            <w:pPr>
              <w:spacing w:after="0"/>
              <w:rPr>
                <w:sz w:val="1"/>
                <w:szCs w:val="1"/>
                <w:color w:val="auto"/>
              </w:rPr>
            </w:pPr>
          </w:p>
        </w:tc>
      </w:tr>
      <w:tr>
        <w:trPr>
          <w:trHeight w:val="318"/>
        </w:trPr>
        <w:tc>
          <w:tcPr>
            <w:tcW w:w="776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Debt</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2,234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3,132</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Debt due to Avis Budget Rental Car Funding (AESOP) LLC—related party</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6,105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7,936</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1,685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2,189</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183"/>
        </w:trPr>
        <w:tc>
          <w:tcPr>
            <w:tcW w:w="7760" w:type="dxa"/>
            <w:vAlign w:val="bottom"/>
            <w:vMerge w:val="restart"/>
          </w:tcPr>
          <w:p>
            <w:pPr>
              <w:spacing w:after="0"/>
              <w:rPr>
                <w:sz w:val="20"/>
                <w:szCs w:val="20"/>
                <w:color w:val="auto"/>
              </w:rPr>
            </w:pPr>
            <w:r>
              <w:rPr>
                <w:rFonts w:ascii="Arial" w:cs="Arial" w:eastAsia="Arial" w:hAnsi="Arial"/>
                <w:sz w:val="14"/>
                <w:szCs w:val="14"/>
                <w:color w:val="auto"/>
              </w:rPr>
              <w:t>Commitments and contingencies (Note 13)</w:t>
            </w: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10,431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13,932</w:t>
            </w:r>
          </w:p>
        </w:tc>
        <w:tc>
          <w:tcPr>
            <w:tcW w:w="0" w:type="dxa"/>
            <w:vAlign w:val="bottom"/>
          </w:tcPr>
          <w:p>
            <w:pPr>
              <w:spacing w:after="0"/>
              <w:rPr>
                <w:sz w:val="1"/>
                <w:szCs w:val="1"/>
                <w:color w:val="auto"/>
              </w:rPr>
            </w:pPr>
          </w:p>
        </w:tc>
      </w:tr>
      <w:tr>
        <w:trPr>
          <w:trHeight w:val="174"/>
        </w:trPr>
        <w:tc>
          <w:tcPr>
            <w:tcW w:w="77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2"/>
        </w:trPr>
        <w:tc>
          <w:tcPr>
            <w:tcW w:w="7760" w:type="dxa"/>
            <w:vAlign w:val="bottom"/>
          </w:tcPr>
          <w:p>
            <w:pPr>
              <w:spacing w:after="0"/>
              <w:rPr>
                <w:sz w:val="20"/>
                <w:szCs w:val="20"/>
                <w:color w:val="auto"/>
              </w:rPr>
            </w:pPr>
            <w:r>
              <w:rPr>
                <w:rFonts w:ascii="Arial" w:cs="Arial" w:eastAsia="Arial" w:hAnsi="Arial"/>
                <w:sz w:val="14"/>
                <w:szCs w:val="14"/>
                <w:color w:val="auto"/>
              </w:rPr>
              <w:t>Stockholders’ equity:</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Preferred stock, $0.01 par value—authorized 10 shares; none issued and outstanding, respectively</w:t>
            </w:r>
          </w:p>
        </w:tc>
        <w:tc>
          <w:tcPr>
            <w:tcW w:w="22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Common stock, $0.01 par value—authorized 250 shares; issued 137 shares, respectively</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6,672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6,741</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Accumulated deficit</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Arial" w:cs="Arial" w:eastAsia="Arial" w:hAnsi="Arial"/>
                <w:sz w:val="14"/>
                <w:szCs w:val="14"/>
                <w:color w:val="auto"/>
              </w:rPr>
              <w:t>Treasury stock, at cost—67 and 63 shares, respectively</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(5,144)</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19,596</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23,126</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4"/>
        </w:trPr>
        <w:tc>
          <w:tcPr>
            <w:tcW w:w="822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81"/>
        </w:trPr>
        <w:tc>
          <w:tcPr>
            <w:tcW w:w="8220" w:type="dxa"/>
            <w:vAlign w:val="bottom"/>
          </w:tcPr>
          <w:p>
            <w:pPr>
              <w:ind w:left="4920"/>
              <w:spacing w:after="0"/>
              <w:rPr>
                <w:sz w:val="20"/>
                <w:szCs w:val="20"/>
                <w:color w:val="auto"/>
              </w:rPr>
            </w:pPr>
            <w:r>
              <w:rPr>
                <w:rFonts w:ascii="Arial" w:cs="Arial" w:eastAsia="Arial" w:hAnsi="Arial"/>
                <w:sz w:val="18"/>
                <w:szCs w:val="18"/>
                <w:b w:val="1"/>
                <w:bCs w:val="1"/>
                <w:color w:val="auto"/>
              </w:rPr>
              <w:t>Avis Budget Group, Inc.</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jc w:val="center"/>
              <w:ind w:left="2630"/>
              <w:spacing w:after="0"/>
              <w:rPr>
                <w:sz w:val="20"/>
                <w:szCs w:val="20"/>
                <w:color w:val="auto"/>
              </w:rPr>
            </w:pPr>
            <w:r>
              <w:rPr>
                <w:rFonts w:ascii="Arial" w:cs="Arial" w:eastAsia="Arial" w:hAnsi="Arial"/>
                <w:sz w:val="18"/>
                <w:szCs w:val="18"/>
                <w:b w:val="1"/>
                <w:bCs w:val="1"/>
                <w:color w:val="auto"/>
                <w:w w:val="99"/>
              </w:rPr>
              <w:t>CONSOLIDATED CONDENSED STATEMENTS OF CASH FLOWS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jc w:val="center"/>
              <w:ind w:left="2930"/>
              <w:spacing w:after="0"/>
              <w:rPr>
                <w:sz w:val="20"/>
                <w:szCs w:val="20"/>
                <w:color w:val="auto"/>
              </w:rPr>
            </w:pPr>
            <w:r>
              <w:rPr>
                <w:rFonts w:ascii="Arial" w:cs="Arial" w:eastAsia="Arial" w:hAnsi="Arial"/>
                <w:sz w:val="18"/>
                <w:szCs w:val="18"/>
                <w:b w:val="1"/>
                <w:bCs w:val="1"/>
                <w:color w:val="auto"/>
                <w:w w:val="98"/>
              </w:rPr>
              <w:t>(In millions)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220" w:type="dxa"/>
            <w:vAlign w:val="bottom"/>
          </w:tcPr>
          <w:p>
            <w:pPr>
              <w:jc w:val="center"/>
              <w:ind w:left="2890"/>
              <w:spacing w:after="0"/>
              <w:rPr>
                <w:sz w:val="20"/>
                <w:szCs w:val="20"/>
                <w:color w:val="auto"/>
              </w:rPr>
            </w:pPr>
            <w:r>
              <w:rPr>
                <w:rFonts w:ascii="Arial" w:cs="Arial" w:eastAsia="Arial" w:hAnsi="Arial"/>
                <w:sz w:val="18"/>
                <w:szCs w:val="18"/>
                <w:b w:val="1"/>
                <w:bCs w:val="1"/>
                <w:color w:val="auto"/>
                <w:w w:val="99"/>
              </w:rPr>
              <w:t>(Unaudited)</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8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3"/>
          </w:tcPr>
          <w:p>
            <w:pPr>
              <w:jc w:val="right"/>
              <w:ind w:right="590"/>
              <w:spacing w:after="0" w:line="190" w:lineRule="exact"/>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8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82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0"/>
        </w:trPr>
        <w:tc>
          <w:tcPr>
            <w:tcW w:w="82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180"/>
              <w:spacing w:after="0"/>
              <w:rPr>
                <w:sz w:val="20"/>
                <w:szCs w:val="20"/>
                <w:color w:val="auto"/>
              </w:rPr>
            </w:pPr>
            <w:r>
              <w:rPr>
                <w:rFonts w:ascii="Arial" w:cs="Arial" w:eastAsia="Arial" w:hAnsi="Arial"/>
                <w:sz w:val="18"/>
                <w:szCs w:val="18"/>
                <w:color w:val="auto"/>
              </w:rPr>
              <w:t>Vehicle depreciation</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29"/>
        </w:trPr>
        <w:tc>
          <w:tcPr>
            <w:tcW w:w="8220" w:type="dxa"/>
            <w:vAlign w:val="bottom"/>
          </w:tcPr>
          <w:p>
            <w:pPr>
              <w:ind w:left="180"/>
              <w:spacing w:after="0"/>
              <w:rPr>
                <w:sz w:val="20"/>
                <w:szCs w:val="20"/>
                <w:color w:val="auto"/>
              </w:rPr>
            </w:pPr>
            <w:r>
              <w:rPr>
                <w:rFonts w:ascii="Arial" w:cs="Arial" w:eastAsia="Arial" w:hAnsi="Arial"/>
                <w:sz w:val="18"/>
                <w:szCs w:val="18"/>
                <w:color w:val="auto"/>
              </w:rPr>
              <w:t>Amortization of right-of-use assets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30"/>
        </w:trPr>
        <w:tc>
          <w:tcPr>
            <w:tcW w:w="8220" w:type="dxa"/>
            <w:vAlign w:val="bottom"/>
          </w:tcPr>
          <w:p>
            <w:pPr>
              <w:ind w:left="180"/>
              <w:spacing w:after="0"/>
              <w:rPr>
                <w:sz w:val="20"/>
                <w:szCs w:val="20"/>
                <w:color w:val="auto"/>
              </w:rPr>
            </w:pPr>
            <w:r>
              <w:rPr>
                <w:rFonts w:ascii="Arial" w:cs="Arial" w:eastAsia="Arial" w:hAnsi="Arial"/>
                <w:sz w:val="18"/>
                <w:szCs w:val="18"/>
                <w:color w:val="auto"/>
              </w:rPr>
              <w:t>(Gain) loss on sale of vehicles, net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8220" w:type="dxa"/>
            <w:vAlign w:val="bottom"/>
          </w:tcPr>
          <w:p>
            <w:pPr>
              <w:ind w:left="180"/>
              <w:spacing w:after="0"/>
              <w:rPr>
                <w:sz w:val="20"/>
                <w:szCs w:val="20"/>
                <w:color w:val="auto"/>
              </w:rPr>
            </w:pPr>
            <w:r>
              <w:rPr>
                <w:rFonts w:ascii="Arial" w:cs="Arial" w:eastAsia="Arial" w:hAnsi="Arial"/>
                <w:sz w:val="18"/>
                <w:szCs w:val="18"/>
                <w:color w:val="auto"/>
              </w:rPr>
              <w:t>Non-vehicle related depreciation and amortization</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9"/>
        </w:trPr>
        <w:tc>
          <w:tcPr>
            <w:tcW w:w="82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8220" w:type="dxa"/>
            <w:vAlign w:val="bottom"/>
          </w:tcPr>
          <w:p>
            <w:pPr>
              <w:ind w:left="180"/>
              <w:spacing w:after="0"/>
              <w:rPr>
                <w:sz w:val="20"/>
                <w:szCs w:val="20"/>
                <w:color w:val="auto"/>
              </w:rPr>
            </w:pPr>
            <w:r>
              <w:rPr>
                <w:rFonts w:ascii="Arial" w:cs="Arial" w:eastAsia="Arial" w:hAnsi="Arial"/>
                <w:sz w:val="18"/>
                <w:szCs w:val="18"/>
                <w:color w:val="auto"/>
              </w:rPr>
              <w:t>Amortization of debt financing fees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8220" w:type="dxa"/>
            <w:vAlign w:val="bottom"/>
          </w:tcPr>
          <w:p>
            <w:pPr>
              <w:ind w:left="180"/>
              <w:spacing w:after="0"/>
              <w:rPr>
                <w:sz w:val="20"/>
                <w:szCs w:val="20"/>
                <w:color w:val="auto"/>
              </w:rPr>
            </w:pPr>
            <w:r>
              <w:rPr>
                <w:rFonts w:ascii="Arial" w:cs="Arial" w:eastAsia="Arial" w:hAnsi="Arial"/>
                <w:sz w:val="18"/>
                <w:szCs w:val="18"/>
                <w:color w:val="auto"/>
              </w:rPr>
              <w:t>Early extinguishment of debt costs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8220" w:type="dxa"/>
            <w:vAlign w:val="bottom"/>
          </w:tcPr>
          <w:p>
            <w:pPr>
              <w:ind w:left="180"/>
              <w:spacing w:after="0"/>
              <w:rPr>
                <w:sz w:val="20"/>
                <w:szCs w:val="20"/>
                <w:color w:val="auto"/>
              </w:rPr>
            </w:pPr>
            <w:r>
              <w:rPr>
                <w:rFonts w:ascii="Arial" w:cs="Arial" w:eastAsia="Arial" w:hAnsi="Arial"/>
                <w:sz w:val="18"/>
                <w:szCs w:val="18"/>
                <w:color w:val="auto"/>
              </w:rPr>
              <w:t>Net change in assets and liabilities: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340"/>
              <w:spacing w:after="0"/>
              <w:rPr>
                <w:sz w:val="20"/>
                <w:szCs w:val="20"/>
                <w:color w:val="auto"/>
              </w:rPr>
            </w:pPr>
            <w:r>
              <w:rPr>
                <w:rFonts w:ascii="Arial" w:cs="Arial" w:eastAsia="Arial" w:hAnsi="Arial"/>
                <w:sz w:val="18"/>
                <w:szCs w:val="18"/>
                <w:color w:val="auto"/>
              </w:rPr>
              <w:t>Receivables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8220" w:type="dxa"/>
            <w:vAlign w:val="bottom"/>
          </w:tcPr>
          <w:p>
            <w:pPr>
              <w:ind w:left="340"/>
              <w:spacing w:after="0"/>
              <w:rPr>
                <w:sz w:val="20"/>
                <w:szCs w:val="20"/>
                <w:color w:val="auto"/>
              </w:rPr>
            </w:pPr>
            <w:r>
              <w:rPr>
                <w:rFonts w:ascii="Arial" w:cs="Arial" w:eastAsia="Arial" w:hAnsi="Arial"/>
                <w:sz w:val="18"/>
                <w:szCs w:val="18"/>
                <w:color w:val="auto"/>
              </w:rPr>
              <w:t>Income taxes and deferred income taxes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8220" w:type="dxa"/>
            <w:vAlign w:val="bottom"/>
          </w:tcPr>
          <w:p>
            <w:pPr>
              <w:ind w:left="340"/>
              <w:spacing w:after="0"/>
              <w:rPr>
                <w:sz w:val="20"/>
                <w:szCs w:val="20"/>
                <w:color w:val="auto"/>
              </w:rPr>
            </w:pPr>
            <w:r>
              <w:rPr>
                <w:rFonts w:ascii="Arial" w:cs="Arial" w:eastAsia="Arial" w:hAnsi="Arial"/>
                <w:sz w:val="18"/>
                <w:szCs w:val="18"/>
                <w:color w:val="auto"/>
              </w:rPr>
              <w:t>Accounts payable and other current liabilities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822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39"/>
        </w:trPr>
        <w:tc>
          <w:tcPr>
            <w:tcW w:w="82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457"/>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Property and equipment additions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Proceeds received on asset sales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Net assets acquired (net of cash acquired)</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9"/>
        </w:trPr>
        <w:tc>
          <w:tcPr>
            <w:tcW w:w="8220" w:type="dxa"/>
            <w:vAlign w:val="bottom"/>
          </w:tcPr>
          <w:p>
            <w:pPr>
              <w:ind w:left="2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457"/>
        </w:trPr>
        <w:tc>
          <w:tcPr>
            <w:tcW w:w="8220" w:type="dxa"/>
            <w:vAlign w:val="bottom"/>
          </w:tcPr>
          <w:p>
            <w:pPr>
              <w:ind w:left="20"/>
              <w:spacing w:after="0"/>
              <w:rPr>
                <w:sz w:val="20"/>
                <w:szCs w:val="20"/>
                <w:color w:val="auto"/>
              </w:rPr>
            </w:pPr>
            <w:r>
              <w:rPr>
                <w:rFonts w:ascii="Arial" w:cs="Arial" w:eastAsia="Arial" w:hAnsi="Arial"/>
                <w:sz w:val="18"/>
                <w:szCs w:val="18"/>
                <w:i w:val="1"/>
                <w:iCs w:val="1"/>
                <w:color w:val="auto"/>
              </w:rPr>
              <w:t>Vehicle programs: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80"/>
              <w:spacing w:after="0"/>
              <w:rPr>
                <w:sz w:val="20"/>
                <w:szCs w:val="20"/>
                <w:color w:val="auto"/>
              </w:rPr>
            </w:pPr>
            <w:r>
              <w:rPr>
                <w:rFonts w:ascii="Arial" w:cs="Arial" w:eastAsia="Arial" w:hAnsi="Arial"/>
                <w:sz w:val="18"/>
                <w:szCs w:val="18"/>
                <w:color w:val="auto"/>
              </w:rPr>
              <w:t>Investment in vehicles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(4,749)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(10,621)</w:t>
            </w:r>
          </w:p>
        </w:tc>
        <w:tc>
          <w:tcPr>
            <w:tcW w:w="0" w:type="dxa"/>
            <w:vAlign w:val="bottom"/>
          </w:tcPr>
          <w:p>
            <w:pPr>
              <w:spacing w:after="0"/>
              <w:rPr>
                <w:sz w:val="1"/>
                <w:szCs w:val="1"/>
                <w:color w:val="auto"/>
              </w:rPr>
            </w:pPr>
          </w:p>
        </w:tc>
      </w:tr>
      <w:tr>
        <w:trPr>
          <w:trHeight w:val="229"/>
        </w:trPr>
        <w:tc>
          <w:tcPr>
            <w:tcW w:w="8220" w:type="dxa"/>
            <w:vAlign w:val="bottom"/>
          </w:tcPr>
          <w:p>
            <w:pPr>
              <w:ind w:left="180"/>
              <w:spacing w:after="0"/>
              <w:rPr>
                <w:sz w:val="20"/>
                <w:szCs w:val="20"/>
                <w:color w:val="auto"/>
              </w:rPr>
            </w:pPr>
            <w:r>
              <w:rPr>
                <w:rFonts w:ascii="Arial" w:cs="Arial" w:eastAsia="Arial" w:hAnsi="Arial"/>
                <w:sz w:val="18"/>
                <w:szCs w:val="18"/>
                <w:color w:val="auto"/>
              </w:rPr>
              <w:t>Proceeds received on disposition of vehicles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7,386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7,826</w:t>
            </w:r>
          </w:p>
        </w:tc>
        <w:tc>
          <w:tcPr>
            <w:tcW w:w="0" w:type="dxa"/>
            <w:vAlign w:val="bottom"/>
          </w:tcPr>
          <w:p>
            <w:pPr>
              <w:spacing w:after="0"/>
              <w:rPr>
                <w:sz w:val="1"/>
                <w:szCs w:val="1"/>
                <w:color w:val="auto"/>
              </w:rPr>
            </w:pPr>
          </w:p>
        </w:tc>
      </w:tr>
      <w:tr>
        <w:trPr>
          <w:trHeight w:val="230"/>
        </w:trPr>
        <w:tc>
          <w:tcPr>
            <w:tcW w:w="8220" w:type="dxa"/>
            <w:vAlign w:val="bottom"/>
          </w:tcPr>
          <w:p>
            <w:pPr>
              <w:ind w:left="180"/>
              <w:spacing w:after="0"/>
              <w:rPr>
                <w:sz w:val="20"/>
                <w:szCs w:val="20"/>
                <w:color w:val="auto"/>
              </w:rPr>
            </w:pPr>
            <w:r>
              <w:rPr>
                <w:rFonts w:ascii="Arial" w:cs="Arial" w:eastAsia="Arial" w:hAnsi="Arial"/>
                <w:sz w:val="18"/>
                <w:szCs w:val="18"/>
                <w:color w:val="auto"/>
              </w:rPr>
              <w:t>Investment in debt securities of Avis Budget Rental Car Funding (AESOP) LLC—related party</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9"/>
        </w:trPr>
        <w:tc>
          <w:tcPr>
            <w:tcW w:w="8220" w:type="dxa"/>
            <w:vAlign w:val="bottom"/>
          </w:tcPr>
          <w:p>
            <w:pPr>
              <w:ind w:left="180"/>
              <w:spacing w:after="0"/>
              <w:rPr>
                <w:sz w:val="20"/>
                <w:szCs w:val="20"/>
                <w:color w:val="auto"/>
              </w:rPr>
            </w:pPr>
            <w:r>
              <w:rPr>
                <w:rFonts w:ascii="Arial" w:cs="Arial" w:eastAsia="Arial" w:hAnsi="Arial"/>
                <w:sz w:val="18"/>
                <w:szCs w:val="18"/>
                <w:color w:val="auto"/>
              </w:rPr>
              <w:t>Proceeds from debt securities of Avis Budget Rental Car Funding (AESOP) LLC—related party</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82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w:t>
            </w:r>
          </w:p>
        </w:tc>
        <w:tc>
          <w:tcPr>
            <w:tcW w:w="0" w:type="dxa"/>
            <w:vAlign w:val="bottom"/>
          </w:tcPr>
          <w:p>
            <w:pPr>
              <w:spacing w:after="0"/>
              <w:rPr>
                <w:sz w:val="1"/>
                <w:szCs w:val="1"/>
                <w:color w:val="auto"/>
              </w:rPr>
            </w:pPr>
          </w:p>
        </w:tc>
      </w:tr>
      <w:tr>
        <w:trPr>
          <w:trHeight w:val="223"/>
        </w:trPr>
        <w:tc>
          <w:tcPr>
            <w:tcW w:w="8220" w:type="dxa"/>
            <w:vAlign w:val="bottom"/>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44"/>
        </w:trPr>
        <w:tc>
          <w:tcPr>
            <w:tcW w:w="822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81"/>
        </w:trPr>
        <w:tc>
          <w:tcPr>
            <w:tcW w:w="8220" w:type="dxa"/>
            <w:vAlign w:val="bottom"/>
          </w:tcPr>
          <w:p>
            <w:pPr>
              <w:jc w:val="center"/>
              <w:ind w:left="2930"/>
              <w:spacing w:after="0"/>
              <w:rPr>
                <w:sz w:val="20"/>
                <w:szCs w:val="20"/>
                <w:color w:val="auto"/>
              </w:rPr>
            </w:pPr>
            <w:r>
              <w:rPr>
                <w:rFonts w:ascii="Arial" w:cs="Arial" w:eastAsia="Arial" w:hAnsi="Arial"/>
                <w:sz w:val="18"/>
                <w:szCs w:val="18"/>
                <w:b w:val="1"/>
                <w:bCs w:val="1"/>
                <w:color w:val="auto"/>
                <w:w w:val="99"/>
              </w:rPr>
              <w:t>Avis Budget Group, Inc.</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760" w:type="dxa"/>
            <w:vAlign w:val="bottom"/>
            <w:gridSpan w:val="4"/>
          </w:tcPr>
          <w:p>
            <w:pPr>
              <w:jc w:val="center"/>
              <w:ind w:left="1390"/>
              <w:spacing w:after="0"/>
              <w:rPr>
                <w:sz w:val="20"/>
                <w:szCs w:val="20"/>
                <w:color w:val="auto"/>
              </w:rPr>
            </w:pPr>
            <w:r>
              <w:rPr>
                <w:rFonts w:ascii="Arial" w:cs="Arial" w:eastAsia="Arial" w:hAnsi="Arial"/>
                <w:sz w:val="18"/>
                <w:szCs w:val="18"/>
                <w:b w:val="1"/>
                <w:bCs w:val="1"/>
                <w:color w:val="auto"/>
                <w:w w:val="99"/>
              </w:rPr>
              <w:t>CONSOLIDATED CONDENSED STATEMENTS OF CASH FLOWS (Continued)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jc w:val="center"/>
              <w:ind w:left="2930"/>
              <w:spacing w:after="0"/>
              <w:rPr>
                <w:sz w:val="20"/>
                <w:szCs w:val="20"/>
                <w:color w:val="auto"/>
              </w:rPr>
            </w:pPr>
            <w:r>
              <w:rPr>
                <w:rFonts w:ascii="Arial" w:cs="Arial" w:eastAsia="Arial" w:hAnsi="Arial"/>
                <w:sz w:val="18"/>
                <w:szCs w:val="18"/>
                <w:b w:val="1"/>
                <w:bCs w:val="1"/>
                <w:color w:val="auto"/>
                <w:w w:val="98"/>
              </w:rPr>
              <w:t>(In millions)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220" w:type="dxa"/>
            <w:vAlign w:val="bottom"/>
          </w:tcPr>
          <w:p>
            <w:pPr>
              <w:jc w:val="center"/>
              <w:ind w:left="2930"/>
              <w:spacing w:after="0"/>
              <w:rPr>
                <w:sz w:val="20"/>
                <w:szCs w:val="20"/>
                <w:color w:val="auto"/>
              </w:rPr>
            </w:pPr>
            <w:r>
              <w:rPr>
                <w:rFonts w:ascii="Arial" w:cs="Arial" w:eastAsia="Arial" w:hAnsi="Arial"/>
                <w:sz w:val="18"/>
                <w:szCs w:val="18"/>
                <w:b w:val="1"/>
                <w:bCs w:val="1"/>
                <w:color w:val="auto"/>
                <w:w w:val="99"/>
              </w:rPr>
              <w:t>(Unaudited)</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8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610"/>
              <w:spacing w:after="0" w:line="190" w:lineRule="exact"/>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8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82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0"/>
        </w:trPr>
        <w:tc>
          <w:tcPr>
            <w:tcW w:w="82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Proceeds from long-term 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Payments on long-term 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Issuance of common stock</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Repurchases of common stock</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9"/>
        </w:trPr>
        <w:tc>
          <w:tcPr>
            <w:tcW w:w="8220" w:type="dxa"/>
            <w:vAlign w:val="bottom"/>
          </w:tcPr>
          <w:p>
            <w:pPr>
              <w:ind w:left="20"/>
              <w:spacing w:after="0"/>
              <w:rPr>
                <w:sz w:val="20"/>
                <w:szCs w:val="20"/>
                <w:color w:val="auto"/>
              </w:rPr>
            </w:pPr>
            <w:r>
              <w:rPr>
                <w:rFonts w:ascii="Arial" w:cs="Arial" w:eastAsia="Arial" w:hAnsi="Arial"/>
                <w:sz w:val="18"/>
                <w:szCs w:val="18"/>
                <w:color w:val="auto"/>
              </w:rPr>
              <w:t>Debt financing fees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 exclusive of vehicle programs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457"/>
        </w:trPr>
        <w:tc>
          <w:tcPr>
            <w:tcW w:w="8220" w:type="dxa"/>
            <w:vAlign w:val="bottom"/>
          </w:tcPr>
          <w:p>
            <w:pPr>
              <w:ind w:left="20"/>
              <w:spacing w:after="0"/>
              <w:rPr>
                <w:sz w:val="20"/>
                <w:szCs w:val="20"/>
                <w:color w:val="auto"/>
              </w:rPr>
            </w:pPr>
            <w:r>
              <w:rPr>
                <w:rFonts w:ascii="Arial" w:cs="Arial" w:eastAsia="Arial" w:hAnsi="Arial"/>
                <w:sz w:val="18"/>
                <w:szCs w:val="18"/>
                <w:i w:val="1"/>
                <w:iCs w:val="1"/>
                <w:color w:val="auto"/>
              </w:rPr>
              <w:t>Vehicle programs: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16,042</w:t>
            </w:r>
          </w:p>
        </w:tc>
        <w:tc>
          <w:tcPr>
            <w:tcW w:w="0" w:type="dxa"/>
            <w:vAlign w:val="bottom"/>
          </w:tcPr>
          <w:p>
            <w:pPr>
              <w:spacing w:after="0"/>
              <w:rPr>
                <w:sz w:val="1"/>
                <w:szCs w:val="1"/>
                <w:color w:val="auto"/>
              </w:rPr>
            </w:pPr>
          </w:p>
        </w:tc>
      </w:tr>
      <w:tr>
        <w:trPr>
          <w:trHeight w:val="229"/>
        </w:trPr>
        <w:tc>
          <w:tcPr>
            <w:tcW w:w="8220" w:type="dxa"/>
            <w:vAlign w:val="bottom"/>
          </w:tcPr>
          <w:p>
            <w:pPr>
              <w:ind w:left="180"/>
              <w:spacing w:after="0"/>
              <w:rPr>
                <w:sz w:val="20"/>
                <w:szCs w:val="20"/>
                <w:color w:val="auto"/>
              </w:rPr>
            </w:pPr>
            <w:r>
              <w:rPr>
                <w:rFonts w:ascii="Arial" w:cs="Arial" w:eastAsia="Arial" w:hAnsi="Arial"/>
                <w:sz w:val="18"/>
                <w:szCs w:val="18"/>
                <w:color w:val="auto"/>
              </w:rPr>
              <w:t>Payments on 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(14,838)</w:t>
            </w:r>
          </w:p>
        </w:tc>
        <w:tc>
          <w:tcPr>
            <w:tcW w:w="0" w:type="dxa"/>
            <w:vAlign w:val="bottom"/>
          </w:tcPr>
          <w:p>
            <w:pPr>
              <w:spacing w:after="0"/>
              <w:rPr>
                <w:sz w:val="1"/>
                <w:szCs w:val="1"/>
                <w:color w:val="auto"/>
              </w:rPr>
            </w:pPr>
          </w:p>
        </w:tc>
      </w:tr>
      <w:tr>
        <w:trPr>
          <w:trHeight w:val="239"/>
        </w:trPr>
        <w:tc>
          <w:tcPr>
            <w:tcW w:w="8220" w:type="dxa"/>
            <w:vAlign w:val="bottom"/>
          </w:tcPr>
          <w:p>
            <w:pPr>
              <w:ind w:left="180"/>
              <w:spacing w:after="0"/>
              <w:rPr>
                <w:sz w:val="20"/>
                <w:szCs w:val="20"/>
                <w:color w:val="auto"/>
              </w:rPr>
            </w:pPr>
            <w:r>
              <w:rPr>
                <w:rFonts w:ascii="Arial" w:cs="Arial" w:eastAsia="Arial" w:hAnsi="Arial"/>
                <w:sz w:val="18"/>
                <w:szCs w:val="18"/>
                <w:color w:val="auto"/>
              </w:rPr>
              <w:t>Debt financing fees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82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23"/>
        </w:trPr>
        <w:tc>
          <w:tcPr>
            <w:tcW w:w="8220" w:type="dxa"/>
            <w:vAlign w:val="bottom"/>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466"/>
        </w:trPr>
        <w:tc>
          <w:tcPr>
            <w:tcW w:w="8220" w:type="dxa"/>
            <w:vAlign w:val="bottom"/>
          </w:tcPr>
          <w:p>
            <w:pPr>
              <w:ind w:left="20"/>
              <w:spacing w:after="0"/>
              <w:rPr>
                <w:sz w:val="20"/>
                <w:szCs w:val="20"/>
                <w:color w:val="auto"/>
              </w:rPr>
            </w:pPr>
            <w:r>
              <w:rPr>
                <w:rFonts w:ascii="Arial" w:cs="Arial" w:eastAsia="Arial" w:hAnsi="Arial"/>
                <w:sz w:val="18"/>
                <w:szCs w:val="18"/>
                <w:color w:val="auto"/>
              </w:rPr>
              <w:t>Effect of changes in exchange rates on cash and cash equivalents, program and restricted cash</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57"/>
        </w:trPr>
        <w:tc>
          <w:tcPr>
            <w:tcW w:w="822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 program and restricted cash</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9"/>
        </w:trPr>
        <w:tc>
          <w:tcPr>
            <w:tcW w:w="8220" w:type="dxa"/>
            <w:vAlign w:val="bottom"/>
          </w:tcPr>
          <w:p>
            <w:pPr>
              <w:ind w:left="2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program and restricted cash,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220"/>
          </w:cols>
          <w:pgMar w:left="320" w:top="11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gridSpan w:val="6"/>
            <w:vMerge w:val="restart"/>
          </w:tcPr>
          <w:p>
            <w:pPr>
              <w:jc w:val="right"/>
              <w:ind w:right="366"/>
              <w:spacing w:after="0"/>
              <w:rPr>
                <w:sz w:val="20"/>
                <w:szCs w:val="20"/>
                <w:color w:val="auto"/>
              </w:rPr>
            </w:pPr>
            <w:r>
              <w:rPr>
                <w:rFonts w:ascii="Arial" w:cs="Arial" w:eastAsia="Arial" w:hAnsi="Arial"/>
                <w:sz w:val="11"/>
                <w:szCs w:val="11"/>
                <w:b w:val="1"/>
                <w:bCs w:val="1"/>
                <w:color w:val="auto"/>
              </w:rPr>
              <w:t>Common Stock</w:t>
            </w:r>
          </w:p>
        </w:tc>
        <w:tc>
          <w:tcPr>
            <w:tcW w:w="120" w:type="dxa"/>
            <w:vAlign w:val="bottom"/>
            <w:gridSpan w:val="2"/>
            <w:vMerge w:val="restart"/>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98"/>
              </w:rPr>
              <w:t>Accumulated Other</w:t>
            </w:r>
          </w:p>
        </w:tc>
        <w:tc>
          <w:tcPr>
            <w:tcW w:w="20" w:type="dxa"/>
            <w:vAlign w:val="bottom"/>
          </w:tcPr>
          <w:p>
            <w:pPr>
              <w:spacing w:after="0"/>
              <w:rPr>
                <w:sz w:val="10"/>
                <w:szCs w:val="10"/>
                <w:color w:val="auto"/>
              </w:rPr>
            </w:pPr>
          </w:p>
        </w:tc>
        <w:tc>
          <w:tcPr>
            <w:tcW w:w="1620" w:type="dxa"/>
            <w:vAlign w:val="bottom"/>
            <w:gridSpan w:val="6"/>
            <w:vMerge w:val="restart"/>
          </w:tcPr>
          <w:p>
            <w:pPr>
              <w:jc w:val="right"/>
              <w:ind w:right="366"/>
              <w:spacing w:after="0"/>
              <w:rPr>
                <w:sz w:val="20"/>
                <w:szCs w:val="20"/>
                <w:color w:val="auto"/>
              </w:rPr>
            </w:pPr>
            <w:r>
              <w:rPr>
                <w:rFonts w:ascii="Arial" w:cs="Arial" w:eastAsia="Arial" w:hAnsi="Arial"/>
                <w:sz w:val="11"/>
                <w:szCs w:val="11"/>
                <w:b w:val="1"/>
                <w:bCs w:val="1"/>
                <w:color w:val="auto"/>
              </w:rPr>
              <w:t>Treasury Stock</w:t>
            </w:r>
          </w:p>
        </w:tc>
        <w:tc>
          <w:tcPr>
            <w:tcW w:w="120" w:type="dxa"/>
            <w:vAlign w:val="bottom"/>
            <w:gridSpan w:val="2"/>
            <w:vMerge w:val="restart"/>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56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gridSpan w:val="6"/>
            <w:vMerge w:val="continue"/>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3"/>
          </w:tcPr>
          <w:p>
            <w:pPr>
              <w:spacing w:after="0" w:line="88" w:lineRule="exact"/>
              <w:rPr>
                <w:sz w:val="20"/>
                <w:szCs w:val="20"/>
                <w:color w:val="auto"/>
              </w:rPr>
            </w:pPr>
            <w:r>
              <w:rPr>
                <w:rFonts w:ascii="Arial" w:cs="Arial" w:eastAsia="Arial" w:hAnsi="Arial"/>
                <w:sz w:val="10"/>
                <w:szCs w:val="10"/>
                <w:b w:val="1"/>
                <w:bCs w:val="1"/>
                <w:color w:val="auto"/>
              </w:rPr>
              <w:t>Additional Paid-in</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380" w:type="dxa"/>
            <w:vAlign w:val="bottom"/>
            <w:gridSpan w:val="4"/>
          </w:tcPr>
          <w:p>
            <w:pPr>
              <w:ind w:left="20"/>
              <w:spacing w:after="0" w:line="88" w:lineRule="exact"/>
              <w:rPr>
                <w:sz w:val="20"/>
                <w:szCs w:val="20"/>
                <w:color w:val="auto"/>
              </w:rPr>
            </w:pPr>
            <w:r>
              <w:rPr>
                <w:rFonts w:ascii="Arial" w:cs="Arial" w:eastAsia="Arial" w:hAnsi="Arial"/>
                <w:sz w:val="10"/>
                <w:szCs w:val="10"/>
                <w:b w:val="1"/>
                <w:bCs w:val="1"/>
                <w:color w:val="auto"/>
              </w:rPr>
              <w:t>Comprehensive Income</w:t>
            </w:r>
          </w:p>
        </w:tc>
        <w:tc>
          <w:tcPr>
            <w:tcW w:w="2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gridSpan w:val="6"/>
            <w:vMerge w:val="continue"/>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tcPr>
          <w:p>
            <w:pPr>
              <w:jc w:val="right"/>
              <w:ind w:right="46"/>
              <w:spacing w:after="0" w:line="88" w:lineRule="exact"/>
              <w:rPr>
                <w:sz w:val="20"/>
                <w:szCs w:val="20"/>
                <w:color w:val="auto"/>
              </w:rPr>
            </w:pPr>
            <w:r>
              <w:rPr>
                <w:rFonts w:ascii="Arial" w:cs="Arial" w:eastAsia="Arial" w:hAnsi="Arial"/>
                <w:sz w:val="10"/>
                <w:szCs w:val="10"/>
                <w:b w:val="1"/>
                <w:bCs w:val="1"/>
                <w:color w:val="auto"/>
              </w:rPr>
              <w:t>Total Stockholders’</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3"/>
          </w:tcPr>
          <w:p>
            <w:pPr>
              <w:ind w:left="16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tcPr>
          <w:p>
            <w:pPr>
              <w:ind w:left="280"/>
              <w:spacing w:after="0"/>
              <w:rPr>
                <w:sz w:val="20"/>
                <w:szCs w:val="20"/>
                <w:color w:val="auto"/>
              </w:rPr>
            </w:pPr>
            <w:r>
              <w:rPr>
                <w:rFonts w:ascii="Arial" w:cs="Arial" w:eastAsia="Arial" w:hAnsi="Arial"/>
                <w:sz w:val="11"/>
                <w:szCs w:val="11"/>
                <w:b w:val="1"/>
                <w:bCs w:val="1"/>
                <w:color w:val="auto"/>
              </w:rPr>
              <w:t>Capital</w:t>
            </w:r>
          </w:p>
        </w:tc>
        <w:tc>
          <w:tcPr>
            <w:tcW w:w="20" w:type="dxa"/>
            <w:vAlign w:val="bottom"/>
          </w:tcPr>
          <w:p>
            <w:pPr>
              <w:spacing w:after="0"/>
              <w:rPr>
                <w:sz w:val="13"/>
                <w:szCs w:val="13"/>
                <w:color w:val="auto"/>
              </w:rPr>
            </w:pP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Accumulated Deficit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96"/>
              </w:rPr>
              <w:t>(Loss)</w:t>
            </w:r>
          </w:p>
        </w:tc>
        <w:tc>
          <w:tcPr>
            <w:tcW w:w="20" w:type="dxa"/>
            <w:vAlign w:val="bottom"/>
          </w:tcPr>
          <w:p>
            <w:pPr>
              <w:spacing w:after="0"/>
              <w:rPr>
                <w:sz w:val="13"/>
                <w:szCs w:val="13"/>
                <w:color w:val="auto"/>
              </w:rPr>
            </w:pP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386"/>
              <w:spacing w:after="0"/>
              <w:rPr>
                <w:sz w:val="20"/>
                <w:szCs w:val="20"/>
                <w:color w:val="auto"/>
              </w:rPr>
            </w:pPr>
            <w:r>
              <w:rPr>
                <w:rFonts w:ascii="Arial" w:cs="Arial" w:eastAsia="Arial" w:hAnsi="Arial"/>
                <w:sz w:val="11"/>
                <w:szCs w:val="11"/>
                <w:b w:val="1"/>
                <w:bCs w:val="1"/>
                <w:color w:val="auto"/>
              </w:rPr>
              <w:t>Equity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20"/>
                <w:szCs w:val="20"/>
                <w:color w:val="auto"/>
              </w:rPr>
            </w:pPr>
            <w:r>
              <w:rPr>
                <w:rFonts w:ascii="Arial" w:cs="Arial" w:eastAsia="Arial" w:hAnsi="Arial"/>
                <w:sz w:val="11"/>
                <w:szCs w:val="11"/>
                <w:b w:val="1"/>
                <w:bCs w:val="1"/>
                <w:color w:val="auto"/>
              </w:rPr>
              <w:t>Balance at June 30, 2020</w:t>
            </w: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rPr>
              <w:t>137.1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gridSpan w:val="2"/>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6,670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top w:val="single" w:sz="8" w:color="auto"/>
            </w:tcBorders>
            <w:gridSpan w:val="2"/>
          </w:tcPr>
          <w:p>
            <w:pPr>
              <w:jc w:val="right"/>
              <w:ind w:right="326"/>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(1,425)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(223)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rPr>
              <w:t>(67.4)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gridSpan w:val="2"/>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(5,176)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1"/>
                <w:szCs w:val="11"/>
                <w:b w:val="1"/>
                <w:bCs w:val="1"/>
                <w:color w:val="auto"/>
              </w:rPr>
              <w:t>Comprehensive loss:</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60" w:type="dxa"/>
            <w:vAlign w:val="bottom"/>
          </w:tcPr>
          <w:p>
            <w:pPr>
              <w:spacing w:after="0"/>
              <w:rPr>
                <w:sz w:val="20"/>
                <w:szCs w:val="20"/>
                <w:color w:val="auto"/>
              </w:rPr>
            </w:pPr>
            <w:r>
              <w:rPr>
                <w:rFonts w:ascii="Arial" w:cs="Arial" w:eastAsia="Arial" w:hAnsi="Arial"/>
                <w:sz w:val="11"/>
                <w:szCs w:val="11"/>
                <w:color w:val="auto"/>
              </w:rPr>
              <w:t>Net income</w:t>
            </w:r>
          </w:p>
        </w:tc>
        <w:tc>
          <w:tcPr>
            <w:tcW w:w="20" w:type="dxa"/>
            <w:vAlign w:val="bottom"/>
          </w:tcPr>
          <w:p>
            <w:pPr>
              <w:spacing w:after="0"/>
              <w:rPr>
                <w:sz w:val="13"/>
                <w:szCs w:val="13"/>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45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color w:val="auto"/>
              </w:rPr>
              <w:t>Other comprehensive income</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29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560" w:type="dxa"/>
            <w:vAlign w:val="bottom"/>
          </w:tcPr>
          <w:p>
            <w:pPr>
              <w:spacing w:after="0"/>
              <w:rPr>
                <w:sz w:val="20"/>
                <w:szCs w:val="20"/>
                <w:color w:val="auto"/>
              </w:rPr>
            </w:pPr>
            <w:r>
              <w:rPr>
                <w:rFonts w:ascii="Arial" w:cs="Arial" w:eastAsia="Arial" w:hAnsi="Arial"/>
                <w:sz w:val="11"/>
                <w:szCs w:val="11"/>
                <w:b w:val="1"/>
                <w:bCs w:val="1"/>
                <w:color w:val="auto"/>
              </w:rPr>
              <w:t>Total comprehensive income</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6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2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56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560" w:type="dxa"/>
            <w:vAlign w:val="bottom"/>
          </w:tcPr>
          <w:p>
            <w:pPr>
              <w:spacing w:after="0"/>
              <w:rPr>
                <w:sz w:val="20"/>
                <w:szCs w:val="20"/>
                <w:color w:val="auto"/>
              </w:rPr>
            </w:pPr>
            <w:r>
              <w:rPr>
                <w:rFonts w:ascii="Arial" w:cs="Arial" w:eastAsia="Arial" w:hAnsi="Arial"/>
                <w:sz w:val="11"/>
                <w:szCs w:val="11"/>
                <w:b w:val="1"/>
                <w:bCs w:val="1"/>
                <w:color w:val="auto"/>
              </w:rPr>
              <w:t>Balance at September 30, 2020</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137.1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6,672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gridSpan w:val="2"/>
          </w:tcPr>
          <w:p>
            <w:pPr>
              <w:jc w:val="right"/>
              <w:ind w:right="32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(1,380)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(67.4)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(5,175)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560" w:type="dxa"/>
            <w:vAlign w:val="bottom"/>
          </w:tcPr>
          <w:p>
            <w:pPr>
              <w:spacing w:after="0"/>
              <w:rPr>
                <w:sz w:val="20"/>
                <w:szCs w:val="20"/>
                <w:color w:val="auto"/>
              </w:rPr>
            </w:pPr>
            <w:r>
              <w:rPr>
                <w:rFonts w:ascii="Arial" w:cs="Arial" w:eastAsia="Arial" w:hAnsi="Arial"/>
                <w:sz w:val="11"/>
                <w:szCs w:val="11"/>
                <w:b w:val="1"/>
                <w:bCs w:val="1"/>
                <w:color w:val="auto"/>
              </w:rPr>
              <w:t>Balance at June 30, 2019</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137.1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6,723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jc w:val="right"/>
              <w:ind w:right="32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(1,116)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jc w:val="right"/>
              <w:ind w:right="8"/>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(139)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(61.1)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(5,093)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376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1"/>
                <w:szCs w:val="11"/>
                <w:b w:val="1"/>
                <w:bCs w:val="1"/>
                <w:color w:val="auto"/>
              </w:rPr>
              <w:t>Comprehensive income:</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60" w:type="dxa"/>
            <w:vAlign w:val="bottom"/>
          </w:tcPr>
          <w:p>
            <w:pPr>
              <w:spacing w:after="0"/>
              <w:rPr>
                <w:sz w:val="20"/>
                <w:szCs w:val="20"/>
                <w:color w:val="auto"/>
              </w:rPr>
            </w:pPr>
            <w:r>
              <w:rPr>
                <w:rFonts w:ascii="Arial" w:cs="Arial" w:eastAsia="Arial" w:hAnsi="Arial"/>
                <w:sz w:val="11"/>
                <w:szCs w:val="11"/>
                <w:color w:val="auto"/>
              </w:rPr>
              <w:t>Net income</w:t>
            </w:r>
          </w:p>
        </w:tc>
        <w:tc>
          <w:tcPr>
            <w:tcW w:w="20" w:type="dxa"/>
            <w:vAlign w:val="bottom"/>
          </w:tcPr>
          <w:p>
            <w:pPr>
              <w:spacing w:after="0"/>
              <w:rPr>
                <w:sz w:val="13"/>
                <w:szCs w:val="13"/>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189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color w:val="auto"/>
              </w:rPr>
              <w:t>Other comprehensive loss</w:t>
            </w:r>
          </w:p>
        </w:tc>
        <w:tc>
          <w:tcPr>
            <w:tcW w:w="20" w:type="dxa"/>
            <w:vAlign w:val="bottom"/>
          </w:tcPr>
          <w:p>
            <w:pPr>
              <w:spacing w:after="0"/>
              <w:rPr>
                <w:sz w:val="14"/>
                <w:szCs w:val="14"/>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560" w:type="dxa"/>
            <w:vAlign w:val="bottom"/>
          </w:tcPr>
          <w:p>
            <w:pPr>
              <w:spacing w:after="0"/>
              <w:rPr>
                <w:sz w:val="20"/>
                <w:szCs w:val="20"/>
                <w:color w:val="auto"/>
              </w:rPr>
            </w:pPr>
            <w:r>
              <w:rPr>
                <w:rFonts w:ascii="Arial" w:cs="Arial" w:eastAsia="Arial" w:hAnsi="Arial"/>
                <w:sz w:val="11"/>
                <w:szCs w:val="11"/>
                <w:b w:val="1"/>
                <w:bCs w:val="1"/>
                <w:color w:val="auto"/>
              </w:rPr>
              <w:t>Total comprehensive income</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6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2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6"/>
              <w:spacing w:after="0"/>
              <w:rPr>
                <w:sz w:val="20"/>
                <w:szCs w:val="20"/>
                <w:color w:val="auto"/>
              </w:rPr>
            </w:pPr>
            <w:r>
              <w:rPr>
                <w:rFonts w:ascii="Arial" w:cs="Arial" w:eastAsia="Arial" w:hAnsi="Arial"/>
                <w:sz w:val="11"/>
                <w:szCs w:val="11"/>
                <w:color w:val="auto"/>
              </w:rPr>
              <w:t>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color w:val="auto"/>
              </w:rPr>
              <w:t>Option premiums paid</w:t>
            </w:r>
          </w:p>
        </w:tc>
        <w:tc>
          <w:tcPr>
            <w:tcW w:w="20" w:type="dxa"/>
            <w:vAlign w:val="bottom"/>
          </w:tcPr>
          <w:p>
            <w:pPr>
              <w:spacing w:after="0"/>
              <w:rPr>
                <w:sz w:val="14"/>
                <w:szCs w:val="14"/>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color w:val="auto"/>
              </w:rPr>
              <w:t>Activity related to employee stock purchase plan</w:t>
            </w:r>
          </w:p>
        </w:tc>
        <w:tc>
          <w:tcPr>
            <w:tcW w:w="20" w:type="dxa"/>
            <w:vAlign w:val="bottom"/>
          </w:tcPr>
          <w:p>
            <w:pPr>
              <w:spacing w:after="0"/>
              <w:rPr>
                <w:sz w:val="14"/>
                <w:szCs w:val="14"/>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1"/>
                <w:szCs w:val="11"/>
                <w:color w:val="auto"/>
              </w:rPr>
              <w:t>Repurchase of common stock</w:t>
            </w:r>
          </w:p>
        </w:tc>
        <w:tc>
          <w:tcPr>
            <w:tcW w:w="20" w:type="dxa"/>
            <w:vAlign w:val="bottom"/>
          </w:tcPr>
          <w:p>
            <w:pPr>
              <w:spacing w:after="0"/>
              <w:rPr>
                <w:sz w:val="14"/>
                <w:szCs w:val="14"/>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256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2560" w:type="dxa"/>
            <w:vAlign w:val="bottom"/>
          </w:tcPr>
          <w:p>
            <w:pPr>
              <w:spacing w:after="0"/>
              <w:rPr>
                <w:sz w:val="20"/>
                <w:szCs w:val="20"/>
                <w:color w:val="auto"/>
              </w:rPr>
            </w:pPr>
            <w:r>
              <w:rPr>
                <w:rFonts w:ascii="Arial" w:cs="Arial" w:eastAsia="Arial" w:hAnsi="Arial"/>
                <w:sz w:val="11"/>
                <w:szCs w:val="11"/>
                <w:b w:val="1"/>
                <w:bCs w:val="1"/>
                <w:color w:val="auto"/>
              </w:rPr>
              <w:t>Balance at September 30, 2019</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137.1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6,735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gridSpan w:val="2"/>
          </w:tcPr>
          <w:p>
            <w:pPr>
              <w:jc w:val="right"/>
              <w:ind w:right="32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(63.1)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(5,141)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7"/>
            <w:vMerge w:val="restart"/>
          </w:tcPr>
          <w:p>
            <w:pPr>
              <w:ind w:left="420"/>
              <w:spacing w:after="0"/>
              <w:rPr>
                <w:sz w:val="20"/>
                <w:szCs w:val="20"/>
                <w:color w:val="auto"/>
              </w:rPr>
            </w:pPr>
            <w:r>
              <w:rPr>
                <w:rFonts w:ascii="Arial" w:cs="Arial" w:eastAsia="Arial" w:hAnsi="Arial"/>
                <w:sz w:val="11"/>
                <w:szCs w:val="11"/>
                <w:b w:val="1"/>
                <w:bCs w:val="1"/>
                <w:color w:val="auto"/>
              </w:rPr>
              <w:t>Common Stock</w:t>
            </w:r>
          </w:p>
        </w:tc>
        <w:tc>
          <w:tcPr>
            <w:tcW w:w="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8"/>
              </w:rPr>
              <w:t>Accumulated Other</w:t>
            </w:r>
          </w:p>
        </w:tc>
        <w:tc>
          <w:tcPr>
            <w:tcW w:w="20" w:type="dxa"/>
            <w:vAlign w:val="bottom"/>
          </w:tcPr>
          <w:p>
            <w:pPr>
              <w:spacing w:after="0"/>
              <w:rPr>
                <w:sz w:val="24"/>
                <w:szCs w:val="24"/>
                <w:color w:val="auto"/>
              </w:rPr>
            </w:pPr>
          </w:p>
        </w:tc>
        <w:tc>
          <w:tcPr>
            <w:tcW w:w="1660" w:type="dxa"/>
            <w:vAlign w:val="bottom"/>
            <w:gridSpan w:val="7"/>
            <w:vMerge w:val="restart"/>
          </w:tcPr>
          <w:p>
            <w:pPr>
              <w:ind w:left="440"/>
              <w:spacing w:after="0"/>
              <w:rPr>
                <w:sz w:val="20"/>
                <w:szCs w:val="20"/>
                <w:color w:val="auto"/>
              </w:rPr>
            </w:pPr>
            <w:r>
              <w:rPr>
                <w:rFonts w:ascii="Arial" w:cs="Arial" w:eastAsia="Arial" w:hAnsi="Arial"/>
                <w:sz w:val="11"/>
                <w:szCs w:val="11"/>
                <w:b w:val="1"/>
                <w:bCs w:val="1"/>
                <w:color w:val="auto"/>
              </w:rPr>
              <w:t>Treasury Stock</w:t>
            </w:r>
          </w:p>
        </w:tc>
        <w:tc>
          <w:tcPr>
            <w:tcW w:w="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2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tcBorders>
              <w:bottom w:val="single" w:sz="8" w:color="auto"/>
            </w:tcBorders>
            <w:gridSpan w:val="7"/>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3"/>
          </w:tcPr>
          <w:p>
            <w:pPr>
              <w:ind w:left="20"/>
              <w:spacing w:after="0" w:line="88" w:lineRule="exact"/>
              <w:rPr>
                <w:sz w:val="20"/>
                <w:szCs w:val="20"/>
                <w:color w:val="auto"/>
              </w:rPr>
            </w:pPr>
            <w:r>
              <w:rPr>
                <w:rFonts w:ascii="Arial" w:cs="Arial" w:eastAsia="Arial" w:hAnsi="Arial"/>
                <w:sz w:val="10"/>
                <w:szCs w:val="10"/>
                <w:b w:val="1"/>
                <w:bCs w:val="1"/>
                <w:color w:val="auto"/>
              </w:rPr>
              <w:t>Additional Paid-in</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380" w:type="dxa"/>
            <w:vAlign w:val="bottom"/>
            <w:gridSpan w:val="4"/>
          </w:tcPr>
          <w:p>
            <w:pPr>
              <w:jc w:val="center"/>
              <w:ind w:right="100"/>
              <w:spacing w:after="0" w:line="88" w:lineRule="exact"/>
              <w:rPr>
                <w:sz w:val="20"/>
                <w:szCs w:val="20"/>
                <w:color w:val="auto"/>
              </w:rPr>
            </w:pPr>
            <w:r>
              <w:rPr>
                <w:rFonts w:ascii="Arial" w:cs="Arial" w:eastAsia="Arial" w:hAnsi="Arial"/>
                <w:sz w:val="10"/>
                <w:szCs w:val="10"/>
                <w:b w:val="1"/>
                <w:bCs w:val="1"/>
                <w:color w:val="auto"/>
              </w:rPr>
              <w:t>Comprehensive Income</w:t>
            </w:r>
          </w:p>
        </w:tc>
        <w:tc>
          <w:tcPr>
            <w:tcW w:w="20" w:type="dxa"/>
            <w:vAlign w:val="bottom"/>
          </w:tcPr>
          <w:p>
            <w:pPr>
              <w:spacing w:after="0"/>
              <w:rPr>
                <w:sz w:val="7"/>
                <w:szCs w:val="7"/>
                <w:color w:val="auto"/>
              </w:rPr>
            </w:pPr>
          </w:p>
        </w:tc>
        <w:tc>
          <w:tcPr>
            <w:tcW w:w="1660" w:type="dxa"/>
            <w:vAlign w:val="bottom"/>
            <w:tcBorders>
              <w:bottom w:val="single" w:sz="8" w:color="auto"/>
            </w:tcBorders>
            <w:gridSpan w:val="7"/>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tcPr>
          <w:p>
            <w:pPr>
              <w:jc w:val="right"/>
              <w:ind w:right="26"/>
              <w:spacing w:after="0" w:line="88" w:lineRule="exact"/>
              <w:rPr>
                <w:sz w:val="20"/>
                <w:szCs w:val="20"/>
                <w:color w:val="auto"/>
              </w:rPr>
            </w:pPr>
            <w:r>
              <w:rPr>
                <w:rFonts w:ascii="Arial" w:cs="Arial" w:eastAsia="Arial" w:hAnsi="Arial"/>
                <w:sz w:val="10"/>
                <w:szCs w:val="10"/>
                <w:b w:val="1"/>
                <w:bCs w:val="1"/>
                <w:color w:val="auto"/>
              </w:rPr>
              <w:t>Total Stockholders’</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3"/>
          </w:tcPr>
          <w:p>
            <w:pPr>
              <w:ind w:left="18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ind w:left="8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tcPr>
          <w:p>
            <w:pPr>
              <w:ind w:left="300"/>
              <w:spacing w:after="0"/>
              <w:rPr>
                <w:sz w:val="20"/>
                <w:szCs w:val="20"/>
                <w:color w:val="auto"/>
              </w:rPr>
            </w:pPr>
            <w:r>
              <w:rPr>
                <w:rFonts w:ascii="Arial" w:cs="Arial" w:eastAsia="Arial" w:hAnsi="Arial"/>
                <w:sz w:val="11"/>
                <w:szCs w:val="11"/>
                <w:b w:val="1"/>
                <w:bCs w:val="1"/>
                <w:color w:val="auto"/>
              </w:rPr>
              <w:t>Capital</w:t>
            </w:r>
          </w:p>
        </w:tc>
        <w:tc>
          <w:tcPr>
            <w:tcW w:w="20" w:type="dxa"/>
            <w:vAlign w:val="bottom"/>
          </w:tcPr>
          <w:p>
            <w:pPr>
              <w:spacing w:after="0"/>
              <w:rPr>
                <w:sz w:val="13"/>
                <w:szCs w:val="13"/>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Accumulated Deficit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6"/>
              </w:rPr>
              <w:t>(Loss)</w:t>
            </w:r>
          </w:p>
        </w:tc>
        <w:tc>
          <w:tcPr>
            <w:tcW w:w="20" w:type="dxa"/>
            <w:vAlign w:val="bottom"/>
          </w:tcPr>
          <w:p>
            <w:pPr>
              <w:spacing w:after="0"/>
              <w:rPr>
                <w:sz w:val="13"/>
                <w:szCs w:val="13"/>
                <w:color w:val="auto"/>
              </w:rPr>
            </w:pPr>
          </w:p>
        </w:tc>
        <w:tc>
          <w:tcPr>
            <w:tcW w:w="820" w:type="dxa"/>
            <w:vAlign w:val="bottom"/>
            <w:gridSpan w:val="3"/>
          </w:tcPr>
          <w:p>
            <w:pPr>
              <w:ind w:left="18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ind w:left="8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366"/>
              <w:spacing w:after="0"/>
              <w:rPr>
                <w:sz w:val="20"/>
                <w:szCs w:val="20"/>
                <w:color w:val="auto"/>
              </w:rPr>
            </w:pPr>
            <w:r>
              <w:rPr>
                <w:rFonts w:ascii="Arial" w:cs="Arial" w:eastAsia="Arial" w:hAnsi="Arial"/>
                <w:sz w:val="11"/>
                <w:szCs w:val="11"/>
                <w:b w:val="1"/>
                <w:bCs w:val="1"/>
                <w:color w:val="auto"/>
              </w:rPr>
              <w:t>Equity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60" w:type="dxa"/>
            <w:vAlign w:val="bottom"/>
          </w:tcPr>
          <w:p>
            <w:pPr>
              <w:ind w:left="20"/>
              <w:spacing w:after="0"/>
              <w:rPr>
                <w:sz w:val="20"/>
                <w:szCs w:val="20"/>
                <w:color w:val="auto"/>
              </w:rPr>
            </w:pPr>
            <w:r>
              <w:rPr>
                <w:rFonts w:ascii="Arial" w:cs="Arial" w:eastAsia="Arial" w:hAnsi="Arial"/>
                <w:sz w:val="11"/>
                <w:szCs w:val="11"/>
                <w:b w:val="1"/>
                <w:bCs w:val="1"/>
                <w:color w:val="auto"/>
              </w:rPr>
              <w:t>Balance at December 31, 2019</w:t>
            </w: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137.1</w:t>
            </w: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6,741</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top w:val="single" w:sz="8" w:color="auto"/>
            </w:tcBorders>
          </w:tcPr>
          <w:p>
            <w:pPr>
              <w:jc w:val="right"/>
              <w:ind w:right="306"/>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(785)</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(157)</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(63.2)</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(5,144)</w:t>
            </w: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656</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60" w:type="dxa"/>
            <w:vAlign w:val="bottom"/>
          </w:tcPr>
          <w:p>
            <w:pPr>
              <w:ind w:left="20"/>
              <w:spacing w:after="0"/>
              <w:rPr>
                <w:sz w:val="20"/>
                <w:szCs w:val="20"/>
                <w:color w:val="auto"/>
              </w:rPr>
            </w:pPr>
            <w:r>
              <w:rPr>
                <w:rFonts w:ascii="Arial" w:cs="Arial" w:eastAsia="Arial" w:hAnsi="Arial"/>
                <w:sz w:val="11"/>
                <w:szCs w:val="11"/>
                <w:color w:val="auto"/>
              </w:rPr>
              <w:t>Cumulative effect of accounting change</w:t>
            </w:r>
          </w:p>
        </w:tc>
        <w:tc>
          <w:tcPr>
            <w:tcW w:w="2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60" w:type="dxa"/>
            <w:vAlign w:val="bottom"/>
          </w:tcPr>
          <w:p>
            <w:pPr>
              <w:ind w:left="20"/>
              <w:spacing w:after="0"/>
              <w:rPr>
                <w:sz w:val="20"/>
                <w:szCs w:val="20"/>
                <w:color w:val="auto"/>
              </w:rPr>
            </w:pPr>
            <w:r>
              <w:rPr>
                <w:rFonts w:ascii="Arial" w:cs="Arial" w:eastAsia="Arial" w:hAnsi="Arial"/>
                <w:sz w:val="11"/>
                <w:szCs w:val="11"/>
                <w:b w:val="1"/>
                <w:bCs w:val="1"/>
                <w:color w:val="auto"/>
              </w:rPr>
              <w:t>Comprehensive loss:</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560" w:type="dxa"/>
            <w:vAlign w:val="bottom"/>
          </w:tcPr>
          <w:p>
            <w:pPr>
              <w:ind w:left="20"/>
              <w:spacing w:after="0"/>
              <w:rPr>
                <w:sz w:val="20"/>
                <w:szCs w:val="20"/>
                <w:color w:val="auto"/>
              </w:rPr>
            </w:pPr>
            <w:r>
              <w:rPr>
                <w:rFonts w:ascii="Arial" w:cs="Arial" w:eastAsia="Arial" w:hAnsi="Arial"/>
                <w:sz w:val="11"/>
                <w:szCs w:val="11"/>
                <w:color w:val="auto"/>
              </w:rPr>
              <w:t>Net loss</w:t>
            </w:r>
          </w:p>
        </w:tc>
        <w:tc>
          <w:tcPr>
            <w:tcW w:w="20" w:type="dxa"/>
            <w:vAlign w:val="bottom"/>
          </w:tcPr>
          <w:p>
            <w:pPr>
              <w:spacing w:after="0"/>
              <w:rPr>
                <w:sz w:val="13"/>
                <w:szCs w:val="13"/>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(594)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60" w:type="dxa"/>
            <w:vAlign w:val="bottom"/>
          </w:tcPr>
          <w:p>
            <w:pPr>
              <w:ind w:left="20"/>
              <w:spacing w:after="0"/>
              <w:rPr>
                <w:sz w:val="20"/>
                <w:szCs w:val="20"/>
                <w:color w:val="auto"/>
              </w:rPr>
            </w:pPr>
            <w:r>
              <w:rPr>
                <w:rFonts w:ascii="Arial" w:cs="Arial" w:eastAsia="Arial" w:hAnsi="Arial"/>
                <w:sz w:val="11"/>
                <w:szCs w:val="11"/>
                <w:color w:val="auto"/>
              </w:rPr>
              <w:t>Other comprehensive loss</w:t>
            </w:r>
          </w:p>
        </w:tc>
        <w:tc>
          <w:tcPr>
            <w:tcW w:w="2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560" w:type="dxa"/>
            <w:vAlign w:val="bottom"/>
          </w:tcPr>
          <w:p>
            <w:pPr>
              <w:ind w:left="20"/>
              <w:spacing w:after="0"/>
              <w:rPr>
                <w:sz w:val="20"/>
                <w:szCs w:val="20"/>
                <w:color w:val="auto"/>
              </w:rPr>
            </w:pPr>
            <w:r>
              <w:rPr>
                <w:rFonts w:ascii="Arial" w:cs="Arial" w:eastAsia="Arial" w:hAnsi="Arial"/>
                <w:sz w:val="11"/>
                <w:szCs w:val="11"/>
                <w:b w:val="1"/>
                <w:bCs w:val="1"/>
                <w:color w:val="auto"/>
              </w:rPr>
              <w:t>Total comprehensive loss</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(631)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60" w:type="dxa"/>
            <w:vAlign w:val="bottom"/>
          </w:tcPr>
          <w:p>
            <w:pPr>
              <w:ind w:left="20"/>
              <w:spacing w:after="0"/>
              <w:rPr>
                <w:sz w:val="20"/>
                <w:szCs w:val="20"/>
                <w:color w:val="auto"/>
              </w:rPr>
            </w:pPr>
            <w:r>
              <w:rPr>
                <w:rFonts w:ascii="Arial" w:cs="Arial" w:eastAsia="Arial" w:hAnsi="Arial"/>
                <w:sz w:val="11"/>
                <w:szCs w:val="11"/>
                <w:color w:val="auto"/>
              </w:rPr>
              <w:t>Non-controlling interest</w:t>
            </w:r>
          </w:p>
        </w:tc>
        <w:tc>
          <w:tcPr>
            <w:tcW w:w="2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60" w:type="dxa"/>
            <w:vAlign w:val="bottom"/>
          </w:tcPr>
          <w:p>
            <w:pPr>
              <w:ind w:left="20"/>
              <w:spacing w:after="0"/>
              <w:rPr>
                <w:sz w:val="20"/>
                <w:szCs w:val="20"/>
                <w:color w:val="auto"/>
              </w:rPr>
            </w:pPr>
            <w:r>
              <w:rPr>
                <w:rFonts w:ascii="Arial" w:cs="Arial" w:eastAsia="Arial" w:hAnsi="Arial"/>
                <w:sz w:val="11"/>
                <w:szCs w:val="11"/>
                <w:color w:val="auto"/>
              </w:rPr>
              <w:t>Net activity related to restricted stock units</w:t>
            </w:r>
          </w:p>
        </w:tc>
        <w:tc>
          <w:tcPr>
            <w:tcW w:w="2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(82)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0.4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tcPr>
          <w:p>
            <w:pPr>
              <w:ind w:left="20"/>
              <w:spacing w:after="0"/>
              <w:rPr>
                <w:sz w:val="20"/>
                <w:szCs w:val="20"/>
                <w:color w:val="auto"/>
              </w:rPr>
            </w:pPr>
            <w:r>
              <w:rPr>
                <w:rFonts w:ascii="Arial" w:cs="Arial" w:eastAsia="Arial" w:hAnsi="Arial"/>
                <w:sz w:val="11"/>
                <w:szCs w:val="11"/>
                <w:color w:val="auto"/>
              </w:rPr>
              <w:t>Issuance of common stock</w:t>
            </w:r>
          </w:p>
        </w:tc>
        <w:tc>
          <w:tcPr>
            <w:tcW w:w="2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0.4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tcPr>
          <w:p>
            <w:pPr>
              <w:ind w:left="20"/>
              <w:spacing w:after="0"/>
              <w:rPr>
                <w:sz w:val="20"/>
                <w:szCs w:val="20"/>
                <w:color w:val="auto"/>
              </w:rPr>
            </w:pPr>
            <w:r>
              <w:rPr>
                <w:rFonts w:ascii="Arial" w:cs="Arial" w:eastAsia="Arial" w:hAnsi="Arial"/>
                <w:sz w:val="11"/>
                <w:szCs w:val="11"/>
                <w:color w:val="auto"/>
              </w:rPr>
              <w:t>Repurchase of common stock</w:t>
            </w:r>
          </w:p>
        </w:tc>
        <w:tc>
          <w:tcPr>
            <w:tcW w:w="2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(5.0)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2560" w:type="dxa"/>
            <w:vAlign w:val="bottom"/>
          </w:tcPr>
          <w:p>
            <w:pPr>
              <w:spacing w:after="0"/>
              <w:rPr>
                <w:sz w:val="6"/>
                <w:szCs w:val="6"/>
                <w:color w:val="auto"/>
              </w:rPr>
            </w:pPr>
          </w:p>
        </w:tc>
        <w:tc>
          <w:tcPr>
            <w:tcW w:w="700" w:type="dxa"/>
            <w:vAlign w:val="bottom"/>
            <w:gridSpan w:val="2"/>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gridSpan w:val="2"/>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gridSpan w:val="2"/>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gridSpan w:val="2"/>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gridSpan w:val="2"/>
          </w:tcPr>
          <w:p>
            <w:pPr>
              <w:spacing w:after="0"/>
              <w:rPr>
                <w:sz w:val="6"/>
                <w:szCs w:val="6"/>
                <w:color w:val="auto"/>
              </w:rPr>
            </w:pPr>
          </w:p>
        </w:tc>
        <w:tc>
          <w:tcPr>
            <w:tcW w:w="11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3"/>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gridSpan w:val="2"/>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gridSpan w:val="2"/>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2560" w:type="dxa"/>
            <w:vAlign w:val="bottom"/>
          </w:tcPr>
          <w:p>
            <w:pPr>
              <w:ind w:left="20"/>
              <w:spacing w:after="0"/>
              <w:rPr>
                <w:sz w:val="20"/>
                <w:szCs w:val="20"/>
                <w:color w:val="auto"/>
              </w:rPr>
            </w:pPr>
            <w:r>
              <w:rPr>
                <w:rFonts w:ascii="Arial" w:cs="Arial" w:eastAsia="Arial" w:hAnsi="Arial"/>
                <w:sz w:val="11"/>
                <w:szCs w:val="11"/>
                <w:b w:val="1"/>
                <w:bCs w:val="1"/>
                <w:color w:val="auto"/>
              </w:rPr>
              <w:t>Balance at September 30, 2020</w:t>
            </w:r>
          </w:p>
        </w:tc>
        <w:tc>
          <w:tcPr>
            <w:tcW w:w="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137.1</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6,672</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(1,380)</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1"/>
                <w:szCs w:val="1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(194)</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(67.4)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(5,175)</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(76)</w:t>
            </w:r>
          </w:p>
        </w:tc>
        <w:tc>
          <w:tcPr>
            <w:tcW w:w="2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0"/>
        </w:trPr>
        <w:tc>
          <w:tcPr>
            <w:tcW w:w="2560" w:type="dxa"/>
            <w:vAlign w:val="bottom"/>
          </w:tcPr>
          <w:p>
            <w:pPr>
              <w:ind w:left="20"/>
              <w:spacing w:after="0"/>
              <w:rPr>
                <w:sz w:val="20"/>
                <w:szCs w:val="20"/>
                <w:color w:val="auto"/>
              </w:rPr>
            </w:pPr>
            <w:r>
              <w:rPr>
                <w:rFonts w:ascii="Arial" w:cs="Arial" w:eastAsia="Arial" w:hAnsi="Arial"/>
                <w:sz w:val="11"/>
                <w:szCs w:val="11"/>
                <w:b w:val="1"/>
                <w:bCs w:val="1"/>
                <w:color w:val="auto"/>
              </w:rPr>
              <w:t>Balance at December 31, 2018</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137.1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6,771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jc w:val="right"/>
              <w:ind w:right="306"/>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(1,091)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(133)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(61.5)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(5,134)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414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60" w:type="dxa"/>
            <w:vAlign w:val="bottom"/>
          </w:tcPr>
          <w:p>
            <w:pPr>
              <w:ind w:left="20"/>
              <w:spacing w:after="0"/>
              <w:rPr>
                <w:sz w:val="20"/>
                <w:szCs w:val="20"/>
                <w:color w:val="auto"/>
              </w:rPr>
            </w:pPr>
            <w:r>
              <w:rPr>
                <w:rFonts w:ascii="Arial" w:cs="Arial" w:eastAsia="Arial" w:hAnsi="Arial"/>
                <w:sz w:val="11"/>
                <w:szCs w:val="11"/>
                <w:color w:val="auto"/>
              </w:rPr>
              <w:t>Cumulative effect of accounting change</w:t>
            </w:r>
          </w:p>
        </w:tc>
        <w:tc>
          <w:tcPr>
            <w:tcW w:w="2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60" w:type="dxa"/>
            <w:vAlign w:val="bottom"/>
          </w:tcPr>
          <w:p>
            <w:pPr>
              <w:ind w:left="20"/>
              <w:spacing w:after="0"/>
              <w:rPr>
                <w:sz w:val="20"/>
                <w:szCs w:val="20"/>
                <w:color w:val="auto"/>
              </w:rPr>
            </w:pPr>
            <w:r>
              <w:rPr>
                <w:rFonts w:ascii="Arial" w:cs="Arial" w:eastAsia="Arial" w:hAnsi="Arial"/>
                <w:sz w:val="11"/>
                <w:szCs w:val="11"/>
                <w:b w:val="1"/>
                <w:bCs w:val="1"/>
                <w:color w:val="auto"/>
              </w:rPr>
              <w:t>Comprehensive income:</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56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20" w:type="dxa"/>
            <w:vAlign w:val="bottom"/>
          </w:tcPr>
          <w:p>
            <w:pPr>
              <w:spacing w:after="0"/>
              <w:rPr>
                <w:sz w:val="13"/>
                <w:szCs w:val="13"/>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160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60" w:type="dxa"/>
            <w:vAlign w:val="bottom"/>
          </w:tcPr>
          <w:p>
            <w:pPr>
              <w:ind w:left="20"/>
              <w:spacing w:after="0"/>
              <w:rPr>
                <w:sz w:val="20"/>
                <w:szCs w:val="20"/>
                <w:color w:val="auto"/>
              </w:rPr>
            </w:pPr>
            <w:r>
              <w:rPr>
                <w:rFonts w:ascii="Arial" w:cs="Arial" w:eastAsia="Arial" w:hAnsi="Arial"/>
                <w:sz w:val="11"/>
                <w:szCs w:val="11"/>
                <w:color w:val="auto"/>
              </w:rPr>
              <w:t>Other comprehensive loss</w:t>
            </w:r>
          </w:p>
        </w:tc>
        <w:tc>
          <w:tcPr>
            <w:tcW w:w="2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560" w:type="dxa"/>
            <w:vAlign w:val="bottom"/>
          </w:tcPr>
          <w:p>
            <w:pPr>
              <w:ind w:left="20"/>
              <w:spacing w:after="0"/>
              <w:rPr>
                <w:sz w:val="20"/>
                <w:szCs w:val="20"/>
                <w:color w:val="auto"/>
              </w:rPr>
            </w:pPr>
            <w:r>
              <w:rPr>
                <w:rFonts w:ascii="Arial" w:cs="Arial" w:eastAsia="Arial" w:hAnsi="Arial"/>
                <w:sz w:val="11"/>
                <w:szCs w:val="11"/>
                <w:b w:val="1"/>
                <w:bCs w:val="1"/>
                <w:color w:val="auto"/>
              </w:rPr>
              <w:t>Total comprehensive income</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60" w:type="dxa"/>
            <w:vAlign w:val="bottom"/>
          </w:tcPr>
          <w:p>
            <w:pPr>
              <w:ind w:left="20"/>
              <w:spacing w:after="0"/>
              <w:rPr>
                <w:sz w:val="20"/>
                <w:szCs w:val="20"/>
                <w:color w:val="auto"/>
              </w:rPr>
            </w:pPr>
            <w:r>
              <w:rPr>
                <w:rFonts w:ascii="Arial" w:cs="Arial" w:eastAsia="Arial" w:hAnsi="Arial"/>
                <w:sz w:val="11"/>
                <w:szCs w:val="11"/>
                <w:color w:val="auto"/>
              </w:rPr>
              <w:t>Net activity related to restricted stock units</w:t>
            </w:r>
          </w:p>
        </w:tc>
        <w:tc>
          <w:tcPr>
            <w:tcW w:w="2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60" w:type="dxa"/>
            <w:vAlign w:val="bottom"/>
          </w:tcPr>
          <w:p>
            <w:pPr>
              <w:ind w:left="20"/>
              <w:spacing w:after="0"/>
              <w:rPr>
                <w:sz w:val="20"/>
                <w:szCs w:val="20"/>
                <w:color w:val="auto"/>
              </w:rPr>
            </w:pPr>
            <w:r>
              <w:rPr>
                <w:rFonts w:ascii="Arial" w:cs="Arial" w:eastAsia="Arial" w:hAnsi="Arial"/>
                <w:sz w:val="11"/>
                <w:szCs w:val="11"/>
                <w:color w:val="auto"/>
              </w:rPr>
              <w:t>Exercise of stock options</w:t>
            </w:r>
          </w:p>
        </w:tc>
        <w:tc>
          <w:tcPr>
            <w:tcW w:w="2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0.1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tcPr>
          <w:p>
            <w:pPr>
              <w:ind w:left="20"/>
              <w:spacing w:after="0"/>
              <w:rPr>
                <w:sz w:val="20"/>
                <w:szCs w:val="20"/>
                <w:color w:val="auto"/>
              </w:rPr>
            </w:pPr>
            <w:r>
              <w:rPr>
                <w:rFonts w:ascii="Arial" w:cs="Arial" w:eastAsia="Arial" w:hAnsi="Arial"/>
                <w:sz w:val="11"/>
                <w:szCs w:val="11"/>
                <w:color w:val="auto"/>
              </w:rPr>
              <w:t>Activity related to employee stock purchase plan</w:t>
            </w:r>
          </w:p>
        </w:tc>
        <w:tc>
          <w:tcPr>
            <w:tcW w:w="2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tcPr>
          <w:p>
            <w:pPr>
              <w:ind w:left="20"/>
              <w:spacing w:after="0"/>
              <w:rPr>
                <w:sz w:val="20"/>
                <w:szCs w:val="20"/>
                <w:color w:val="auto"/>
              </w:rPr>
            </w:pPr>
            <w:r>
              <w:rPr>
                <w:rFonts w:ascii="Arial" w:cs="Arial" w:eastAsia="Arial" w:hAnsi="Arial"/>
                <w:sz w:val="11"/>
                <w:szCs w:val="11"/>
                <w:color w:val="auto"/>
              </w:rPr>
              <w:t>Repurchase of common stock</w:t>
            </w:r>
          </w:p>
        </w:tc>
        <w:tc>
          <w:tcPr>
            <w:tcW w:w="2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2560" w:type="dxa"/>
            <w:vAlign w:val="bottom"/>
          </w:tcPr>
          <w:p>
            <w:pPr>
              <w:spacing w:after="0"/>
              <w:rPr>
                <w:sz w:val="6"/>
                <w:szCs w:val="6"/>
                <w:color w:val="auto"/>
              </w:rPr>
            </w:pPr>
          </w:p>
        </w:tc>
        <w:tc>
          <w:tcPr>
            <w:tcW w:w="700" w:type="dxa"/>
            <w:vAlign w:val="bottom"/>
            <w:gridSpan w:val="2"/>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gridSpan w:val="2"/>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gridSpan w:val="2"/>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gridSpan w:val="2"/>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gridSpan w:val="2"/>
          </w:tcPr>
          <w:p>
            <w:pPr>
              <w:spacing w:after="0"/>
              <w:rPr>
                <w:sz w:val="6"/>
                <w:szCs w:val="6"/>
                <w:color w:val="auto"/>
              </w:rPr>
            </w:pPr>
          </w:p>
        </w:tc>
        <w:tc>
          <w:tcPr>
            <w:tcW w:w="11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gridSpan w:val="2"/>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gridSpan w:val="2"/>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2560" w:type="dxa"/>
            <w:vAlign w:val="bottom"/>
          </w:tcPr>
          <w:p>
            <w:pPr>
              <w:ind w:left="20"/>
              <w:spacing w:after="0"/>
              <w:rPr>
                <w:sz w:val="20"/>
                <w:szCs w:val="20"/>
                <w:color w:val="auto"/>
              </w:rPr>
            </w:pPr>
            <w:r>
              <w:rPr>
                <w:rFonts w:ascii="Arial" w:cs="Arial" w:eastAsia="Arial" w:hAnsi="Arial"/>
                <w:sz w:val="11"/>
                <w:szCs w:val="11"/>
                <w:b w:val="1"/>
                <w:bCs w:val="1"/>
                <w:color w:val="auto"/>
              </w:rPr>
              <w:t>Balance at September 30, 2019</w:t>
            </w:r>
          </w:p>
        </w:tc>
        <w:tc>
          <w:tcPr>
            <w:tcW w:w="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137.1</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6,735</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(927)</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1"/>
                <w:szCs w:val="1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(173)</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(63.1)</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(5,141)</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495</w:t>
            </w:r>
          </w:p>
        </w:tc>
        <w:tc>
          <w:tcPr>
            <w:tcW w:w="2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Condensed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(Unless otherwise noted, all dollar amounts in tables are in millions, except per share amounts)</w:t>
      </w:r>
    </w:p>
    <w:p>
      <w:pPr>
        <w:spacing w:after="0" w:line="200" w:lineRule="exact"/>
        <w:rPr>
          <w:sz w:val="20"/>
          <w:szCs w:val="20"/>
          <w:color w:val="auto"/>
        </w:rPr>
      </w:pPr>
    </w:p>
    <w:p>
      <w:pPr>
        <w:spacing w:after="0" w:line="271"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54" w:lineRule="exact"/>
        <w:rPr>
          <w:sz w:val="20"/>
          <w:szCs w:val="20"/>
          <w:color w:val="auto"/>
        </w:rPr>
      </w:pPr>
    </w:p>
    <w:p>
      <w:pPr>
        <w:ind w:left="500" w:right="20"/>
        <w:spacing w:after="0" w:line="260" w:lineRule="auto"/>
        <w:rPr>
          <w:sz w:val="20"/>
          <w:szCs w:val="20"/>
          <w:color w:val="auto"/>
        </w:rPr>
      </w:pPr>
      <w:r>
        <w:rPr>
          <w:rFonts w:ascii="Arial" w:cs="Arial" w:eastAsia="Arial" w:hAnsi="Arial"/>
          <w:sz w:val="18"/>
          <w:szCs w:val="18"/>
          <w:color w:val="auto"/>
        </w:rPr>
        <w:t>Avis Budget Group, Inc. provides mobility solutions to businesses and consumers worldwide. The accompanying unaudited Consolidated Condensed Financial Statements include the accounts and transactions of Avis Budget Group, Inc. and its subsidiaries, as well as entities in which Avis Budget Group, Inc. directly or indirectly has a controlling financial interest (collectively, the “Company”), and have been prepared pursuant to the rules and regulations of the U.S. Securities and Exchange Commission for interim financial reporting.</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operates the following reportable business segments:</w:t>
      </w:r>
    </w:p>
    <w:p>
      <w:pPr>
        <w:spacing w:after="0" w:line="250" w:lineRule="exact"/>
        <w:rPr>
          <w:sz w:val="20"/>
          <w:szCs w:val="20"/>
          <w:color w:val="auto"/>
        </w:rPr>
      </w:pPr>
    </w:p>
    <w:p>
      <w:pPr>
        <w:ind w:left="1300" w:right="80" w:hanging="482"/>
        <w:spacing w:after="0" w:line="272"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Americas</w:t>
      </w:r>
      <w:r>
        <w:rPr>
          <w:rFonts w:ascii="Arial" w:cs="Arial" w:eastAsia="Arial" w:hAnsi="Arial"/>
          <w:sz w:val="18"/>
          <w:szCs w:val="18"/>
          <w:color w:val="auto"/>
        </w:rPr>
        <w:t>—consisting primarily of (i) vehicle rental operations in North America, South America, Central America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Caribbean, (ii) car sharing operations in certain of these markets, and (iii) licensees in the areas in which the Company does not operate directly.</w:t>
      </w:r>
    </w:p>
    <w:p>
      <w:pPr>
        <w:spacing w:after="0" w:line="187" w:lineRule="exact"/>
        <w:rPr>
          <w:rFonts w:ascii="Arial" w:cs="Arial" w:eastAsia="Arial" w:hAnsi="Arial"/>
          <w:sz w:val="18"/>
          <w:szCs w:val="18"/>
          <w:color w:val="auto"/>
        </w:rPr>
      </w:pPr>
    </w:p>
    <w:p>
      <w:pPr>
        <w:ind w:left="1300" w:right="40" w:hanging="482"/>
        <w:spacing w:after="0" w:line="272"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International</w:t>
      </w:r>
      <w:r>
        <w:rPr>
          <w:rFonts w:ascii="Arial" w:cs="Arial" w:eastAsia="Arial" w:hAnsi="Arial"/>
          <w:sz w:val="18"/>
          <w:szCs w:val="18"/>
          <w:color w:val="auto"/>
        </w:rPr>
        <w:t>—consisting primarily of (i) vehicle rental operations in Europe, the Middle East, Africa, Asia and Australasia,</w:t>
      </w:r>
      <w:r>
        <w:rPr>
          <w:rFonts w:ascii="Arial" w:cs="Arial" w:eastAsia="Arial" w:hAnsi="Arial"/>
          <w:sz w:val="18"/>
          <w:szCs w:val="18"/>
          <w:b w:val="1"/>
          <w:bCs w:val="1"/>
          <w:color w:val="auto"/>
        </w:rPr>
        <w:t xml:space="preserve"> </w:t>
      </w:r>
      <w:r>
        <w:rPr>
          <w:rFonts w:ascii="Arial" w:cs="Arial" w:eastAsia="Arial" w:hAnsi="Arial"/>
          <w:sz w:val="18"/>
          <w:szCs w:val="18"/>
          <w:color w:val="auto"/>
        </w:rPr>
        <w:t>(ii) car sharing operations in certain of these markets, and (iii) licensees in the areas in which the Company does not operate directly.</w:t>
      </w:r>
    </w:p>
    <w:p>
      <w:pPr>
        <w:spacing w:after="0" w:line="189" w:lineRule="exact"/>
        <w:rPr>
          <w:sz w:val="20"/>
          <w:szCs w:val="20"/>
          <w:color w:val="auto"/>
        </w:rPr>
      </w:pPr>
    </w:p>
    <w:p>
      <w:pPr>
        <w:ind w:left="500" w:right="220"/>
        <w:spacing w:after="0" w:line="264" w:lineRule="auto"/>
        <w:rPr>
          <w:sz w:val="20"/>
          <w:szCs w:val="20"/>
          <w:color w:val="auto"/>
        </w:rPr>
      </w:pPr>
      <w:r>
        <w:rPr>
          <w:rFonts w:ascii="Arial" w:cs="Arial" w:eastAsia="Arial" w:hAnsi="Arial"/>
          <w:sz w:val="18"/>
          <w:szCs w:val="18"/>
          <w:color w:val="auto"/>
        </w:rPr>
        <w:t>The operating results of acquired businesses are included in the accompanying Consolidated Condensed Financial Statements from the dates of acquisition. The fair value of the assets acquired and liabilities assumed in connection with the Company’s 2019 acquisitions of various licensees has not yet been finalized; however, there have been no significant changes to the preliminary allocation of the purchase price during the nine months ended September 30, 2020.</w:t>
      </w:r>
    </w:p>
    <w:p>
      <w:pPr>
        <w:spacing w:after="0" w:line="196" w:lineRule="exact"/>
        <w:rPr>
          <w:sz w:val="20"/>
          <w:szCs w:val="20"/>
          <w:color w:val="auto"/>
        </w:rPr>
      </w:pPr>
    </w:p>
    <w:p>
      <w:pPr>
        <w:ind w:left="500" w:right="60"/>
        <w:spacing w:after="0" w:line="257" w:lineRule="auto"/>
        <w:rPr>
          <w:sz w:val="20"/>
          <w:szCs w:val="20"/>
          <w:color w:val="auto"/>
        </w:rPr>
      </w:pPr>
      <w:r>
        <w:rPr>
          <w:rFonts w:ascii="Arial" w:cs="Arial" w:eastAsia="Arial" w:hAnsi="Arial"/>
          <w:sz w:val="18"/>
          <w:szCs w:val="18"/>
          <w:color w:val="auto"/>
        </w:rPr>
        <w:t>In presenting the Consolidated Condensed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Consolidated Condensed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the Company’s 2019 Form 10-K.</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Liquidity and Management’s Plans</w:t>
      </w:r>
    </w:p>
    <w:p>
      <w:pPr>
        <w:spacing w:after="0" w:line="252" w:lineRule="exact"/>
        <w:rPr>
          <w:sz w:val="20"/>
          <w:szCs w:val="20"/>
          <w:color w:val="auto"/>
        </w:rPr>
      </w:pPr>
    </w:p>
    <w:p>
      <w:pPr>
        <w:ind w:left="500"/>
        <w:spacing w:after="0" w:line="258" w:lineRule="auto"/>
        <w:rPr>
          <w:sz w:val="20"/>
          <w:szCs w:val="20"/>
          <w:color w:val="auto"/>
        </w:rPr>
      </w:pPr>
      <w:r>
        <w:rPr>
          <w:rFonts w:ascii="Arial" w:cs="Arial" w:eastAsia="Arial" w:hAnsi="Arial"/>
          <w:sz w:val="18"/>
          <w:szCs w:val="18"/>
          <w:color w:val="auto"/>
        </w:rPr>
        <w:t>The continuing cases of COVID-19 and the developments surrounding the global pandemic are having a material negative impact on all aspects of the Company’s business. Significant events affecting travel and the overall economy have historically had an impact on vehicle rental volumes, with the full extent of the impact generally determined by the length of time the event influences travel decisions as well as general economic conditions. The COVID-19 outbreak and resulting economic conditions have had, and the Company believes will continue to have, a significant adverse impact on its operations and vehicle rental volumes, and on its financial results and liquidity, and such negative impact may continue well beyond the containment of the outbreak.</w:t>
      </w:r>
    </w:p>
    <w:p>
      <w:pPr>
        <w:spacing w:after="0" w:line="204" w:lineRule="exact"/>
        <w:rPr>
          <w:sz w:val="20"/>
          <w:szCs w:val="20"/>
          <w:color w:val="auto"/>
        </w:rPr>
      </w:pPr>
    </w:p>
    <w:p>
      <w:pPr>
        <w:ind w:left="500" w:right="60"/>
        <w:spacing w:after="0" w:line="258" w:lineRule="auto"/>
        <w:rPr>
          <w:sz w:val="20"/>
          <w:szCs w:val="20"/>
          <w:color w:val="auto"/>
        </w:rPr>
      </w:pPr>
      <w:r>
        <w:rPr>
          <w:rFonts w:ascii="Arial" w:cs="Arial" w:eastAsia="Arial" w:hAnsi="Arial"/>
          <w:sz w:val="18"/>
          <w:szCs w:val="18"/>
          <w:color w:val="auto"/>
        </w:rPr>
        <w:t>The Company cannot assure its assumptions used to estimate its liquidity requirements will be correct because it has never previously experienced such a decrease in demand, and as a consequence, its ability to be predictive is uncertain. In addition, the duration of the global pandemic is uncertain. Therefore, the Company has taken, and plans to take further actions to manage its liquidity, including reducing capital expenditures, operating expenses and the number of vehicles in its fleet. The Company has no meaningful corporate debt maturities until 2023. The Company plans to finance the routine Asset Backed Securities (“ABS”) maturities with program cash on hand, available revolving debt capacity and fleet sales. As a result,</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based on current operational assumptions, the Company believes it has adequate liquidity beyond the next twelve months.</w:t>
      </w:r>
    </w:p>
    <w:p>
      <w:pPr>
        <w:spacing w:after="0" w:line="252" w:lineRule="exact"/>
        <w:rPr>
          <w:sz w:val="20"/>
          <w:szCs w:val="20"/>
          <w:color w:val="auto"/>
        </w:rPr>
      </w:pPr>
    </w:p>
    <w:p>
      <w:pPr>
        <w:ind w:left="500" w:right="80"/>
        <w:spacing w:after="0" w:line="257" w:lineRule="auto"/>
        <w:rPr>
          <w:sz w:val="20"/>
          <w:szCs w:val="20"/>
          <w:color w:val="auto"/>
        </w:rPr>
      </w:pPr>
      <w:r>
        <w:rPr>
          <w:rFonts w:ascii="Arial" w:cs="Arial" w:eastAsia="Arial" w:hAnsi="Arial"/>
          <w:sz w:val="18"/>
          <w:szCs w:val="18"/>
          <w:color w:val="auto"/>
        </w:rPr>
        <w:t>In April 2020, the Company entered into an amendment (the “Amendment”) to its senior credit facilities, consisting of an approximately $1.2 billion term loan maturing in 2027 and a $1.8 billion revolving credit facility maturing in 2023, which remain in place after the Amendment. The Amendment provides for relief from the quarterly-tested leverage covenant contained in the credit agreement governing the senior credit facilities until the end of a specific relief period, including a holiday from such leverage covenant through June 30, 2021, during which time (i) certain negative covenant exceptions are not available to the Company, (ii) pricing on the senior credit facilities is increased, (iii) the Company must comply with a liquidity covenant and additional reporting requirements and (iv) the Company must meet additional conditions to borrow under the revolving credit facility.</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52" w:lineRule="exact"/>
        <w:rPr>
          <w:sz w:val="20"/>
          <w:szCs w:val="20"/>
          <w:color w:val="auto"/>
        </w:rPr>
      </w:pPr>
    </w:p>
    <w:p>
      <w:pPr>
        <w:ind w:left="500" w:right="120"/>
        <w:spacing w:after="0" w:line="292" w:lineRule="auto"/>
        <w:rPr>
          <w:sz w:val="20"/>
          <w:szCs w:val="20"/>
          <w:color w:val="auto"/>
        </w:rPr>
      </w:pPr>
      <w:r>
        <w:rPr>
          <w:rFonts w:ascii="Arial" w:cs="Arial" w:eastAsia="Arial" w:hAnsi="Arial"/>
          <w:sz w:val="18"/>
          <w:szCs w:val="18"/>
          <w:color w:val="auto"/>
        </w:rPr>
        <w:t>The Company’s significant accounting policies are fully described in Note 2, “Summary of Significant Accounting Policies,” in the 2019 Form 10-K.</w:t>
      </w:r>
    </w:p>
    <w:p>
      <w:pPr>
        <w:spacing w:after="0" w:line="171" w:lineRule="exact"/>
        <w:rPr>
          <w:sz w:val="20"/>
          <w:szCs w:val="20"/>
          <w:color w:val="auto"/>
        </w:rPr>
      </w:pPr>
    </w:p>
    <w:p>
      <w:pPr>
        <w:ind w:left="500" w:right="200"/>
        <w:spacing w:after="0" w:line="265" w:lineRule="auto"/>
        <w:rPr>
          <w:sz w:val="20"/>
          <w:szCs w:val="20"/>
          <w:color w:val="auto"/>
        </w:rPr>
      </w:pPr>
      <w:r>
        <w:rPr>
          <w:rFonts w:ascii="Arial" w:cs="Arial" w:eastAsia="Arial" w:hAnsi="Arial"/>
          <w:sz w:val="18"/>
          <w:szCs w:val="18"/>
          <w:i w:val="1"/>
          <w:iCs w:val="1"/>
          <w:color w:val="auto"/>
        </w:rPr>
        <w:t xml:space="preserve">Cash and cash equivalents, Program cash and Restricted cash. </w:t>
      </w:r>
      <w:r>
        <w:rPr>
          <w:rFonts w:ascii="Arial" w:cs="Arial" w:eastAsia="Arial" w:hAnsi="Arial"/>
          <w:sz w:val="18"/>
          <w:szCs w:val="18"/>
          <w:color w:val="auto"/>
        </w:rPr>
        <w:t>The following table provides a detail of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and restricted cash reported within the Consolidated Condensed Balance Sheets to the amounts shown in the Consolidated Condensed Statements of Cash Flows.</w:t>
      </w:r>
    </w:p>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241"/>
        </w:trPr>
        <w:tc>
          <w:tcPr>
            <w:tcW w:w="6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As of September 30,</w:t>
            </w:r>
          </w:p>
        </w:tc>
        <w:tc>
          <w:tcPr>
            <w:tcW w:w="0" w:type="dxa"/>
            <w:vAlign w:val="bottom"/>
          </w:tcPr>
          <w:p>
            <w:pPr>
              <w:spacing w:after="0"/>
              <w:rPr>
                <w:sz w:val="1"/>
                <w:szCs w:val="1"/>
                <w:color w:val="auto"/>
              </w:rPr>
            </w:pPr>
          </w:p>
        </w:tc>
      </w:tr>
      <w:tr>
        <w:trPr>
          <w:trHeight w:val="223"/>
        </w:trPr>
        <w:tc>
          <w:tcPr>
            <w:tcW w:w="660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4"/>
        </w:trPr>
        <w:tc>
          <w:tcPr>
            <w:tcW w:w="6600" w:type="dxa"/>
            <w:vAlign w:val="bottom"/>
            <w:vMerge w:val="continue"/>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Program cash</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9"/>
        </w:trPr>
        <w:tc>
          <w:tcPr>
            <w:tcW w:w="6600" w:type="dxa"/>
            <w:vAlign w:val="bottom"/>
          </w:tcPr>
          <w:p>
            <w:pPr>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9"/>
                <w:szCs w:val="9"/>
                <w:color w:val="auto"/>
              </w:rPr>
              <w:t>(a)</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 cash and cash equivalents, program and restricted cash</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w:t>
      </w:r>
    </w:p>
    <w:p>
      <w:pPr>
        <w:ind w:left="820" w:hanging="326"/>
        <w:spacing w:after="0" w:line="224" w:lineRule="auto"/>
        <w:tabs>
          <w:tab w:leader="none" w:pos="82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Included within other current assets.</w:t>
      </w:r>
    </w:p>
    <w:p>
      <w:pPr>
        <w:spacing w:after="0" w:line="201" w:lineRule="exact"/>
        <w:rPr>
          <w:sz w:val="20"/>
          <w:szCs w:val="20"/>
          <w:color w:val="auto"/>
        </w:rPr>
      </w:pPr>
    </w:p>
    <w:p>
      <w:pPr>
        <w:ind w:left="500" w:right="20"/>
        <w:spacing w:after="0" w:line="258"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The Company presents separately the financial data of its vehicle programs. These programs are distinct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other 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204" w:lineRule="exact"/>
        <w:rPr>
          <w:sz w:val="20"/>
          <w:szCs w:val="20"/>
          <w:color w:val="auto"/>
        </w:rPr>
      </w:pPr>
    </w:p>
    <w:p>
      <w:pPr>
        <w:ind w:left="500"/>
        <w:spacing w:after="0" w:line="260" w:lineRule="auto"/>
        <w:rPr>
          <w:sz w:val="20"/>
          <w:szCs w:val="20"/>
          <w:color w:val="auto"/>
        </w:rPr>
      </w:pPr>
      <w:r>
        <w:rPr>
          <w:rFonts w:ascii="Arial" w:cs="Arial" w:eastAsia="Arial" w:hAnsi="Arial"/>
          <w:sz w:val="18"/>
          <w:szCs w:val="18"/>
          <w:i w:val="1"/>
          <w:iCs w:val="1"/>
          <w:color w:val="auto"/>
        </w:rPr>
        <w:t xml:space="preserve">Transaction-related costs, net. </w:t>
      </w:r>
      <w:r>
        <w:rPr>
          <w:rFonts w:ascii="Arial" w:cs="Arial" w:eastAsia="Arial" w:hAnsi="Arial"/>
          <w:sz w:val="18"/>
          <w:szCs w:val="18"/>
          <w:color w:val="auto"/>
        </w:rPr>
        <w:t>Transaction-related costs, net are classified separately in the Consolidated Condensed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These costs are comprised of expenses related to acquisition-related activities such as due diligence and other advisory costs, expenses related to the integration of the acquiree’s operations with those of the Company, including the implementation of best practices and process improvements, non-cash gains and losses related to re-acquired rights, expenses related to pre-acquisition contingencies and contingent consideration related to acquisitions.</w:t>
      </w:r>
    </w:p>
    <w:p>
      <w:pPr>
        <w:spacing w:after="0" w:line="202" w:lineRule="exact"/>
        <w:rPr>
          <w:sz w:val="20"/>
          <w:szCs w:val="20"/>
          <w:color w:val="auto"/>
        </w:rPr>
      </w:pPr>
    </w:p>
    <w:p>
      <w:pPr>
        <w:ind w:left="500" w:right="80"/>
        <w:spacing w:after="0" w:line="260" w:lineRule="auto"/>
        <w:rPr>
          <w:sz w:val="20"/>
          <w:szCs w:val="20"/>
          <w:color w:val="auto"/>
        </w:rPr>
      </w:pPr>
      <w:r>
        <w:rPr>
          <w:rFonts w:ascii="Arial" w:cs="Arial" w:eastAsia="Arial" w:hAnsi="Arial"/>
          <w:sz w:val="18"/>
          <w:szCs w:val="18"/>
          <w:i w:val="1"/>
          <w:iCs w:val="1"/>
          <w:color w:val="auto"/>
        </w:rPr>
        <w:t xml:space="preserve">Currency Transactions. </w:t>
      </w:r>
      <w:r>
        <w:rPr>
          <w:rFonts w:ascii="Arial" w:cs="Arial" w:eastAsia="Arial" w:hAnsi="Arial"/>
          <w:sz w:val="18"/>
          <w:szCs w:val="18"/>
          <w:color w:val="auto"/>
        </w:rPr>
        <w:t>The Company records the gain or loss on foreign-currency transactions on certain intercompany loans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gain or loss on intercompany loan hedges within interest expense related to corporate debt, net. During the three months ended September 30, 2020 and 2019, the Company recorded an immaterial amount, in each period, related to such items. During the nine months ended September 30, 2020 and 2019, the Company recorded a loss of $5 million and a gain of $3 million, respectively, related to such items.</w:t>
      </w:r>
    </w:p>
    <w:p>
      <w:pPr>
        <w:spacing w:after="0" w:line="202" w:lineRule="exact"/>
        <w:rPr>
          <w:sz w:val="20"/>
          <w:szCs w:val="20"/>
          <w:color w:val="auto"/>
        </w:rPr>
      </w:pPr>
    </w:p>
    <w:p>
      <w:pPr>
        <w:ind w:left="500" w:right="60"/>
        <w:spacing w:after="0" w:line="264" w:lineRule="auto"/>
        <w:rPr>
          <w:sz w:val="20"/>
          <w:szCs w:val="20"/>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In 2018, the Company entered into a definitive stock purchase agreement to sell its 50% equity method investment in Anji</w:t>
      </w:r>
      <w:r>
        <w:rPr>
          <w:rFonts w:ascii="Arial" w:cs="Arial" w:eastAsia="Arial" w:hAnsi="Arial"/>
          <w:sz w:val="18"/>
          <w:szCs w:val="18"/>
          <w:i w:val="1"/>
          <w:iCs w:val="1"/>
          <w:color w:val="auto"/>
        </w:rPr>
        <w:t xml:space="preserve"> </w:t>
      </w:r>
      <w:r>
        <w:rPr>
          <w:rFonts w:ascii="Arial" w:cs="Arial" w:eastAsia="Arial" w:hAnsi="Arial"/>
          <w:sz w:val="18"/>
          <w:szCs w:val="18"/>
          <w:color w:val="auto"/>
        </w:rPr>
        <w:t>Car Rental &amp; Leasing Company Limited (“China”), located in China, to Shanghai Automotive Industry Sales Company, Ltd., a 50% owner of China. In 2019, the Company completed the sale for $64 million, net of cross-border withholding taxes and recorded a $44 million gain within operating</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expenses. China’s operations were reported within the Company’s International segment.</w:t>
      </w:r>
    </w:p>
    <w:p>
      <w:pPr>
        <w:spacing w:after="0" w:line="252" w:lineRule="exact"/>
        <w:rPr>
          <w:sz w:val="20"/>
          <w:szCs w:val="20"/>
          <w:color w:val="auto"/>
        </w:rPr>
      </w:pPr>
    </w:p>
    <w:p>
      <w:pPr>
        <w:ind w:left="500"/>
        <w:spacing w:after="0" w:line="260"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As of September 30, 2020 and December 31, 2019, the Company had equity method investments with a carrying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$59 million and $56 million, respectively, which are recorded within other non-current assets. Earnings from the Company’s equity method investments are reported within operating expenses. For the three months ended September 30, 2020 and 2019, the Company recorded income of $3 million and $5 million, respectively related to its equity method investments, and for the nine months ended September 30, 2020 and 2019, the Company recorded income of $4 million and $9 million, respectively.</w:t>
      </w:r>
    </w:p>
    <w:p>
      <w:pPr>
        <w:spacing w:after="0" w:line="202" w:lineRule="exact"/>
        <w:rPr>
          <w:sz w:val="20"/>
          <w:szCs w:val="20"/>
          <w:color w:val="auto"/>
        </w:rPr>
      </w:pPr>
    </w:p>
    <w:p>
      <w:pPr>
        <w:ind w:left="500" w:right="140"/>
        <w:spacing w:after="0" w:line="260" w:lineRule="auto"/>
        <w:rPr>
          <w:sz w:val="20"/>
          <w:szCs w:val="20"/>
          <w:color w:val="auto"/>
        </w:rPr>
      </w:pPr>
      <w:r>
        <w:rPr>
          <w:rFonts w:ascii="Arial" w:cs="Arial" w:eastAsia="Arial" w:hAnsi="Arial"/>
          <w:sz w:val="18"/>
          <w:szCs w:val="18"/>
          <w:i w:val="1"/>
          <w:iCs w:val="1"/>
          <w:color w:val="auto"/>
        </w:rPr>
        <w:t xml:space="preserve">Nonmarketable Equity Securities. </w:t>
      </w:r>
      <w:r>
        <w:rPr>
          <w:rFonts w:ascii="Arial" w:cs="Arial" w:eastAsia="Arial" w:hAnsi="Arial"/>
          <w:sz w:val="18"/>
          <w:szCs w:val="18"/>
          <w:color w:val="auto"/>
        </w:rPr>
        <w:t>As of September 30, 2020 and December 31, 2019, the Company had nonmarketable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with a carrying value of $8 million, respectively, which are recorded within other non-current assets. During the nine months ended September 30, 2019, the Company realized a $12 million gain from the sale of a nonmarketable equity security, which is recorded within operating expenses. No adjustments were made to the carrying amounts during the three months ended September 30, 2020 and 2019, and during the nine months ended September 30, 2020.</w:t>
      </w:r>
    </w:p>
    <w:p>
      <w:pPr>
        <w:spacing w:after="0" w:line="202" w:lineRule="exact"/>
        <w:rPr>
          <w:sz w:val="20"/>
          <w:szCs w:val="20"/>
          <w:color w:val="auto"/>
        </w:rPr>
      </w:pPr>
    </w:p>
    <w:p>
      <w:pPr>
        <w:ind w:left="500" w:right="100"/>
        <w:spacing w:after="0" w:line="264" w:lineRule="auto"/>
        <w:rPr>
          <w:sz w:val="20"/>
          <w:szCs w:val="20"/>
          <w:color w:val="auto"/>
        </w:rPr>
      </w:pPr>
      <w:r>
        <w:rPr>
          <w:rFonts w:ascii="Arial" w:cs="Arial" w:eastAsia="Arial" w:hAnsi="Arial"/>
          <w:sz w:val="18"/>
          <w:szCs w:val="18"/>
          <w:i w:val="1"/>
          <w:iCs w:val="1"/>
          <w:color w:val="auto"/>
        </w:rPr>
        <w:t>Revenues. R</w:t>
      </w:r>
      <w:r>
        <w:rPr>
          <w:rFonts w:ascii="Arial" w:cs="Arial" w:eastAsia="Arial" w:hAnsi="Arial"/>
          <w:sz w:val="18"/>
          <w:szCs w:val="18"/>
          <w:color w:val="auto"/>
        </w:rPr>
        <w:t>evenues are recognized under “Leases (Topic 842),” with the exception of royalty fee revenue derived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licensees and revenue related to the Company’s customer loyalty program, which were approximately $30 million and $40 million during the three months ended September 30, 2020 and 2019, respectively, and $84 million and $103 million during the nine months ended September 30, 2020 and 2019, respectively.</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revenues disaggregated by geography.</w:t>
      </w:r>
    </w:p>
    <w:p>
      <w:pPr>
        <w:spacing w:after="0" w:line="27"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0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9"/>
              </w:rPr>
              <w:t>Three Months Ended</w:t>
            </w:r>
          </w:p>
        </w:tc>
        <w:tc>
          <w:tcPr>
            <w:tcW w:w="320" w:type="dxa"/>
            <w:vAlign w:val="bottom"/>
          </w:tcPr>
          <w:p>
            <w:pPr>
              <w:spacing w:after="0"/>
              <w:rPr>
                <w:sz w:val="17"/>
                <w:szCs w:val="17"/>
                <w:color w:val="auto"/>
              </w:rPr>
            </w:pPr>
          </w:p>
        </w:tc>
        <w:tc>
          <w:tcPr>
            <w:tcW w:w="26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4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0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19"/>
                <w:szCs w:val="19"/>
                <w:color w:val="auto"/>
              </w:rPr>
            </w:pPr>
          </w:p>
        </w:tc>
        <w:tc>
          <w:tcPr>
            <w:tcW w:w="260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220" w:type="dxa"/>
            <w:vAlign w:val="bottom"/>
            <w:vMerge w:val="restart"/>
          </w:tcPr>
          <w:p>
            <w:pPr>
              <w:spacing w:after="0"/>
              <w:rPr>
                <w:sz w:val="20"/>
                <w:szCs w:val="20"/>
                <w:color w:val="auto"/>
              </w:rPr>
            </w:pPr>
            <w:r>
              <w:rPr>
                <w:rFonts w:ascii="Arial" w:cs="Arial" w:eastAsia="Arial" w:hAnsi="Arial"/>
                <w:sz w:val="18"/>
                <w:szCs w:val="18"/>
                <w:color w:val="auto"/>
              </w:rPr>
              <w:t>Americas</w:t>
            </w: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4"/>
        </w:trPr>
        <w:tc>
          <w:tcPr>
            <w:tcW w:w="4220" w:type="dxa"/>
            <w:vAlign w:val="bottom"/>
            <w:vMerge w:val="continue"/>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2,936</w:t>
            </w:r>
          </w:p>
        </w:tc>
        <w:tc>
          <w:tcPr>
            <w:tcW w:w="12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4,822</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39"/>
        </w:trPr>
        <w:tc>
          <w:tcPr>
            <w:tcW w:w="4220" w:type="dxa"/>
            <w:vAlign w:val="bottom"/>
          </w:tcPr>
          <w:p>
            <w:pPr>
              <w:spacing w:after="0"/>
              <w:rPr>
                <w:sz w:val="20"/>
                <w:szCs w:val="20"/>
                <w:color w:val="auto"/>
              </w:rPr>
            </w:pPr>
            <w:r>
              <w:rPr>
                <w:rFonts w:ascii="Arial" w:cs="Arial" w:eastAsia="Arial" w:hAnsi="Arial"/>
                <w:sz w:val="18"/>
                <w:szCs w:val="18"/>
                <w:color w:val="auto"/>
              </w:rPr>
              <w:t>Asia and Australasia</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revenues disaggregated by brand.</w:t>
      </w:r>
    </w:p>
    <w:p>
      <w:pPr>
        <w:spacing w:after="0" w:line="27"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9"/>
              </w:rPr>
              <w:t>Three Months Ended</w:t>
            </w:r>
          </w:p>
        </w:tc>
        <w:tc>
          <w:tcPr>
            <w:tcW w:w="320" w:type="dxa"/>
            <w:vAlign w:val="bottom"/>
          </w:tcPr>
          <w:p>
            <w:pPr>
              <w:spacing w:after="0"/>
              <w:rPr>
                <w:sz w:val="18"/>
                <w:szCs w:val="18"/>
                <w:color w:val="auto"/>
              </w:rPr>
            </w:pPr>
          </w:p>
        </w:tc>
        <w:tc>
          <w:tcPr>
            <w:tcW w:w="26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8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19"/>
                <w:szCs w:val="19"/>
                <w:color w:val="auto"/>
              </w:rPr>
            </w:pPr>
          </w:p>
        </w:tc>
        <w:tc>
          <w:tcPr>
            <w:tcW w:w="260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200" w:type="dxa"/>
            <w:vAlign w:val="bottom"/>
            <w:vMerge w:val="restart"/>
          </w:tcPr>
          <w:p>
            <w:pPr>
              <w:spacing w:after="0"/>
              <w:rPr>
                <w:sz w:val="20"/>
                <w:szCs w:val="20"/>
                <w:color w:val="auto"/>
              </w:rPr>
            </w:pPr>
            <w:r>
              <w:rPr>
                <w:rFonts w:ascii="Arial" w:cs="Arial" w:eastAsia="Arial" w:hAnsi="Arial"/>
                <w:sz w:val="18"/>
                <w:szCs w:val="18"/>
                <w:color w:val="auto"/>
              </w:rPr>
              <w:t>Avis</w:t>
            </w: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4"/>
        </w:trPr>
        <w:tc>
          <w:tcPr>
            <w:tcW w:w="4200" w:type="dxa"/>
            <w:vAlign w:val="bottom"/>
            <w:vMerge w:val="continue"/>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2,230</w:t>
            </w:r>
          </w:p>
        </w:tc>
        <w:tc>
          <w:tcPr>
            <w:tcW w:w="12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4,008</w:t>
            </w: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Budget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39"/>
        </w:trPr>
        <w:tc>
          <w:tcPr>
            <w:tcW w:w="420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w:t>
      </w:r>
    </w:p>
    <w:p>
      <w:pPr>
        <w:spacing w:after="0" w:line="1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Other includes Zipcar and other operating brands.</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Intangibles—Goodwill and Other—Internal-Use Software</w:t>
      </w:r>
    </w:p>
    <w:p>
      <w:pPr>
        <w:spacing w:after="0" w:line="250" w:lineRule="exact"/>
        <w:rPr>
          <w:sz w:val="20"/>
          <w:szCs w:val="20"/>
          <w:color w:val="auto"/>
        </w:rPr>
      </w:pPr>
    </w:p>
    <w:p>
      <w:pPr>
        <w:ind w:left="500" w:right="60"/>
        <w:spacing w:after="0" w:line="257" w:lineRule="auto"/>
        <w:rPr>
          <w:sz w:val="20"/>
          <w:szCs w:val="20"/>
          <w:color w:val="auto"/>
        </w:rPr>
      </w:pPr>
      <w:r>
        <w:rPr>
          <w:rFonts w:ascii="Arial" w:cs="Arial" w:eastAsia="Arial" w:hAnsi="Arial"/>
          <w:sz w:val="18"/>
          <w:szCs w:val="18"/>
          <w:color w:val="auto"/>
        </w:rPr>
        <w:t>On January 1, 2020, as the result of a new accounting pronouncement, the Company adopted Accounting Standard Update (“ASU”) 2018-15 “Customer’s Accounting for Fees Paid in a Cloud Computing Arrangement That Is a Service Contract,” which provides guidance for determining when the arrangement includes a software license. The amendments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amendments in this Update also require the entity to expense the capitalized implementation costs of a hosting arrangement that is a service contract over the term of the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right="80"/>
        <w:spacing w:after="0" w:line="258" w:lineRule="auto"/>
        <w:rPr>
          <w:sz w:val="20"/>
          <w:szCs w:val="20"/>
          <w:color w:val="auto"/>
        </w:rPr>
      </w:pPr>
      <w:r>
        <w:rPr>
          <w:rFonts w:ascii="Arial" w:cs="Arial" w:eastAsia="Arial" w:hAnsi="Arial"/>
          <w:sz w:val="18"/>
          <w:szCs w:val="18"/>
          <w:color w:val="auto"/>
        </w:rPr>
        <w:t>hosting arrangement, to present the expense in the same line in its statement of income as the fees associated with the hosting element (service) of the arrangement and classify payments for capitalized implementation costs in its statement of cash flows in the same manner as payments made for fees associated with the hosting element. The entity is also required to present the capitalized implementation costs in its balance sheet in the same line that a prepayment for the fees of the associated hosting arrangement would be presented. The adoption of this accounting pronouncement did not have a material impact on the Company's Consolidated Condensed Financial Statements.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Fair Value Measurement</w:t>
      </w:r>
    </w:p>
    <w:p>
      <w:pPr>
        <w:spacing w:after="0" w:line="250" w:lineRule="exact"/>
        <w:rPr>
          <w:sz w:val="20"/>
          <w:szCs w:val="20"/>
          <w:color w:val="auto"/>
        </w:rPr>
      </w:pPr>
    </w:p>
    <w:p>
      <w:pPr>
        <w:ind w:left="500"/>
        <w:spacing w:after="0" w:line="264" w:lineRule="auto"/>
        <w:rPr>
          <w:sz w:val="20"/>
          <w:szCs w:val="20"/>
          <w:color w:val="auto"/>
        </w:rPr>
      </w:pPr>
      <w:r>
        <w:rPr>
          <w:rFonts w:ascii="Arial" w:cs="Arial" w:eastAsia="Arial" w:hAnsi="Arial"/>
          <w:sz w:val="18"/>
          <w:szCs w:val="18"/>
          <w:color w:val="auto"/>
        </w:rPr>
        <w:t>On January 1, 2020, as the result of a new accounting pronouncement, the Company adopted ASU 2018-13, “Disclosure Framework— Changes to the Disclosure Requirements for Fair Value Measurement,” which adds, removes, and modifies disclosure requirements related to fair value measurements. The adoption of this accounting pronouncement did not have a material impact on the Company's Consolidated Condensed Financial Statements.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Measurement of Credit Losses on Financial Instruments</w:t>
      </w:r>
    </w:p>
    <w:p>
      <w:pPr>
        <w:spacing w:after="0" w:line="250" w:lineRule="exact"/>
        <w:rPr>
          <w:sz w:val="20"/>
          <w:szCs w:val="20"/>
          <w:color w:val="auto"/>
        </w:rPr>
      </w:pPr>
    </w:p>
    <w:p>
      <w:pPr>
        <w:ind w:left="500" w:right="80"/>
        <w:spacing w:after="0" w:line="256" w:lineRule="auto"/>
        <w:rPr>
          <w:sz w:val="20"/>
          <w:szCs w:val="20"/>
          <w:color w:val="auto"/>
        </w:rPr>
      </w:pPr>
      <w:r>
        <w:rPr>
          <w:rFonts w:ascii="Arial" w:cs="Arial" w:eastAsia="Arial" w:hAnsi="Arial"/>
          <w:sz w:val="18"/>
          <w:szCs w:val="18"/>
          <w:color w:val="auto"/>
        </w:rPr>
        <w:t>On January 1, 2020, as the result of a new accounting pronouncement, the Company adopted ASU 2016-13, “Financial Instruments— Credit Losses (Topic 326): Measurement of Credit Losses on Financial Instruments,” and related updates which sets forth a current expected credit loss impairment model for financial assets that replaces the current incurred loss model. This model requires a financial asset (or group of financial assets), including trade receivables, measured at amortized cost to be presented at the net amount expected to be collected with an allowance for credit losses deducted from the amortized cost basis. The allowance for credit losses should reflect management’s current estimate of credit losses that are expected to occur over the remaining life of a financial asset. The adoption of this accounting pronouncement did not have a material impact on the Company's Consolidated Condensed Financial Statements.</w:t>
      </w:r>
    </w:p>
    <w:p>
      <w:pPr>
        <w:spacing w:after="0" w:line="207" w:lineRule="exact"/>
        <w:rPr>
          <w:sz w:val="20"/>
          <w:szCs w:val="20"/>
          <w:color w:val="auto"/>
        </w:rPr>
      </w:pPr>
    </w:p>
    <w:p>
      <w:pPr>
        <w:ind w:left="500" w:right="840"/>
        <w:spacing w:after="0" w:line="289" w:lineRule="auto"/>
        <w:rPr>
          <w:sz w:val="20"/>
          <w:szCs w:val="20"/>
          <w:color w:val="auto"/>
        </w:rPr>
      </w:pPr>
      <w:r>
        <w:rPr>
          <w:rFonts w:ascii="Arial" w:cs="Arial" w:eastAsia="Arial" w:hAnsi="Arial"/>
          <w:sz w:val="18"/>
          <w:szCs w:val="18"/>
          <w:i w:val="1"/>
          <w:iCs w:val="1"/>
          <w:color w:val="auto"/>
        </w:rPr>
        <w:t>Financial Disclosures About Guarantors and Issuers of Guaranteed Securities and Affiliates Whose Securities Collateralize a Registrant’s Securities</w:t>
      </w:r>
    </w:p>
    <w:p>
      <w:pPr>
        <w:spacing w:after="0" w:line="175"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During first quarter 2020, the Company early adopted the Securities Exchange Commission’s, “Financial Disclosures About Guarantors and Issuers of Guaranteed Securities and Affiliates Whose Securities Collateralize a Registrant’s Securities” rules, which simplify the disclosure requirements related to the Company’s registered securities under Rule 3-10 of Regulation S-X. The final rule also allows for the simplified disclosure to be included within Management’s Discussion and Analysis of Financial Condition and Results of Operations. During third quarter 2020, the Company redeemed its remaining $100 million of publicly registered debt securities (see Note 11—Long-term corporate debt and borrowing arrangements for details). The Company’s remaining outstanding debt securities were issued in private placements exempt from the registration requirements of the federal securities laws, and therefore, such disclosure is not required.</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Simplifying the Accounting for Income Taxes</w:t>
      </w:r>
    </w:p>
    <w:p>
      <w:pPr>
        <w:spacing w:after="0" w:line="250" w:lineRule="exact"/>
        <w:rPr>
          <w:sz w:val="20"/>
          <w:szCs w:val="20"/>
          <w:color w:val="auto"/>
        </w:rPr>
      </w:pPr>
    </w:p>
    <w:p>
      <w:pPr>
        <w:ind w:left="500" w:right="120"/>
        <w:spacing w:after="0" w:line="264" w:lineRule="auto"/>
        <w:rPr>
          <w:sz w:val="20"/>
          <w:szCs w:val="20"/>
          <w:color w:val="auto"/>
        </w:rPr>
      </w:pPr>
      <w:r>
        <w:rPr>
          <w:rFonts w:ascii="Arial" w:cs="Arial" w:eastAsia="Arial" w:hAnsi="Arial"/>
          <w:sz w:val="18"/>
          <w:szCs w:val="18"/>
          <w:color w:val="auto"/>
        </w:rPr>
        <w:t>In December 2019, the FASB issued ASU 2019-12, “Simplifying the Accounting for Income Taxes,” which simplifies the accounting for income taxes by removing certain exceptions and improving the application of existing guidance. ASU 2019-12 becomes effective for the Company on January 1, 2021. Early adoption is permitted. The Company is currently evaluating the impact of this accounting pronouncement on its Consolidated Condensed Financial Statements but does not expect it to have a material impact.</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Compensation—Retirement Benefits—Defined Benefit Plans</w:t>
      </w:r>
    </w:p>
    <w:p>
      <w:pPr>
        <w:spacing w:after="0" w:line="250" w:lineRule="exact"/>
        <w:rPr>
          <w:sz w:val="20"/>
          <w:szCs w:val="20"/>
          <w:color w:val="auto"/>
        </w:rPr>
      </w:pPr>
    </w:p>
    <w:p>
      <w:pPr>
        <w:ind w:left="500" w:right="20"/>
        <w:spacing w:after="0" w:line="271" w:lineRule="auto"/>
        <w:rPr>
          <w:sz w:val="20"/>
          <w:szCs w:val="20"/>
          <w:color w:val="auto"/>
        </w:rPr>
      </w:pPr>
      <w:r>
        <w:rPr>
          <w:rFonts w:ascii="Arial" w:cs="Arial" w:eastAsia="Arial" w:hAnsi="Arial"/>
          <w:sz w:val="18"/>
          <w:szCs w:val="18"/>
          <w:color w:val="auto"/>
        </w:rPr>
        <w:t>In August 2018, the FASB issued ASU 2018-14, “Disclosure Framework—Changes to the Disclosure Requirements for Defined Benefit Plans,” which adds, removes, and clarifies disclosure requirements related to defined benefit pension and other postretirement plans. These changes are part of the FASB’s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right="300"/>
        <w:spacing w:after="0" w:line="264" w:lineRule="auto"/>
        <w:rPr>
          <w:sz w:val="20"/>
          <w:szCs w:val="20"/>
          <w:color w:val="auto"/>
        </w:rPr>
      </w:pPr>
      <w:r>
        <w:rPr>
          <w:rFonts w:ascii="Arial" w:cs="Arial" w:eastAsia="Arial" w:hAnsi="Arial"/>
          <w:sz w:val="18"/>
          <w:szCs w:val="18"/>
          <w:color w:val="auto"/>
        </w:rPr>
        <w:t>disclosure framework project, which the Board launched in 2014 to improve the effectiveness of disclosures in notes to financial statements. ASU 2018-14 becomes effective for the Company on January 1, 2021. Early adoption is permitted. The adoption of this accounting pronouncement is not expected to have a material impact on the Company's Consolidated Condensed Financial Statements.</w:t>
      </w:r>
    </w:p>
    <w:p>
      <w:pPr>
        <w:spacing w:after="0" w:line="194"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lease revenues disaggregated by geography.</w:t>
      </w:r>
    </w:p>
    <w:p>
      <w:pPr>
        <w:spacing w:after="0" w:line="27"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9"/>
              </w:rPr>
              <w:t>Three Months Ended</w:t>
            </w:r>
          </w:p>
        </w:tc>
        <w:tc>
          <w:tcPr>
            <w:tcW w:w="300" w:type="dxa"/>
            <w:vAlign w:val="bottom"/>
          </w:tcPr>
          <w:p>
            <w:pPr>
              <w:spacing w:after="0"/>
              <w:rPr>
                <w:sz w:val="17"/>
                <w:szCs w:val="17"/>
                <w:color w:val="auto"/>
              </w:rPr>
            </w:pPr>
          </w:p>
        </w:tc>
        <w:tc>
          <w:tcPr>
            <w:tcW w:w="26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4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8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19"/>
                <w:szCs w:val="19"/>
                <w:color w:val="auto"/>
              </w:rPr>
            </w:pPr>
          </w:p>
        </w:tc>
        <w:tc>
          <w:tcPr>
            <w:tcW w:w="262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020" w:type="dxa"/>
            <w:vAlign w:val="bottom"/>
            <w:vMerge w:val="restart"/>
          </w:tcPr>
          <w:p>
            <w:pPr>
              <w:spacing w:after="0"/>
              <w:rPr>
                <w:sz w:val="20"/>
                <w:szCs w:val="20"/>
                <w:color w:val="auto"/>
              </w:rPr>
            </w:pPr>
            <w:r>
              <w:rPr>
                <w:rFonts w:ascii="Arial" w:cs="Arial" w:eastAsia="Arial" w:hAnsi="Arial"/>
                <w:sz w:val="18"/>
                <w:szCs w:val="18"/>
                <w:color w:val="auto"/>
              </w:rPr>
              <w:t>Americas</w:t>
            </w: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4"/>
        </w:trPr>
        <w:tc>
          <w:tcPr>
            <w:tcW w:w="4020" w:type="dxa"/>
            <w:vAlign w:val="bottom"/>
            <w:vMerge w:val="continue"/>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2,896</w:t>
            </w:r>
          </w:p>
        </w:tc>
        <w:tc>
          <w:tcPr>
            <w:tcW w:w="1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4,792</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39"/>
        </w:trPr>
        <w:tc>
          <w:tcPr>
            <w:tcW w:w="4020" w:type="dxa"/>
            <w:vAlign w:val="bottom"/>
          </w:tcPr>
          <w:p>
            <w:pPr>
              <w:spacing w:after="0"/>
              <w:rPr>
                <w:sz w:val="20"/>
                <w:szCs w:val="20"/>
                <w:color w:val="auto"/>
              </w:rPr>
            </w:pPr>
            <w:r>
              <w:rPr>
                <w:rFonts w:ascii="Arial" w:cs="Arial" w:eastAsia="Arial" w:hAnsi="Arial"/>
                <w:sz w:val="18"/>
                <w:szCs w:val="18"/>
                <w:color w:val="auto"/>
              </w:rPr>
              <w:t>Asia and Australasia</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Total lease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6,907</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lease revenues disaggregated by brand.</w:t>
      </w:r>
    </w:p>
    <w:p>
      <w:pPr>
        <w:spacing w:after="0" w:line="27"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0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9"/>
              </w:rPr>
              <w:t>Three Months Ended</w:t>
            </w:r>
          </w:p>
        </w:tc>
        <w:tc>
          <w:tcPr>
            <w:tcW w:w="300" w:type="dxa"/>
            <w:vAlign w:val="bottom"/>
          </w:tcPr>
          <w:p>
            <w:pPr>
              <w:spacing w:after="0"/>
              <w:rPr>
                <w:sz w:val="17"/>
                <w:szCs w:val="17"/>
                <w:color w:val="auto"/>
              </w:rPr>
            </w:pPr>
          </w:p>
        </w:tc>
        <w:tc>
          <w:tcPr>
            <w:tcW w:w="26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4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0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9"/>
              </w:rPr>
              <w:t>September 30,</w:t>
            </w:r>
          </w:p>
        </w:tc>
        <w:tc>
          <w:tcPr>
            <w:tcW w:w="300" w:type="dxa"/>
            <w:vAlign w:val="bottom"/>
          </w:tcPr>
          <w:p>
            <w:pPr>
              <w:spacing w:after="0"/>
              <w:rPr>
                <w:sz w:val="19"/>
                <w:szCs w:val="19"/>
                <w:color w:val="auto"/>
              </w:rPr>
            </w:pPr>
          </w:p>
        </w:tc>
        <w:tc>
          <w:tcPr>
            <w:tcW w:w="260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020" w:type="dxa"/>
            <w:vAlign w:val="bottom"/>
            <w:vMerge w:val="restart"/>
          </w:tcPr>
          <w:p>
            <w:pPr>
              <w:spacing w:after="0"/>
              <w:rPr>
                <w:sz w:val="20"/>
                <w:szCs w:val="20"/>
                <w:color w:val="auto"/>
              </w:rPr>
            </w:pPr>
            <w:r>
              <w:rPr>
                <w:rFonts w:ascii="Arial" w:cs="Arial" w:eastAsia="Arial" w:hAnsi="Arial"/>
                <w:sz w:val="18"/>
                <w:szCs w:val="18"/>
                <w:color w:val="auto"/>
              </w:rPr>
              <w:t>Avis</w:t>
            </w: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4"/>
        </w:trPr>
        <w:tc>
          <w:tcPr>
            <w:tcW w:w="4020" w:type="dxa"/>
            <w:vAlign w:val="bottom"/>
            <w:vMerge w:val="continue"/>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1,559</w:t>
            </w:r>
          </w:p>
        </w:tc>
        <w:tc>
          <w:tcPr>
            <w:tcW w:w="1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3,953</w:t>
            </w:r>
          </w:p>
        </w:tc>
        <w:tc>
          <w:tcPr>
            <w:tcW w:w="0" w:type="dxa"/>
            <w:vAlign w:val="bottom"/>
          </w:tcPr>
          <w:p>
            <w:pPr>
              <w:spacing w:after="0"/>
              <w:rPr>
                <w:sz w:val="1"/>
                <w:szCs w:val="1"/>
                <w:color w:val="auto"/>
              </w:rPr>
            </w:pP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Budget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39"/>
        </w:trPr>
        <w:tc>
          <w:tcPr>
            <w:tcW w:w="402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Total lease revenues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6,907</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w:t>
      </w:r>
    </w:p>
    <w:p>
      <w:pPr>
        <w:spacing w:after="0" w:line="1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Other includes Zipcar and other operating brands.</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Lessee</w:t>
      </w:r>
    </w:p>
    <w:p>
      <w:pPr>
        <w:spacing w:after="0" w:line="252" w:lineRule="exact"/>
        <w:rPr>
          <w:sz w:val="20"/>
          <w:szCs w:val="20"/>
          <w:color w:val="auto"/>
        </w:rPr>
      </w:pPr>
    </w:p>
    <w:p>
      <w:pPr>
        <w:ind w:left="500"/>
        <w:spacing w:after="0" w:line="257" w:lineRule="auto"/>
        <w:rPr>
          <w:sz w:val="20"/>
          <w:szCs w:val="20"/>
          <w:color w:val="auto"/>
        </w:rPr>
      </w:pPr>
      <w:r>
        <w:rPr>
          <w:rFonts w:ascii="Arial" w:cs="Arial" w:eastAsia="Arial" w:hAnsi="Arial"/>
          <w:sz w:val="18"/>
          <w:szCs w:val="18"/>
          <w:color w:val="auto"/>
        </w:rPr>
        <w:t>The Company has operating and finance leases for rental locations, corporate offices, vehicle rental fleet and equipment. Many of the Company’s operating leases for rental locations contain concession agreements with various airport authorities that allow the Company to conduct its vehicle rental operations on site. In general, concession fees for airport locations are based on a percentage of total commissionable revenue as defined by each airport authority, some of which are subject to minimum annual guaranteed amounts. Concession fees other than minimum annual guaranteed amounts are not included in the measurement of operating lease Right of Use (“ROU”) assets and operating lease liabilities, and are recorded as variable lease expense as incurred. The Company’s operating leases for rental locations often also require the Company to pay or reimburse operating expenses.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expense are as follows:</w:t>
      </w:r>
    </w:p>
    <w:p>
      <w:pPr>
        <w:spacing w:after="0" w:line="27"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020" w:type="dxa"/>
            <w:vAlign w:val="bottom"/>
          </w:tcPr>
          <w:p>
            <w:pPr>
              <w:spacing w:after="0"/>
              <w:rPr>
                <w:sz w:val="18"/>
                <w:szCs w:val="18"/>
                <w:color w:val="auto"/>
              </w:rPr>
            </w:pPr>
          </w:p>
        </w:tc>
        <w:tc>
          <w:tcPr>
            <w:tcW w:w="246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19"/>
                <w:szCs w:val="19"/>
                <w:color w:val="auto"/>
              </w:rPr>
            </w:pPr>
          </w:p>
        </w:tc>
        <w:tc>
          <w:tcPr>
            <w:tcW w:w="24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September 30,</w:t>
            </w:r>
          </w:p>
        </w:tc>
        <w:tc>
          <w:tcPr>
            <w:tcW w:w="4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02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Property leases </w:t>
            </w:r>
            <w:r>
              <w:rPr>
                <w:rFonts w:ascii="Arial" w:cs="Arial" w:eastAsia="Arial" w:hAnsi="Arial"/>
                <w:sz w:val="23"/>
                <w:szCs w:val="23"/>
                <w:b w:val="1"/>
                <w:bCs w:val="1"/>
                <w:color w:val="auto"/>
                <w:vertAlign w:val="superscript"/>
              </w:rPr>
              <w:t>(a)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0"/>
        </w:trPr>
        <w:tc>
          <w:tcPr>
            <w:tcW w:w="402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Operating lease expense</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39"/>
        </w:trPr>
        <w:tc>
          <w:tcPr>
            <w:tcW w:w="4020" w:type="dxa"/>
            <w:vAlign w:val="bottom"/>
          </w:tcPr>
          <w:p>
            <w:pPr>
              <w:spacing w:after="0"/>
              <w:rPr>
                <w:sz w:val="20"/>
                <w:szCs w:val="20"/>
                <w:color w:val="auto"/>
              </w:rPr>
            </w:pPr>
            <w:r>
              <w:rPr>
                <w:rFonts w:ascii="Arial" w:cs="Arial" w:eastAsia="Arial" w:hAnsi="Arial"/>
                <w:sz w:val="18"/>
                <w:szCs w:val="18"/>
                <w:color w:val="auto"/>
              </w:rPr>
              <w:t>Variable lease expense</w:t>
            </w:r>
          </w:p>
        </w:tc>
        <w:tc>
          <w:tcPr>
            <w:tcW w:w="9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b w:val="1"/>
                <w:bCs w:val="1"/>
                <w:color w:val="auto"/>
              </w:rPr>
              <w:t>Total property lease expense</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28" w:lineRule="exact"/>
        <w:rPr>
          <w:sz w:val="20"/>
          <w:szCs w:val="20"/>
          <w:color w:val="auto"/>
        </w:rPr>
      </w:pPr>
    </w:p>
    <w:p>
      <w:pPr>
        <w:ind w:left="820" w:right="100" w:hanging="326"/>
        <w:spacing w:after="0" w:line="219" w:lineRule="auto"/>
        <w:tabs>
          <w:tab w:leader="none" w:pos="77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Primarily included in operating expense and includes $11 million and $41 million of minimum annual guaranteed rent in excess of concession fees as defined in our rental concession agreement for the three and nine months ended September 30, 2020, respectively.</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balance sheet information related to leases is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44"/>
        </w:trPr>
        <w:tc>
          <w:tcPr>
            <w:tcW w:w="562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2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92"/>
        </w:trPr>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2"/>
          </w:tcPr>
          <w:p>
            <w:pPr>
              <w:ind w:left="740"/>
              <w:spacing w:after="0"/>
              <w:rPr>
                <w:sz w:val="20"/>
                <w:szCs w:val="20"/>
                <w:color w:val="auto"/>
              </w:rPr>
            </w:pPr>
            <w:r>
              <w:rPr>
                <w:rFonts w:ascii="Arial" w:cs="Arial" w:eastAsia="Arial" w:hAnsi="Arial"/>
                <w:sz w:val="18"/>
                <w:szCs w:val="18"/>
                <w:b w:val="1"/>
                <w:bCs w:val="1"/>
                <w:color w:val="auto"/>
              </w:rPr>
              <w:t>As of</w:t>
            </w:r>
          </w:p>
        </w:tc>
        <w:tc>
          <w:tcPr>
            <w:tcW w:w="280" w:type="dxa"/>
            <w:vAlign w:val="bottom"/>
          </w:tcPr>
          <w:p>
            <w:pPr>
              <w:spacing w:after="0"/>
              <w:rPr>
                <w:sz w:val="24"/>
                <w:szCs w:val="24"/>
                <w:color w:val="auto"/>
              </w:rPr>
            </w:pPr>
          </w:p>
        </w:tc>
        <w:tc>
          <w:tcPr>
            <w:tcW w:w="2200" w:type="dxa"/>
            <w:vAlign w:val="bottom"/>
          </w:tcPr>
          <w:p>
            <w:pPr>
              <w:jc w:val="right"/>
              <w:ind w:right="95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0"/>
        </w:trPr>
        <w:tc>
          <w:tcPr>
            <w:tcW w:w="562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Property leases</w:t>
            </w:r>
          </w:p>
        </w:tc>
        <w:tc>
          <w:tcPr>
            <w:tcW w:w="240" w:type="dxa"/>
            <w:vAlign w:val="bottom"/>
          </w:tcPr>
          <w:p>
            <w:pPr>
              <w:spacing w:after="0"/>
              <w:rPr>
                <w:sz w:val="19"/>
                <w:szCs w:val="19"/>
                <w:color w:val="auto"/>
              </w:rPr>
            </w:pPr>
          </w:p>
        </w:tc>
        <w:tc>
          <w:tcPr>
            <w:tcW w:w="232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2020</w:t>
            </w:r>
          </w:p>
        </w:tc>
        <w:tc>
          <w:tcPr>
            <w:tcW w:w="280" w:type="dxa"/>
            <w:vAlign w:val="bottom"/>
          </w:tcPr>
          <w:p>
            <w:pPr>
              <w:spacing w:after="0"/>
              <w:rPr>
                <w:sz w:val="19"/>
                <w:szCs w:val="19"/>
                <w:color w:val="auto"/>
              </w:rPr>
            </w:pPr>
          </w:p>
        </w:tc>
        <w:tc>
          <w:tcPr>
            <w:tcW w:w="2200" w:type="dxa"/>
            <w:vAlign w:val="bottom"/>
          </w:tcPr>
          <w:p>
            <w:pPr>
              <w:jc w:val="right"/>
              <w:ind w:right="33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200"/>
        </w:trPr>
        <w:tc>
          <w:tcPr>
            <w:tcW w:w="5620" w:type="dxa"/>
            <w:vAlign w:val="bottom"/>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700"/>
              <w:spacing w:after="0"/>
              <w:rPr>
                <w:sz w:val="20"/>
                <w:szCs w:val="20"/>
                <w:color w:val="auto"/>
              </w:rPr>
            </w:pPr>
            <w:r>
              <w:rPr>
                <w:rFonts w:ascii="Arial" w:cs="Arial" w:eastAsia="Arial" w:hAnsi="Arial"/>
                <w:sz w:val="18"/>
                <w:szCs w:val="18"/>
                <w:color w:val="auto"/>
              </w:rPr>
              <w:t>Operating lease ROU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220" w:type="dxa"/>
            <w:vAlign w:val="bottom"/>
          </w:tcPr>
          <w:p>
            <w:pPr>
              <w:jc w:val="right"/>
              <w:ind w:right="150"/>
              <w:spacing w:after="0"/>
              <w:rPr>
                <w:sz w:val="20"/>
                <w:szCs w:val="20"/>
                <w:color w:val="auto"/>
              </w:rPr>
            </w:pPr>
            <w:r>
              <w:rPr>
                <w:rFonts w:ascii="Arial" w:cs="Arial" w:eastAsia="Arial" w:hAnsi="Arial"/>
                <w:sz w:val="18"/>
                <w:szCs w:val="18"/>
                <w:color w:val="auto"/>
              </w:rPr>
              <w:t>2,642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ind w:right="150"/>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324"/>
        </w:trPr>
        <w:tc>
          <w:tcPr>
            <w:tcW w:w="5620" w:type="dxa"/>
            <w:vAlign w:val="bottom"/>
          </w:tcPr>
          <w:p>
            <w:pPr>
              <w:ind w:left="720"/>
              <w:spacing w:after="0"/>
              <w:rPr>
                <w:sz w:val="20"/>
                <w:szCs w:val="20"/>
                <w:color w:val="auto"/>
              </w:rPr>
            </w:pPr>
            <w:r>
              <w:rPr>
                <w:rFonts w:ascii="Arial" w:cs="Arial" w:eastAsia="Arial" w:hAnsi="Arial"/>
                <w:sz w:val="18"/>
                <w:szCs w:val="18"/>
                <w:color w:val="auto"/>
              </w:rPr>
              <w:t xml:space="preserve">Short-term operating lease liabilities </w:t>
            </w:r>
            <w:r>
              <w:rPr>
                <w:rFonts w:ascii="Arial" w:cs="Arial" w:eastAsia="Arial" w:hAnsi="Arial"/>
                <w:sz w:val="9"/>
                <w:szCs w:val="9"/>
                <w:color w:val="auto"/>
              </w:rPr>
              <w:t>(a)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220" w:type="dxa"/>
            <w:vAlign w:val="bottom"/>
          </w:tcPr>
          <w:p>
            <w:pPr>
              <w:jc w:val="right"/>
              <w:ind w:right="15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ind w:right="15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39"/>
        </w:trPr>
        <w:tc>
          <w:tcPr>
            <w:tcW w:w="5620" w:type="dxa"/>
            <w:vAlign w:val="bottom"/>
          </w:tcPr>
          <w:p>
            <w:pPr>
              <w:ind w:left="700"/>
              <w:spacing w:after="0"/>
              <w:rPr>
                <w:sz w:val="20"/>
                <w:szCs w:val="20"/>
                <w:color w:val="auto"/>
              </w:rPr>
            </w:pPr>
            <w:r>
              <w:rPr>
                <w:rFonts w:ascii="Arial" w:cs="Arial" w:eastAsia="Arial" w:hAnsi="Arial"/>
                <w:sz w:val="18"/>
                <w:szCs w:val="18"/>
                <w:color w:val="auto"/>
              </w:rPr>
              <w:t>Long-term operating lease liabilities</w:t>
            </w:r>
          </w:p>
        </w:tc>
        <w:tc>
          <w:tcPr>
            <w:tcW w:w="2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23"/>
        </w:trPr>
        <w:tc>
          <w:tcPr>
            <w:tcW w:w="5620" w:type="dxa"/>
            <w:vAlign w:val="bottom"/>
          </w:tcPr>
          <w:p>
            <w:pPr>
              <w:ind w:left="700"/>
              <w:spacing w:after="0"/>
              <w:rPr>
                <w:sz w:val="20"/>
                <w:szCs w:val="20"/>
                <w:color w:val="auto"/>
              </w:rPr>
            </w:pPr>
            <w:r>
              <w:rPr>
                <w:rFonts w:ascii="Arial" w:cs="Arial" w:eastAsia="Arial" w:hAnsi="Arial"/>
                <w:sz w:val="18"/>
                <w:szCs w:val="18"/>
                <w:color w:val="auto"/>
              </w:rPr>
              <w:t>Operating lease liabilities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2,667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308"/>
        </w:trPr>
        <w:tc>
          <w:tcPr>
            <w:tcW w:w="5620" w:type="dxa"/>
            <w:vAlign w:val="bottom"/>
          </w:tcPr>
          <w:p>
            <w:pPr>
              <w:ind w:left="700"/>
              <w:spacing w:after="0"/>
              <w:rPr>
                <w:sz w:val="20"/>
                <w:szCs w:val="20"/>
                <w:color w:val="auto"/>
              </w:rPr>
            </w:pPr>
            <w:r>
              <w:rPr>
                <w:rFonts w:ascii="Arial" w:cs="Arial" w:eastAsia="Arial" w:hAnsi="Arial"/>
                <w:sz w:val="18"/>
                <w:szCs w:val="18"/>
                <w:color w:val="auto"/>
              </w:rPr>
              <w:t>Weighted average remaining lease term</w:t>
            </w:r>
          </w:p>
        </w:tc>
        <w:tc>
          <w:tcPr>
            <w:tcW w:w="240" w:type="dxa"/>
            <w:vAlign w:val="bottom"/>
          </w:tcPr>
          <w:p>
            <w:pPr>
              <w:spacing w:after="0"/>
              <w:rPr>
                <w:sz w:val="24"/>
                <w:szCs w:val="24"/>
                <w:color w:val="auto"/>
              </w:rPr>
            </w:pPr>
          </w:p>
        </w:tc>
        <w:tc>
          <w:tcPr>
            <w:tcW w:w="2320" w:type="dxa"/>
            <w:vAlign w:val="bottom"/>
            <w:gridSpan w:val="2"/>
          </w:tcPr>
          <w:p>
            <w:pPr>
              <w:ind w:left="1460"/>
              <w:spacing w:after="0"/>
              <w:rPr>
                <w:sz w:val="20"/>
                <w:szCs w:val="20"/>
                <w:color w:val="auto"/>
              </w:rPr>
            </w:pPr>
            <w:r>
              <w:rPr>
                <w:rFonts w:ascii="Arial" w:cs="Arial" w:eastAsia="Arial" w:hAnsi="Arial"/>
                <w:sz w:val="18"/>
                <w:szCs w:val="18"/>
                <w:color w:val="auto"/>
              </w:rPr>
              <w:t>8.7 years</w:t>
            </w:r>
          </w:p>
        </w:tc>
        <w:tc>
          <w:tcPr>
            <w:tcW w:w="28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8.9 years</w:t>
            </w:r>
          </w:p>
        </w:tc>
        <w:tc>
          <w:tcPr>
            <w:tcW w:w="0" w:type="dxa"/>
            <w:vAlign w:val="bottom"/>
          </w:tcPr>
          <w:p>
            <w:pPr>
              <w:spacing w:after="0"/>
              <w:rPr>
                <w:sz w:val="1"/>
                <w:szCs w:val="1"/>
                <w:color w:val="auto"/>
              </w:rPr>
            </w:pPr>
          </w:p>
        </w:tc>
      </w:tr>
      <w:tr>
        <w:trPr>
          <w:trHeight w:val="243"/>
        </w:trPr>
        <w:tc>
          <w:tcPr>
            <w:tcW w:w="5620" w:type="dxa"/>
            <w:vAlign w:val="bottom"/>
          </w:tcPr>
          <w:p>
            <w:pPr>
              <w:ind w:left="700"/>
              <w:spacing w:after="0"/>
              <w:rPr>
                <w:sz w:val="20"/>
                <w:szCs w:val="20"/>
                <w:color w:val="auto"/>
              </w:rPr>
            </w:pPr>
            <w:r>
              <w:rPr>
                <w:rFonts w:ascii="Arial" w:cs="Arial" w:eastAsia="Arial" w:hAnsi="Arial"/>
                <w:sz w:val="18"/>
                <w:szCs w:val="18"/>
                <w:color w:val="auto"/>
              </w:rPr>
              <w:t>Weighted average discount rate</w:t>
            </w:r>
          </w:p>
        </w:tc>
        <w:tc>
          <w:tcPr>
            <w:tcW w:w="24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4.01 %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4.31 %</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w:t>
      </w:r>
    </w:p>
    <w:p>
      <w:pPr>
        <w:ind w:left="760" w:hanging="266"/>
        <w:spacing w:after="0" w:line="233" w:lineRule="auto"/>
        <w:tabs>
          <w:tab w:leader="none" w:pos="76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Included in Accounts payable and other current liabilities.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40"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Nine Months Ended</w:t>
      </w:r>
    </w:p>
    <w:p>
      <w:pPr>
        <w:ind w:left="8380"/>
        <w:spacing w:after="0"/>
        <w:rPr>
          <w:sz w:val="20"/>
          <w:szCs w:val="20"/>
          <w:color w:val="auto"/>
        </w:rPr>
      </w:pPr>
      <w:r>
        <w:rPr>
          <w:rFonts w:ascii="Arial" w:cs="Arial" w:eastAsia="Arial" w:hAnsi="Arial"/>
          <w:sz w:val="18"/>
          <w:szCs w:val="18"/>
          <w:b w:val="1"/>
          <w:bCs w:val="1"/>
          <w:color w:val="auto"/>
        </w:rPr>
        <w:t>September 30,</w:t>
      </w:r>
    </w:p>
    <w:p>
      <w:pPr>
        <w:spacing w:after="0" w:line="10" w:lineRule="exact"/>
        <w:rPr>
          <w:sz w:val="20"/>
          <w:szCs w:val="20"/>
          <w:color w:val="auto"/>
        </w:rPr>
      </w:pPr>
    </w:p>
    <w:tbl>
      <w:tblPr>
        <w:tblLayout w:type="fixed"/>
        <w:tblInd w:w="520" w:type="dxa"/>
        <w:tblCellMar>
          <w:top w:w="0" w:type="dxa"/>
          <w:left w:w="0" w:type="dxa"/>
          <w:bottom w:w="0" w:type="dxa"/>
          <w:right w:w="0" w:type="dxa"/>
        </w:tblCellMar>
      </w:tblPr>
      <w:tr>
        <w:trPr>
          <w:trHeight w:val="223"/>
        </w:trPr>
        <w:tc>
          <w:tcPr>
            <w:tcW w:w="6800" w:type="dxa"/>
            <w:vAlign w:val="bottom"/>
            <w:vMerge w:val="restart"/>
          </w:tcPr>
          <w:p>
            <w:pPr>
              <w:spacing w:after="0"/>
              <w:rPr>
                <w:sz w:val="20"/>
                <w:szCs w:val="20"/>
                <w:color w:val="auto"/>
              </w:rPr>
            </w:pPr>
            <w:r>
              <w:rPr>
                <w:rFonts w:ascii="Arial" w:cs="Arial" w:eastAsia="Arial" w:hAnsi="Arial"/>
                <w:sz w:val="18"/>
                <w:szCs w:val="18"/>
                <w:color w:val="auto"/>
              </w:rPr>
              <w:t>Cash payments for lease liabilities within operating activities:</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0"/>
        </w:trPr>
        <w:tc>
          <w:tcPr>
            <w:tcW w:w="680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180"/>
              <w:spacing w:after="0"/>
              <w:rPr>
                <w:sz w:val="20"/>
                <w:szCs w:val="20"/>
                <w:color w:val="auto"/>
              </w:rPr>
            </w:pPr>
            <w:r>
              <w:rPr>
                <w:rFonts w:ascii="Arial" w:cs="Arial" w:eastAsia="Arial" w:hAnsi="Arial"/>
                <w:sz w:val="18"/>
                <w:szCs w:val="18"/>
                <w:color w:val="auto"/>
              </w:rPr>
              <w:t>Property operating leases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185"/>
        </w:trPr>
        <w:tc>
          <w:tcPr>
            <w:tcW w:w="6800" w:type="dxa"/>
            <w:vAlign w:val="bottom"/>
          </w:tcPr>
          <w:p>
            <w:pPr>
              <w:spacing w:after="0" w:line="185" w:lineRule="exact"/>
              <w:rPr>
                <w:sz w:val="20"/>
                <w:szCs w:val="20"/>
                <w:color w:val="auto"/>
              </w:rPr>
            </w:pPr>
            <w:r>
              <w:rPr>
                <w:rFonts w:ascii="Arial" w:cs="Arial" w:eastAsia="Arial" w:hAnsi="Arial"/>
                <w:sz w:val="18"/>
                <w:szCs w:val="18"/>
                <w:color w:val="auto"/>
              </w:rPr>
              <w:t>Non-cash activities - increase (decrease) in ROU assets in exchange for lease</w:t>
            </w: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800" w:type="dxa"/>
            <w:vAlign w:val="bottom"/>
          </w:tcPr>
          <w:p>
            <w:pPr>
              <w:ind w:left="160"/>
              <w:spacing w:after="0"/>
              <w:rPr>
                <w:sz w:val="20"/>
                <w:szCs w:val="20"/>
                <w:color w:val="auto"/>
              </w:rPr>
            </w:pPr>
            <w:r>
              <w:rPr>
                <w:rFonts w:ascii="Arial" w:cs="Arial" w:eastAsia="Arial" w:hAnsi="Arial"/>
                <w:sz w:val="18"/>
                <w:szCs w:val="18"/>
                <w:color w:val="auto"/>
              </w:rPr>
              <w:t>liabilities:</w:t>
            </w: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800" w:type="dxa"/>
            <w:vAlign w:val="bottom"/>
          </w:tcPr>
          <w:p>
            <w:pPr>
              <w:ind w:left="200"/>
              <w:spacing w:after="0"/>
              <w:rPr>
                <w:sz w:val="20"/>
                <w:szCs w:val="20"/>
                <w:color w:val="auto"/>
              </w:rPr>
            </w:pPr>
            <w:r>
              <w:rPr>
                <w:rFonts w:ascii="Arial" w:cs="Arial" w:eastAsia="Arial" w:hAnsi="Arial"/>
                <w:sz w:val="18"/>
                <w:szCs w:val="18"/>
                <w:color w:val="auto"/>
              </w:rPr>
              <w:t xml:space="preserve">Property operating leases </w:t>
            </w:r>
            <w:r>
              <w:rPr>
                <w:rFonts w:ascii="Arial" w:cs="Arial" w:eastAsia="Arial" w:hAnsi="Arial"/>
                <w:sz w:val="9"/>
                <w:szCs w:val="9"/>
                <w:color w:val="auto"/>
              </w:rPr>
              <w:t>(a)</w:t>
            </w:r>
          </w:p>
        </w:tc>
        <w:tc>
          <w:tcPr>
            <w:tcW w:w="1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w:t>
      </w:r>
    </w:p>
    <w:p>
      <w:pPr>
        <w:ind w:left="820" w:hanging="326"/>
        <w:spacing w:after="0" w:line="230" w:lineRule="auto"/>
        <w:tabs>
          <w:tab w:leader="none" w:pos="820" w:val="left"/>
        </w:tabs>
        <w:numPr>
          <w:ilvl w:val="1"/>
          <w:numId w:val="11"/>
        </w:numPr>
        <w:rPr>
          <w:rFonts w:ascii="Arial" w:cs="Arial" w:eastAsia="Arial" w:hAnsi="Arial"/>
          <w:sz w:val="21"/>
          <w:szCs w:val="21"/>
          <w:color w:val="auto"/>
          <w:vertAlign w:val="superscript"/>
        </w:rPr>
      </w:pPr>
      <w:r>
        <w:rPr>
          <w:rFonts w:ascii="Arial" w:cs="Arial" w:eastAsia="Arial" w:hAnsi="Arial"/>
          <w:sz w:val="16"/>
          <w:szCs w:val="16"/>
          <w:color w:val="auto"/>
        </w:rPr>
        <w:t>For the nine months ended September 2019, ROU assets obtained in exchange for lease liabilities from initial recognition</w:t>
      </w:r>
      <w:r>
        <w:rPr>
          <w:rFonts w:ascii="Arial" w:cs="Arial" w:eastAsia="Arial" w:hAnsi="Arial"/>
          <w:sz w:val="14"/>
          <w:szCs w:val="14"/>
          <w:color w:val="auto"/>
        </w:rPr>
        <w:t>.</w:t>
      </w:r>
    </w:p>
    <w:p>
      <w:pPr>
        <w:spacing w:after="0" w:line="207" w:lineRule="exact"/>
        <w:rPr>
          <w:rFonts w:ascii="Arial" w:cs="Arial" w:eastAsia="Arial" w:hAnsi="Arial"/>
          <w:sz w:val="21"/>
          <w:szCs w:val="21"/>
          <w:color w:val="auto"/>
          <w:vertAlign w:val="superscript"/>
        </w:rPr>
      </w:pPr>
    </w:p>
    <w:p>
      <w:pPr>
        <w:ind w:left="400" w:hanging="392"/>
        <w:spacing w:after="0"/>
        <w:tabs>
          <w:tab w:leader="none" w:pos="4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Related Charges</w:t>
      </w: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Restructuring</w:t>
      </w:r>
    </w:p>
    <w:p>
      <w:pPr>
        <w:spacing w:after="0" w:line="252" w:lineRule="exact"/>
        <w:rPr>
          <w:sz w:val="20"/>
          <w:szCs w:val="20"/>
          <w:color w:val="auto"/>
        </w:rPr>
      </w:pPr>
    </w:p>
    <w:p>
      <w:pPr>
        <w:ind w:left="500" w:right="60"/>
        <w:spacing w:after="0" w:line="260" w:lineRule="auto"/>
        <w:rPr>
          <w:sz w:val="20"/>
          <w:szCs w:val="20"/>
          <w:color w:val="auto"/>
        </w:rPr>
      </w:pPr>
      <w:r>
        <w:rPr>
          <w:rFonts w:ascii="Arial" w:cs="Arial" w:eastAsia="Arial" w:hAnsi="Arial"/>
          <w:sz w:val="18"/>
          <w:szCs w:val="18"/>
          <w:color w:val="auto"/>
        </w:rPr>
        <w:t>During first quarter 2020, the Company initiated a global restructuring plan to reduce operating costs, such as headcount and facilities, due to declining reservations and revenue resulting from the COVID-19 outbreak (“2020 Optimization Plan”). During the nine months ended September 30, 2020, as part of this process, the Company formally communicated the termination of employment to approximately 3,600 employees, and as of September 30, 2020, the Company terminated approximately 3,500 of these employees. The Company expects further restructuring expense of approximately $7 million related to this initiative to be incurred in 2020.</w:t>
      </w:r>
    </w:p>
    <w:p>
      <w:pPr>
        <w:spacing w:after="0" w:line="202" w:lineRule="exact"/>
        <w:rPr>
          <w:sz w:val="20"/>
          <w:szCs w:val="20"/>
          <w:color w:val="auto"/>
        </w:rPr>
      </w:pPr>
    </w:p>
    <w:p>
      <w:pPr>
        <w:ind w:left="500" w:right="60"/>
        <w:spacing w:after="0" w:line="264" w:lineRule="auto"/>
        <w:rPr>
          <w:sz w:val="20"/>
          <w:szCs w:val="20"/>
          <w:color w:val="auto"/>
        </w:rPr>
      </w:pPr>
      <w:r>
        <w:rPr>
          <w:rFonts w:ascii="Arial" w:cs="Arial" w:eastAsia="Arial" w:hAnsi="Arial"/>
          <w:sz w:val="18"/>
          <w:szCs w:val="18"/>
          <w:color w:val="auto"/>
        </w:rPr>
        <w:t>During third quarter 2019, the Company initiated a restructuring plan to exit its operations in Brazil by closing rental facilities, disposing of assets and terminating personnel (“Brazil”). During the nine months ended September 30, 2020, as part of this initiative, the Company formally communicated the termination of employment to approximately 20 employees. The Company expects further restructuring expense of approximately $5 million to be incurred.</w:t>
      </w:r>
    </w:p>
    <w:p>
      <w:pPr>
        <w:spacing w:after="0" w:line="196" w:lineRule="exact"/>
        <w:rPr>
          <w:sz w:val="20"/>
          <w:szCs w:val="20"/>
          <w:color w:val="auto"/>
        </w:rPr>
      </w:pPr>
    </w:p>
    <w:p>
      <w:pPr>
        <w:ind w:left="500"/>
        <w:spacing w:after="0" w:line="271" w:lineRule="auto"/>
        <w:rPr>
          <w:sz w:val="20"/>
          <w:szCs w:val="20"/>
          <w:color w:val="auto"/>
        </w:rPr>
      </w:pPr>
      <w:r>
        <w:rPr>
          <w:rFonts w:ascii="Arial" w:cs="Arial" w:eastAsia="Arial" w:hAnsi="Arial"/>
          <w:sz w:val="18"/>
          <w:szCs w:val="18"/>
          <w:color w:val="auto"/>
        </w:rPr>
        <w:t>During first quarter 2019, the Company initiated a restructuring plan to drive global efficiency by improving processes and consolidating functions, and to create new objectives and strategies for its U.S. truck rental operations by reducing headcount, large vehicles and rental locations (“T19”). This initiative is substantially complete.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summarize the changes to our restructuring-related liabilities and identifies the amounts recorded within the</w:t>
      </w:r>
    </w:p>
    <w:p>
      <w:pPr>
        <w:spacing w:after="0" w:line="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Company’s reporting segments for restructuring charges and corresponding payments and utilizations:</w:t>
      </w:r>
    </w:p>
    <w:p>
      <w:pPr>
        <w:spacing w:after="0" w:line="30" w:lineRule="exact"/>
        <w:rPr>
          <w:sz w:val="20"/>
          <w:szCs w:val="20"/>
          <w:color w:val="auto"/>
        </w:rPr>
      </w:pPr>
    </w:p>
    <w:tbl>
      <w:tblPr>
        <w:tblLayout w:type="fixed"/>
        <w:tblInd w:w="520" w:type="dxa"/>
        <w:tblCellMar>
          <w:top w:w="0" w:type="dxa"/>
          <w:left w:w="0" w:type="dxa"/>
          <w:bottom w:w="0" w:type="dxa"/>
          <w:right w:w="0" w:type="dxa"/>
        </w:tblCellMar>
      </w:tblPr>
      <w:tr>
        <w:trPr>
          <w:trHeight w:val="223"/>
        </w:trPr>
        <w:tc>
          <w:tcPr>
            <w:tcW w:w="4480" w:type="dxa"/>
            <w:vAlign w:val="bottom"/>
            <w:vMerge w:val="restart"/>
          </w:tcPr>
          <w:p>
            <w:pPr>
              <w:spacing w:after="0"/>
              <w:rPr>
                <w:sz w:val="20"/>
                <w:szCs w:val="20"/>
                <w:color w:val="auto"/>
              </w:rPr>
            </w:pPr>
            <w:r>
              <w:rPr>
                <w:rFonts w:ascii="Arial" w:cs="Arial" w:eastAsia="Arial" w:hAnsi="Arial"/>
                <w:sz w:val="18"/>
                <w:szCs w:val="18"/>
                <w:color w:val="auto"/>
              </w:rPr>
              <w:t>Balance as of January 1, 2020</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Americas</w:t>
            </w:r>
          </w:p>
        </w:tc>
        <w:tc>
          <w:tcPr>
            <w:tcW w:w="14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International</w:t>
            </w:r>
          </w:p>
        </w:tc>
        <w:tc>
          <w:tcPr>
            <w:tcW w:w="300" w:type="dxa"/>
            <w:vAlign w:val="bottom"/>
          </w:tcPr>
          <w:p>
            <w:pPr>
              <w:spacing w:after="0"/>
              <w:rPr>
                <w:sz w:val="19"/>
                <w:szCs w:val="19"/>
                <w:color w:val="auto"/>
              </w:rPr>
            </w:pPr>
          </w:p>
        </w:tc>
        <w:tc>
          <w:tcPr>
            <w:tcW w:w="104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4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Restructuring expense:</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80"/>
              <w:spacing w:after="0"/>
              <w:rPr>
                <w:sz w:val="20"/>
                <w:szCs w:val="20"/>
                <w:color w:val="auto"/>
              </w:rPr>
            </w:pPr>
            <w:r>
              <w:rPr>
                <w:rFonts w:ascii="Arial" w:cs="Arial" w:eastAsia="Arial" w:hAnsi="Arial"/>
                <w:sz w:val="18"/>
                <w:szCs w:val="18"/>
                <w:color w:val="auto"/>
              </w:rPr>
              <w:t>2020 Optimization Plan</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4480" w:type="dxa"/>
            <w:vAlign w:val="bottom"/>
          </w:tcPr>
          <w:p>
            <w:pPr>
              <w:ind w:left="280"/>
              <w:spacing w:after="0"/>
              <w:rPr>
                <w:sz w:val="20"/>
                <w:szCs w:val="20"/>
                <w:color w:val="auto"/>
              </w:rPr>
            </w:pPr>
            <w:r>
              <w:rPr>
                <w:rFonts w:ascii="Arial" w:cs="Arial" w:eastAsia="Arial" w:hAnsi="Arial"/>
                <w:sz w:val="18"/>
                <w:szCs w:val="18"/>
                <w:color w:val="auto"/>
              </w:rPr>
              <w:t>Brazil</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480" w:type="dxa"/>
            <w:vAlign w:val="bottom"/>
          </w:tcPr>
          <w:p>
            <w:pPr>
              <w:ind w:left="280"/>
              <w:spacing w:after="0"/>
              <w:rPr>
                <w:sz w:val="20"/>
                <w:szCs w:val="20"/>
                <w:color w:val="auto"/>
              </w:rPr>
            </w:pPr>
            <w:r>
              <w:rPr>
                <w:rFonts w:ascii="Arial" w:cs="Arial" w:eastAsia="Arial" w:hAnsi="Arial"/>
                <w:sz w:val="18"/>
                <w:szCs w:val="18"/>
                <w:color w:val="auto"/>
              </w:rPr>
              <w:t>T19</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480" w:type="dxa"/>
            <w:vAlign w:val="bottom"/>
          </w:tcPr>
          <w:p>
            <w:pPr>
              <w:ind w:left="180"/>
              <w:spacing w:after="0"/>
              <w:rPr>
                <w:sz w:val="20"/>
                <w:szCs w:val="20"/>
                <w:color w:val="auto"/>
              </w:rPr>
            </w:pPr>
            <w:r>
              <w:rPr>
                <w:rFonts w:ascii="Arial" w:cs="Arial" w:eastAsia="Arial" w:hAnsi="Arial"/>
                <w:sz w:val="18"/>
                <w:szCs w:val="18"/>
                <w:color w:val="auto"/>
              </w:rPr>
              <w:t>Restructuring payment/utilization:</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80"/>
              <w:spacing w:after="0"/>
              <w:rPr>
                <w:sz w:val="20"/>
                <w:szCs w:val="20"/>
                <w:color w:val="auto"/>
              </w:rPr>
            </w:pPr>
            <w:r>
              <w:rPr>
                <w:rFonts w:ascii="Arial" w:cs="Arial" w:eastAsia="Arial" w:hAnsi="Arial"/>
                <w:sz w:val="18"/>
                <w:szCs w:val="18"/>
                <w:color w:val="auto"/>
              </w:rPr>
              <w:t>2020 Optimization Plan</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4480" w:type="dxa"/>
            <w:vAlign w:val="bottom"/>
          </w:tcPr>
          <w:p>
            <w:pPr>
              <w:ind w:left="280"/>
              <w:spacing w:after="0"/>
              <w:rPr>
                <w:sz w:val="20"/>
                <w:szCs w:val="20"/>
                <w:color w:val="auto"/>
              </w:rPr>
            </w:pPr>
            <w:r>
              <w:rPr>
                <w:rFonts w:ascii="Arial" w:cs="Arial" w:eastAsia="Arial" w:hAnsi="Arial"/>
                <w:sz w:val="18"/>
                <w:szCs w:val="18"/>
                <w:color w:val="auto"/>
              </w:rPr>
              <w:t>Brazil</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9"/>
        </w:trPr>
        <w:tc>
          <w:tcPr>
            <w:tcW w:w="4480" w:type="dxa"/>
            <w:vAlign w:val="bottom"/>
          </w:tcPr>
          <w:p>
            <w:pPr>
              <w:ind w:left="280"/>
              <w:spacing w:after="0"/>
              <w:rPr>
                <w:sz w:val="20"/>
                <w:szCs w:val="20"/>
                <w:color w:val="auto"/>
              </w:rPr>
            </w:pPr>
            <w:r>
              <w:rPr>
                <w:rFonts w:ascii="Arial" w:cs="Arial" w:eastAsia="Arial" w:hAnsi="Arial"/>
                <w:sz w:val="18"/>
                <w:szCs w:val="18"/>
                <w:color w:val="auto"/>
              </w:rPr>
              <w:t>T19</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Balance as of September 30, 2020</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Personnel</w:t>
            </w:r>
          </w:p>
        </w:tc>
        <w:tc>
          <w:tcPr>
            <w:tcW w:w="22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Facility</w:t>
            </w:r>
          </w:p>
        </w:tc>
        <w:tc>
          <w:tcPr>
            <w:tcW w:w="140" w:type="dxa"/>
            <w:vAlign w:val="bottom"/>
          </w:tcPr>
          <w:p>
            <w:pPr>
              <w:spacing w:after="0"/>
              <w:rPr>
                <w:sz w:val="24"/>
                <w:szCs w:val="2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3"/>
              </w:rPr>
              <w:t xml:space="preserve">Other </w:t>
            </w:r>
            <w:r>
              <w:rPr>
                <w:rFonts w:ascii="Arial" w:cs="Arial" w:eastAsia="Arial" w:hAnsi="Arial"/>
                <w:sz w:val="21"/>
                <w:szCs w:val="21"/>
                <w:b w:val="1"/>
                <w:bCs w:val="1"/>
                <w:color w:val="auto"/>
                <w:w w:val="93"/>
                <w:vertAlign w:val="superscript"/>
              </w:rPr>
              <w:t>(a)</w:t>
            </w:r>
          </w:p>
        </w:tc>
        <w:tc>
          <w:tcPr>
            <w:tcW w:w="300" w:type="dxa"/>
            <w:vAlign w:val="bottom"/>
          </w:tcPr>
          <w:p>
            <w:pPr>
              <w:spacing w:after="0"/>
              <w:rPr>
                <w:sz w:val="24"/>
                <w:szCs w:val="24"/>
                <w:color w:val="auto"/>
              </w:rPr>
            </w:pPr>
          </w:p>
        </w:tc>
        <w:tc>
          <w:tcPr>
            <w:tcW w:w="1040" w:type="dxa"/>
            <w:vAlign w:val="bottom"/>
            <w:vMerge w:val="restart"/>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480" w:type="dxa"/>
            <w:vAlign w:val="bottom"/>
            <w:vMerge w:val="restart"/>
          </w:tcPr>
          <w:p>
            <w:pPr>
              <w:spacing w:after="0"/>
              <w:rPr>
                <w:sz w:val="20"/>
                <w:szCs w:val="20"/>
                <w:color w:val="auto"/>
              </w:rPr>
            </w:pPr>
            <w:r>
              <w:rPr>
                <w:rFonts w:ascii="Arial" w:cs="Arial" w:eastAsia="Arial" w:hAnsi="Arial"/>
                <w:sz w:val="18"/>
                <w:szCs w:val="18"/>
                <w:color w:val="auto"/>
              </w:rPr>
              <w:t>Balance as of January 1, 2020</w:t>
            </w:r>
          </w:p>
        </w:tc>
        <w:tc>
          <w:tcPr>
            <w:tcW w:w="2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Related</w:t>
            </w:r>
          </w:p>
        </w:tc>
        <w:tc>
          <w:tcPr>
            <w:tcW w:w="1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80" w:type="dxa"/>
            <w:vAlign w:val="bottom"/>
            <w:vMerge w:val="continue"/>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480" w:type="dxa"/>
            <w:vAlign w:val="bottom"/>
          </w:tcPr>
          <w:p>
            <w:pPr>
              <w:ind w:left="180"/>
              <w:spacing w:after="0"/>
              <w:rPr>
                <w:sz w:val="20"/>
                <w:szCs w:val="20"/>
                <w:color w:val="auto"/>
              </w:rPr>
            </w:pPr>
            <w:r>
              <w:rPr>
                <w:rFonts w:ascii="Arial" w:cs="Arial" w:eastAsia="Arial" w:hAnsi="Arial"/>
                <w:sz w:val="18"/>
                <w:szCs w:val="18"/>
                <w:color w:val="auto"/>
              </w:rPr>
              <w:t>Restructuring expense:</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80"/>
              <w:spacing w:after="0"/>
              <w:rPr>
                <w:sz w:val="20"/>
                <w:szCs w:val="20"/>
                <w:color w:val="auto"/>
              </w:rPr>
            </w:pPr>
            <w:r>
              <w:rPr>
                <w:rFonts w:ascii="Arial" w:cs="Arial" w:eastAsia="Arial" w:hAnsi="Arial"/>
                <w:sz w:val="18"/>
                <w:szCs w:val="18"/>
                <w:color w:val="auto"/>
              </w:rPr>
              <w:t>2020 Optimization Plan</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4480" w:type="dxa"/>
            <w:vAlign w:val="bottom"/>
          </w:tcPr>
          <w:p>
            <w:pPr>
              <w:ind w:left="280"/>
              <w:spacing w:after="0"/>
              <w:rPr>
                <w:sz w:val="20"/>
                <w:szCs w:val="20"/>
                <w:color w:val="auto"/>
              </w:rPr>
            </w:pPr>
            <w:r>
              <w:rPr>
                <w:rFonts w:ascii="Arial" w:cs="Arial" w:eastAsia="Arial" w:hAnsi="Arial"/>
                <w:sz w:val="18"/>
                <w:szCs w:val="18"/>
                <w:color w:val="auto"/>
              </w:rPr>
              <w:t>Brazil</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480" w:type="dxa"/>
            <w:vAlign w:val="bottom"/>
          </w:tcPr>
          <w:p>
            <w:pPr>
              <w:ind w:left="280"/>
              <w:spacing w:after="0"/>
              <w:rPr>
                <w:sz w:val="20"/>
                <w:szCs w:val="20"/>
                <w:color w:val="auto"/>
              </w:rPr>
            </w:pPr>
            <w:r>
              <w:rPr>
                <w:rFonts w:ascii="Arial" w:cs="Arial" w:eastAsia="Arial" w:hAnsi="Arial"/>
                <w:sz w:val="18"/>
                <w:szCs w:val="18"/>
                <w:color w:val="auto"/>
              </w:rPr>
              <w:t>T19</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Restructuring payment/utilization:</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80"/>
              <w:spacing w:after="0"/>
              <w:rPr>
                <w:sz w:val="20"/>
                <w:szCs w:val="20"/>
                <w:color w:val="auto"/>
              </w:rPr>
            </w:pPr>
            <w:r>
              <w:rPr>
                <w:rFonts w:ascii="Arial" w:cs="Arial" w:eastAsia="Arial" w:hAnsi="Arial"/>
                <w:sz w:val="18"/>
                <w:szCs w:val="18"/>
                <w:color w:val="auto"/>
              </w:rPr>
              <w:t>2020 Optimization Plan</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4480" w:type="dxa"/>
            <w:vAlign w:val="bottom"/>
          </w:tcPr>
          <w:p>
            <w:pPr>
              <w:ind w:left="280"/>
              <w:spacing w:after="0"/>
              <w:rPr>
                <w:sz w:val="20"/>
                <w:szCs w:val="20"/>
                <w:color w:val="auto"/>
              </w:rPr>
            </w:pPr>
            <w:r>
              <w:rPr>
                <w:rFonts w:ascii="Arial" w:cs="Arial" w:eastAsia="Arial" w:hAnsi="Arial"/>
                <w:sz w:val="18"/>
                <w:szCs w:val="18"/>
                <w:color w:val="auto"/>
              </w:rPr>
              <w:t>Brazil</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9"/>
        </w:trPr>
        <w:tc>
          <w:tcPr>
            <w:tcW w:w="4480" w:type="dxa"/>
            <w:vAlign w:val="bottom"/>
          </w:tcPr>
          <w:p>
            <w:pPr>
              <w:ind w:left="280"/>
              <w:spacing w:after="0"/>
              <w:rPr>
                <w:sz w:val="20"/>
                <w:szCs w:val="20"/>
                <w:color w:val="auto"/>
              </w:rPr>
            </w:pPr>
            <w:r>
              <w:rPr>
                <w:rFonts w:ascii="Arial" w:cs="Arial" w:eastAsia="Arial" w:hAnsi="Arial"/>
                <w:sz w:val="18"/>
                <w:szCs w:val="18"/>
                <w:color w:val="auto"/>
              </w:rPr>
              <w:t>T19</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Balance as of September 30, 2020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820" w:hanging="326"/>
        <w:spacing w:after="0" w:line="222" w:lineRule="auto"/>
        <w:tabs>
          <w:tab w:leader="none" w:pos="82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Includes expenses primarily related to the disposition of vehicles.</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Related Charges</w:t>
      </w: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Limited Voluntary Opportunity Plan (“LVOP”)</w:t>
      </w:r>
    </w:p>
    <w:p>
      <w:pPr>
        <w:spacing w:after="0" w:line="250" w:lineRule="exact"/>
        <w:rPr>
          <w:sz w:val="20"/>
          <w:szCs w:val="20"/>
          <w:color w:val="auto"/>
        </w:rPr>
      </w:pPr>
    </w:p>
    <w:p>
      <w:pPr>
        <w:ind w:left="500" w:right="20"/>
        <w:spacing w:after="0" w:line="260" w:lineRule="auto"/>
        <w:rPr>
          <w:sz w:val="20"/>
          <w:szCs w:val="20"/>
          <w:color w:val="auto"/>
        </w:rPr>
      </w:pPr>
      <w:r>
        <w:rPr>
          <w:rFonts w:ascii="Arial" w:cs="Arial" w:eastAsia="Arial" w:hAnsi="Arial"/>
          <w:sz w:val="18"/>
          <w:szCs w:val="18"/>
          <w:color w:val="auto"/>
        </w:rPr>
        <w:t>During 2020, the Company offered a voluntary termination program to certain employees in field operations, shared services, and general and administrative functions for a limited time. These employees, if qualified, elected resignation from employment in return for enhanced severance benefits to be settled in cash. During the nine months ended September 30, 2020, the Company recorded other related charges of approximately $18 million in connection with the LVOP. As of September 30, 2020, approximately 400 qualified employees elected to participate in the plan and the employment of all participants had been terminated.</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Officer Separation Costs</w:t>
      </w:r>
    </w:p>
    <w:p>
      <w:pPr>
        <w:spacing w:after="0" w:line="250" w:lineRule="exact"/>
        <w:rPr>
          <w:sz w:val="20"/>
          <w:szCs w:val="20"/>
          <w:color w:val="auto"/>
        </w:rPr>
      </w:pPr>
    </w:p>
    <w:p>
      <w:pPr>
        <w:ind w:left="500"/>
        <w:spacing w:after="0" w:line="260" w:lineRule="auto"/>
        <w:rPr>
          <w:sz w:val="20"/>
          <w:szCs w:val="20"/>
          <w:color w:val="auto"/>
        </w:rPr>
      </w:pPr>
      <w:r>
        <w:rPr>
          <w:rFonts w:ascii="Arial" w:cs="Arial" w:eastAsia="Arial" w:hAnsi="Arial"/>
          <w:sz w:val="18"/>
          <w:szCs w:val="18"/>
          <w:color w:val="auto"/>
        </w:rPr>
        <w:t>In August 2020, the Company announced the resignation of John F. North, III as the Company’s Chief Financial Officer. Following his post-resignation transition to an advisory position, Mr. North will continue to serve as a consultant through January 1, 2021. In connection with Mr. North’s departure, the Company recorded other related charges of approximately $ 3 million, inclusive of accelerated stock-based compensation expense for the three months ended September 30, 2020, and expects another $2 million to be incurred during the remainder of 2020 for the remaining portion of accelerated stock-based compensation expense.</w:t>
      </w:r>
    </w:p>
    <w:p>
      <w:pPr>
        <w:spacing w:after="0" w:line="202" w:lineRule="exact"/>
        <w:rPr>
          <w:sz w:val="20"/>
          <w:szCs w:val="20"/>
          <w:color w:val="auto"/>
        </w:rPr>
      </w:pPr>
    </w:p>
    <w:p>
      <w:pPr>
        <w:jc w:val="both"/>
        <w:ind w:left="500" w:right="160"/>
        <w:spacing w:after="0" w:line="271" w:lineRule="auto"/>
        <w:rPr>
          <w:sz w:val="20"/>
          <w:szCs w:val="20"/>
          <w:color w:val="auto"/>
        </w:rPr>
      </w:pPr>
      <w:r>
        <w:rPr>
          <w:rFonts w:ascii="Arial" w:cs="Arial" w:eastAsia="Arial" w:hAnsi="Arial"/>
          <w:sz w:val="18"/>
          <w:szCs w:val="18"/>
          <w:color w:val="auto"/>
        </w:rPr>
        <w:t>In March 2020, the Company announced the departure of Michael K. Tucker as Executive Vice President, General Counsel effective March 27, 2020. In connection with Mr. Tucker’s separation, the Company recorded other related charges of approximately $2 million for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spacing w:after="0" w:line="271" w:lineRule="auto"/>
        <w:rPr>
          <w:sz w:val="20"/>
          <w:szCs w:val="20"/>
          <w:color w:val="auto"/>
        </w:rPr>
      </w:pPr>
      <w:r>
        <w:rPr>
          <w:rFonts w:ascii="Arial" w:cs="Arial" w:eastAsia="Arial" w:hAnsi="Arial"/>
          <w:sz w:val="18"/>
          <w:szCs w:val="18"/>
          <w:color w:val="auto"/>
        </w:rPr>
        <w:t>In March 2019, the Company announced the resignation of Mark J. Servodidio as the Company’s President, International effective June 14, 2019. In connection with Mr. Servodidio’s departure, the Company recorded other related charges of approximately $3 million, inclusive of accelerated stock-based compensation expense for the nine months ended September 30, 2019.</w:t>
      </w:r>
    </w:p>
    <w:p>
      <w:pPr>
        <w:spacing w:after="0" w:line="190" w:lineRule="exact"/>
        <w:rPr>
          <w:sz w:val="20"/>
          <w:szCs w:val="20"/>
          <w:color w:val="auto"/>
        </w:rPr>
      </w:pPr>
    </w:p>
    <w:p>
      <w:pPr>
        <w:ind w:left="500" w:right="220"/>
        <w:spacing w:after="0" w:line="264" w:lineRule="auto"/>
        <w:rPr>
          <w:sz w:val="20"/>
          <w:szCs w:val="20"/>
          <w:color w:val="auto"/>
        </w:rPr>
      </w:pPr>
      <w:r>
        <w:rPr>
          <w:rFonts w:ascii="Arial" w:cs="Arial" w:eastAsia="Arial" w:hAnsi="Arial"/>
          <w:sz w:val="18"/>
          <w:szCs w:val="18"/>
          <w:color w:val="auto"/>
        </w:rPr>
        <w:t>In May 2019, the Company announced the resignation of Larry D. De Shon as the Company’s President and Chief Executive Officer. Mr. De Shon continued to serve in his role until December 31, 2019. In connection with Mr. De Shon’s departure, the Company recorded other related charges of approximately $1 million for consulting fees and $12 million for severance, inclusive of accelerated stock-based compensation expense, for the nine months ended September 30, 2020 and 2019, respectively.</w:t>
      </w:r>
    </w:p>
    <w:p>
      <w:pPr>
        <w:spacing w:after="0" w:line="194"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earnings per share (“EPS”) (shares in millions):</w:t>
      </w:r>
    </w:p>
    <w:p>
      <w:pPr>
        <w:spacing w:after="0" w:line="27"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7"/>
                <w:szCs w:val="17"/>
                <w:color w:val="auto"/>
              </w:rPr>
            </w:pPr>
          </w:p>
        </w:tc>
        <w:tc>
          <w:tcPr>
            <w:tcW w:w="220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5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9"/>
              </w:rPr>
              <w:t>September 30,</w:t>
            </w:r>
          </w:p>
        </w:tc>
        <w:tc>
          <w:tcPr>
            <w:tcW w:w="240" w:type="dxa"/>
            <w:vAlign w:val="bottom"/>
          </w:tcPr>
          <w:p>
            <w:pPr>
              <w:spacing w:after="0"/>
              <w:rPr>
                <w:sz w:val="19"/>
                <w:szCs w:val="19"/>
                <w:color w:val="auto"/>
              </w:rPr>
            </w:pPr>
          </w:p>
        </w:tc>
        <w:tc>
          <w:tcPr>
            <w:tcW w:w="220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540" w:type="dxa"/>
            <w:vAlign w:val="bottom"/>
            <w:vMerge w:val="restart"/>
          </w:tcPr>
          <w:p>
            <w:pPr>
              <w:spacing w:after="0"/>
              <w:rPr>
                <w:sz w:val="20"/>
                <w:szCs w:val="20"/>
                <w:color w:val="auto"/>
              </w:rPr>
            </w:pPr>
            <w:r>
              <w:rPr>
                <w:rFonts w:ascii="Arial" w:cs="Arial" w:eastAsia="Arial" w:hAnsi="Arial"/>
                <w:sz w:val="18"/>
                <w:szCs w:val="18"/>
                <w:color w:val="auto"/>
              </w:rPr>
              <w:t>Net income (loss) for basic and diluted EPS</w:t>
            </w: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36"/>
        </w:trPr>
        <w:tc>
          <w:tcPr>
            <w:tcW w:w="5540" w:type="dxa"/>
            <w:vAlign w:val="bottom"/>
            <w:vMerge w:val="continue"/>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366"/>
        </w:trPr>
        <w:tc>
          <w:tcPr>
            <w:tcW w:w="554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41"/>
        </w:trPr>
        <w:tc>
          <w:tcPr>
            <w:tcW w:w="5540" w:type="dxa"/>
            <w:vAlign w:val="bottom"/>
          </w:tcPr>
          <w:p>
            <w:pPr>
              <w:spacing w:after="0" w:line="241" w:lineRule="exact"/>
              <w:rPr>
                <w:sz w:val="20"/>
                <w:szCs w:val="20"/>
                <w:color w:val="auto"/>
              </w:rPr>
            </w:pPr>
            <w:r>
              <w:rPr>
                <w:rFonts w:ascii="Arial" w:cs="Arial" w:eastAsia="Arial" w:hAnsi="Arial"/>
                <w:sz w:val="18"/>
                <w:szCs w:val="18"/>
                <w:color w:val="auto"/>
              </w:rPr>
              <w:t xml:space="preserve">Options and non-vested stock </w:t>
            </w:r>
            <w:r>
              <w:rPr>
                <w:rFonts w:ascii="Arial" w:cs="Arial" w:eastAsia="Arial" w:hAnsi="Arial"/>
                <w:sz w:val="23"/>
                <w:szCs w:val="23"/>
                <w:color w:val="auto"/>
                <w:vertAlign w:val="superscript"/>
              </w:rPr>
              <w:t>(a)</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
        </w:trPr>
        <w:tc>
          <w:tcPr>
            <w:tcW w:w="5540" w:type="dxa"/>
            <w:vAlign w:val="bottom"/>
            <w:vMerge w:val="restart"/>
          </w:tcPr>
          <w:p>
            <w:pPr>
              <w:spacing w:after="0"/>
              <w:rPr>
                <w:sz w:val="20"/>
                <w:szCs w:val="20"/>
                <w:color w:val="auto"/>
              </w:rPr>
            </w:pPr>
            <w:r>
              <w:rPr>
                <w:rFonts w:ascii="Arial" w:cs="Arial" w:eastAsia="Arial" w:hAnsi="Arial"/>
                <w:sz w:val="18"/>
                <w:szCs w:val="18"/>
                <w:i w:val="1"/>
                <w:iCs w:val="1"/>
                <w:color w:val="auto"/>
              </w:rPr>
              <w:t>Earnings (Loss) per share:</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9"/>
        </w:trPr>
        <w:tc>
          <w:tcPr>
            <w:tcW w:w="5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5540" w:type="dxa"/>
            <w:vAlign w:val="bottom"/>
          </w:tcPr>
          <w:p>
            <w:pPr>
              <w:ind w:left="8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31" w:lineRule="exact"/>
        <w:rPr>
          <w:sz w:val="20"/>
          <w:szCs w:val="20"/>
          <w:color w:val="auto"/>
        </w:rPr>
      </w:pPr>
    </w:p>
    <w:p>
      <w:pPr>
        <w:ind w:left="820" w:right="300" w:hanging="326"/>
        <w:spacing w:after="0" w:line="232" w:lineRule="auto"/>
        <w:tabs>
          <w:tab w:leader="none" w:pos="813" w:val="left"/>
        </w:tabs>
        <w:numPr>
          <w:ilvl w:val="1"/>
          <w:numId w:val="15"/>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September 30, 2020 and 2019, 0.2 million and 0.4 million non-vested stock awards, respectively, have an anti-dilutive effect and therefore are excluded from the computation of diluted weighted average shares outstanding. For the nine months ended September 30, 2020 and 2019, 1.4 million and 0.5 million non-vested stock awards, respectively, have an anti-dilutive effect and therefore are excluded from the computation of diluted weighted average shares outstanding.</w:t>
      </w:r>
    </w:p>
    <w:p>
      <w:pPr>
        <w:spacing w:after="0" w:line="207" w:lineRule="exact"/>
        <w:rPr>
          <w:rFonts w:ascii="Arial" w:cs="Arial" w:eastAsia="Arial" w:hAnsi="Arial"/>
          <w:sz w:val="21"/>
          <w:szCs w:val="21"/>
          <w:color w:val="auto"/>
          <w:vertAlign w:val="superscript"/>
        </w:rPr>
      </w:pPr>
    </w:p>
    <w:p>
      <w:pPr>
        <w:ind w:left="400" w:hanging="392"/>
        <w:spacing w:after="0"/>
        <w:tabs>
          <w:tab w:leader="none" w:pos="4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Avis and Budget Licensees</w:t>
      </w:r>
    </w:p>
    <w:p>
      <w:pPr>
        <w:spacing w:after="0" w:line="254" w:lineRule="exact"/>
        <w:rPr>
          <w:sz w:val="20"/>
          <w:szCs w:val="20"/>
          <w:color w:val="auto"/>
        </w:rPr>
      </w:pPr>
    </w:p>
    <w:p>
      <w:pPr>
        <w:ind w:left="500" w:right="200"/>
        <w:spacing w:after="0" w:line="257" w:lineRule="auto"/>
        <w:rPr>
          <w:sz w:val="20"/>
          <w:szCs w:val="20"/>
          <w:color w:val="auto"/>
        </w:rPr>
      </w:pPr>
      <w:r>
        <w:rPr>
          <w:rFonts w:ascii="Arial" w:cs="Arial" w:eastAsia="Arial" w:hAnsi="Arial"/>
          <w:sz w:val="18"/>
          <w:szCs w:val="18"/>
          <w:color w:val="auto"/>
        </w:rPr>
        <w:t>During the nine months ended September 30, 2020, the Company completed the acquisitions of various licensees in North America and Europe, for approximately $28 million, plus $21 million for acquired fleet. These investments were in-line with the Company’s strategy to re-acquire licensees when advantageous to expand its footprint of Company-operated locations. The acquired fleet was financed under the Company’s existing financing arrangements. In connection with these acquisitions, approximately $26 million was recorded in other intangibles related to license agreements. The license agreements are being amortized over a weighted average useful life of approximately two years. The fair value of the assets acquired and liabilities assumed has not yet been finalized and is therefore subject to change.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60" w:type="dxa"/>
            <w:vAlign w:val="bottom"/>
          </w:tcPr>
          <w:p>
            <w:pPr>
              <w:spacing w:after="0"/>
              <w:rPr>
                <w:sz w:val="20"/>
                <w:szCs w:val="20"/>
                <w:color w:val="auto"/>
              </w:rPr>
            </w:pPr>
            <w:r>
              <w:rPr>
                <w:rFonts w:ascii="Arial" w:cs="Arial" w:eastAsia="Arial" w:hAnsi="Arial"/>
                <w:sz w:val="18"/>
                <w:szCs w:val="18"/>
                <w:b w:val="1"/>
                <w:bCs w:val="1"/>
                <w:color w:val="auto"/>
              </w:rPr>
              <w:t>6.  Other Current Assets</w:t>
            </w:r>
          </w:p>
        </w:tc>
        <w:tc>
          <w:tcPr>
            <w:tcW w:w="2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1"/>
        </w:trPr>
        <w:tc>
          <w:tcPr>
            <w:tcW w:w="4360" w:type="dxa"/>
            <w:vAlign w:val="bottom"/>
          </w:tcPr>
          <w:p>
            <w:pPr>
              <w:ind w:left="500"/>
              <w:spacing w:after="0"/>
              <w:rPr>
                <w:sz w:val="20"/>
                <w:szCs w:val="20"/>
                <w:color w:val="auto"/>
              </w:rPr>
            </w:pPr>
            <w:r>
              <w:rPr>
                <w:rFonts w:ascii="Arial" w:cs="Arial" w:eastAsia="Arial" w:hAnsi="Arial"/>
                <w:sz w:val="18"/>
                <w:szCs w:val="18"/>
                <w:color w:val="auto"/>
              </w:rPr>
              <w:t>Other current assets consisted of:</w:t>
            </w:r>
          </w:p>
        </w:tc>
        <w:tc>
          <w:tcPr>
            <w:tcW w:w="2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3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center"/>
              <w:ind w:right="340"/>
              <w:spacing w:after="0" w:line="199" w:lineRule="exact"/>
              <w:rPr>
                <w:sz w:val="20"/>
                <w:szCs w:val="20"/>
                <w:color w:val="auto"/>
              </w:rPr>
            </w:pPr>
            <w:r>
              <w:rPr>
                <w:rFonts w:ascii="Arial" w:cs="Arial" w:eastAsia="Arial" w:hAnsi="Arial"/>
                <w:sz w:val="18"/>
                <w:szCs w:val="18"/>
                <w:b w:val="1"/>
                <w:bCs w:val="1"/>
                <w:color w:val="auto"/>
                <w:w w:val="97"/>
              </w:rPr>
              <w:t>As of</w:t>
            </w:r>
          </w:p>
        </w:tc>
        <w:tc>
          <w:tcPr>
            <w:tcW w:w="120" w:type="dxa"/>
            <w:vAlign w:val="bottom"/>
          </w:tcPr>
          <w:p>
            <w:pPr>
              <w:spacing w:after="0"/>
              <w:rPr>
                <w:sz w:val="17"/>
                <w:szCs w:val="17"/>
                <w:color w:val="auto"/>
              </w:rPr>
            </w:pPr>
          </w:p>
        </w:tc>
        <w:tc>
          <w:tcPr>
            <w:tcW w:w="19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As of December</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60" w:type="dxa"/>
            <w:vAlign w:val="bottom"/>
            <w:vMerge w:val="restart"/>
          </w:tcPr>
          <w:p>
            <w:pPr>
              <w:ind w:left="520"/>
              <w:spacing w:after="0"/>
              <w:rPr>
                <w:sz w:val="20"/>
                <w:szCs w:val="20"/>
                <w:color w:val="auto"/>
              </w:rPr>
            </w:pPr>
            <w:r>
              <w:rPr>
                <w:rFonts w:ascii="Arial" w:cs="Arial" w:eastAsia="Arial" w:hAnsi="Arial"/>
                <w:sz w:val="18"/>
                <w:szCs w:val="18"/>
                <w:color w:val="auto"/>
              </w:rPr>
              <w:t>Prepaid expenses</w:t>
            </w:r>
          </w:p>
        </w:tc>
        <w:tc>
          <w:tcPr>
            <w:tcW w:w="2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31, 2019</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60" w:type="dxa"/>
            <w:vAlign w:val="bottom"/>
            <w:vMerge w:val="continue"/>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234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520"/>
              <w:spacing w:after="0"/>
              <w:rPr>
                <w:sz w:val="20"/>
                <w:szCs w:val="20"/>
                <w:color w:val="auto"/>
              </w:rPr>
            </w:pPr>
            <w:r>
              <w:rPr>
                <w:rFonts w:ascii="Arial" w:cs="Arial" w:eastAsia="Arial" w:hAnsi="Arial"/>
                <w:sz w:val="18"/>
                <w:szCs w:val="18"/>
                <w:color w:val="auto"/>
              </w:rPr>
              <w:t>Sales and use taxes</w:t>
            </w:r>
          </w:p>
        </w:tc>
        <w:tc>
          <w:tcPr>
            <w:tcW w:w="2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60" w:type="dxa"/>
            <w:vAlign w:val="bottom"/>
          </w:tcPr>
          <w:p>
            <w:pPr>
              <w:ind w:left="520"/>
              <w:spacing w:after="0"/>
              <w:rPr>
                <w:sz w:val="20"/>
                <w:szCs w:val="20"/>
                <w:color w:val="auto"/>
              </w:rPr>
            </w:pPr>
            <w:r>
              <w:rPr>
                <w:rFonts w:ascii="Arial" w:cs="Arial" w:eastAsia="Arial" w:hAnsi="Arial"/>
                <w:sz w:val="18"/>
                <w:szCs w:val="18"/>
                <w:color w:val="auto"/>
              </w:rPr>
              <w:t>Other</w:t>
            </w:r>
          </w:p>
        </w:tc>
        <w:tc>
          <w:tcPr>
            <w:tcW w:w="2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520"/>
              <w:spacing w:after="0"/>
              <w:rPr>
                <w:sz w:val="20"/>
                <w:szCs w:val="20"/>
                <w:color w:val="auto"/>
              </w:rPr>
            </w:pPr>
            <w:r>
              <w:rPr>
                <w:rFonts w:ascii="Arial" w:cs="Arial" w:eastAsia="Arial" w:hAnsi="Arial"/>
                <w:sz w:val="18"/>
                <w:szCs w:val="18"/>
                <w:color w:val="auto"/>
              </w:rPr>
              <w:t>Other current assets</w:t>
            </w:r>
          </w:p>
        </w:tc>
        <w:tc>
          <w:tcPr>
            <w:tcW w:w="29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940" w:type="dxa"/>
            <w:vAlign w:val="bottom"/>
            <w:vMerge w:val="restart"/>
          </w:tcPr>
          <w:p>
            <w:pPr>
              <w:jc w:val="right"/>
              <w:ind w:right="1490"/>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5"/>
        </w:trPr>
        <w:tc>
          <w:tcPr>
            <w:tcW w:w="436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36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consisted of:</w:t>
      </w:r>
    </w:p>
    <w:p>
      <w:pPr>
        <w:spacing w:after="0" w:line="52" w:lineRule="exact"/>
        <w:rPr>
          <w:sz w:val="20"/>
          <w:szCs w:val="20"/>
          <w:color w:val="auto"/>
        </w:rPr>
      </w:pPr>
    </w:p>
    <w:tbl>
      <w:tblPr>
        <w:tblLayout w:type="fixed"/>
        <w:tblInd w:w="520" w:type="dxa"/>
        <w:tblCellMar>
          <w:top w:w="0" w:type="dxa"/>
          <w:left w:w="0" w:type="dxa"/>
          <w:bottom w:w="0" w:type="dxa"/>
          <w:right w:w="0" w:type="dxa"/>
        </w:tblCellMar>
      </w:tblPr>
      <w:tr>
        <w:trPr>
          <w:trHeight w:val="223"/>
        </w:trPr>
        <w:tc>
          <w:tcPr>
            <w:tcW w:w="2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6"/>
          </w:tcPr>
          <w:p>
            <w:pPr>
              <w:jc w:val="center"/>
              <w:ind w:left="596"/>
              <w:spacing w:after="0"/>
              <w:rPr>
                <w:sz w:val="20"/>
                <w:szCs w:val="20"/>
                <w:color w:val="auto"/>
              </w:rPr>
            </w:pPr>
            <w:r>
              <w:rPr>
                <w:rFonts w:ascii="Arial" w:cs="Arial" w:eastAsia="Arial" w:hAnsi="Arial"/>
                <w:sz w:val="16"/>
                <w:szCs w:val="16"/>
                <w:b w:val="1"/>
                <w:bCs w:val="1"/>
                <w:color w:val="auto"/>
              </w:rPr>
              <w:t>As of September 30, 2020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6"/>
          </w:tcPr>
          <w:p>
            <w:pPr>
              <w:jc w:val="center"/>
              <w:ind w:left="596"/>
              <w:spacing w:after="0"/>
              <w:rPr>
                <w:sz w:val="20"/>
                <w:szCs w:val="20"/>
                <w:color w:val="auto"/>
              </w:rPr>
            </w:pPr>
            <w:r>
              <w:rPr>
                <w:rFonts w:ascii="Arial" w:cs="Arial" w:eastAsia="Arial" w:hAnsi="Arial"/>
                <w:sz w:val="16"/>
                <w:szCs w:val="16"/>
                <w:b w:val="1"/>
                <w:bCs w:val="1"/>
                <w:color w:val="auto"/>
              </w:rPr>
              <w:t>As of December 31, 2019</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16"/>
              <w:spacing w:after="0" w:line="142" w:lineRule="exact"/>
              <w:rPr>
                <w:sz w:val="20"/>
                <w:szCs w:val="20"/>
                <w:color w:val="auto"/>
              </w:rPr>
            </w:pPr>
            <w:r>
              <w:rPr>
                <w:rFonts w:ascii="Arial" w:cs="Arial" w:eastAsia="Arial" w:hAnsi="Arial"/>
                <w:sz w:val="14"/>
                <w:szCs w:val="14"/>
                <w:b w:val="1"/>
                <w:bCs w:val="1"/>
                <w:color w:val="auto"/>
                <w:w w:val="98"/>
              </w:rPr>
              <w:t>Gross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880" w:type="dxa"/>
            <w:vAlign w:val="bottom"/>
          </w:tcPr>
          <w:p>
            <w:pPr>
              <w:jc w:val="center"/>
              <w:ind w:right="198"/>
              <w:spacing w:after="0" w:line="142"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6"/>
              <w:spacing w:after="0" w:line="142"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880" w:type="dxa"/>
            <w:vAlign w:val="bottom"/>
          </w:tcPr>
          <w:p>
            <w:pPr>
              <w:jc w:val="center"/>
              <w:ind w:right="158"/>
              <w:spacing w:after="0" w:line="142"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116"/>
              <w:spacing w:after="0" w:line="13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940" w:type="dxa"/>
            <w:vAlign w:val="bottom"/>
          </w:tcPr>
          <w:p>
            <w:pPr>
              <w:jc w:val="center"/>
              <w:ind w:right="116"/>
              <w:spacing w:after="0" w:line="13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center"/>
              <w:ind w:right="158"/>
              <w:spacing w:after="0" w:line="135"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6"/>
        </w:trPr>
        <w:tc>
          <w:tcPr>
            <w:tcW w:w="2580" w:type="dxa"/>
            <w:vAlign w:val="bottom"/>
            <w:vMerge w:val="restart"/>
          </w:tcPr>
          <w:p>
            <w:pPr>
              <w:spacing w:after="0"/>
              <w:rPr>
                <w:sz w:val="20"/>
                <w:szCs w:val="20"/>
                <w:color w:val="auto"/>
              </w:rPr>
            </w:pPr>
            <w:r>
              <w:rPr>
                <w:rFonts w:ascii="Arial" w:cs="Arial" w:eastAsia="Arial" w:hAnsi="Arial"/>
                <w:sz w:val="16"/>
                <w:szCs w:val="16"/>
                <w:i w:val="1"/>
                <w:iCs w:val="1"/>
                <w:color w:val="auto"/>
              </w:rPr>
              <w:t>Amortized Intangible Assets</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4"/>
        </w:trPr>
        <w:tc>
          <w:tcPr>
            <w:tcW w:w="2580" w:type="dxa"/>
            <w:vAlign w:val="bottom"/>
            <w:vMerge w:val="continue"/>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271</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6"/>
                <w:szCs w:val="16"/>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241</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6"/>
                <w:szCs w:val="16"/>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2"/>
        </w:trPr>
        <w:tc>
          <w:tcPr>
            <w:tcW w:w="2580" w:type="dxa"/>
            <w:vAlign w:val="bottom"/>
          </w:tcPr>
          <w:p>
            <w:pPr>
              <w:spacing w:after="0"/>
              <w:rPr>
                <w:sz w:val="20"/>
                <w:szCs w:val="20"/>
                <w:color w:val="auto"/>
              </w:rPr>
            </w:pPr>
            <w:r>
              <w:rPr>
                <w:rFonts w:ascii="Arial" w:cs="Arial" w:eastAsia="Arial" w:hAnsi="Arial"/>
                <w:sz w:val="16"/>
                <w:szCs w:val="16"/>
                <w:color w:val="auto"/>
              </w:rPr>
              <w:t>License agreements</w:t>
            </w:r>
          </w:p>
        </w:tc>
        <w:tc>
          <w:tcPr>
            <w:tcW w:w="2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80" w:type="dxa"/>
            <w:vAlign w:val="bottom"/>
          </w:tcPr>
          <w:p>
            <w:pPr>
              <w:spacing w:after="0"/>
              <w:rPr>
                <w:sz w:val="20"/>
                <w:szCs w:val="20"/>
                <w:color w:val="auto"/>
              </w:rPr>
            </w:pPr>
            <w:r>
              <w:rPr>
                <w:rFonts w:ascii="Arial" w:cs="Arial" w:eastAsia="Arial" w:hAnsi="Arial"/>
                <w:sz w:val="16"/>
                <w:szCs w:val="16"/>
                <w:color w:val="auto"/>
              </w:rPr>
              <w:t>Customer relationships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9"/>
        </w:trPr>
        <w:tc>
          <w:tcPr>
            <w:tcW w:w="2580" w:type="dxa"/>
            <w:vAlign w:val="bottom"/>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580" w:type="dxa"/>
            <w:vAlign w:val="bottom"/>
          </w:tcPr>
          <w:p>
            <w:pPr>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
        </w:trPr>
        <w:tc>
          <w:tcPr>
            <w:tcW w:w="2580" w:type="dxa"/>
            <w:vAlign w:val="bottom"/>
            <w:vMerge w:val="restart"/>
          </w:tcPr>
          <w:p>
            <w:pPr>
              <w:spacing w:after="0"/>
              <w:rPr>
                <w:sz w:val="20"/>
                <w:szCs w:val="20"/>
                <w:color w:val="auto"/>
              </w:rPr>
            </w:pPr>
            <w:r>
              <w:rPr>
                <w:rFonts w:ascii="Arial" w:cs="Arial" w:eastAsia="Arial" w:hAnsi="Arial"/>
                <w:sz w:val="16"/>
                <w:szCs w:val="16"/>
                <w:i w:val="1"/>
                <w:iCs w:val="1"/>
                <w:color w:val="auto"/>
              </w:rPr>
              <w:t>Unamortized Intangible Assets</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2"/>
        </w:trPr>
        <w:tc>
          <w:tcPr>
            <w:tcW w:w="2580" w:type="dxa"/>
            <w:vAlign w:val="bottom"/>
            <w:vMerge w:val="continue"/>
          </w:tcPr>
          <w:p>
            <w:pPr>
              <w:spacing w:after="0"/>
              <w:rPr>
                <w:sz w:val="24"/>
                <w:szCs w:val="24"/>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580" w:type="dxa"/>
            <w:vAlign w:val="bottom"/>
          </w:tcPr>
          <w:p>
            <w:pPr>
              <w:spacing w:after="0"/>
              <w:rPr>
                <w:sz w:val="20"/>
                <w:szCs w:val="20"/>
                <w:color w:val="auto"/>
              </w:rPr>
            </w:pPr>
            <w:r>
              <w:rPr>
                <w:rFonts w:ascii="Arial" w:cs="Arial" w:eastAsia="Arial" w:hAnsi="Arial"/>
                <w:sz w:val="16"/>
                <w:szCs w:val="16"/>
                <w:color w:val="auto"/>
              </w:rPr>
              <w:t>Trademarks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500"/>
        <w:spacing w:after="0" w:line="258" w:lineRule="auto"/>
        <w:rPr>
          <w:sz w:val="20"/>
          <w:szCs w:val="20"/>
          <w:color w:val="auto"/>
        </w:rPr>
      </w:pPr>
      <w:r>
        <w:rPr>
          <w:rFonts w:ascii="Arial" w:cs="Arial" w:eastAsia="Arial" w:hAnsi="Arial"/>
          <w:sz w:val="18"/>
          <w:szCs w:val="18"/>
          <w:color w:val="auto"/>
        </w:rPr>
        <w:t>For the three months ended September 30, 2020 and 2019, amortization expense related to amortizable intangible assets was approximately $17 million and $13 million, respectively. For the nine months ended September 30, 2020 and 2019, amortization expense related to amortizable intangible assets was approximately $46 million and $44 million, respectively. Based on the Company’s amortizable intangible assets at September 30, 2020, the Company expects amortization expense of approximately $18 million for the remainder of 2020, $64 million for 2021, $33 million for 2022, $25 million for 2023, $22 million for 2024 and $16 million for 2025, excluding effects of currency exchange rates.</w:t>
      </w:r>
    </w:p>
    <w:p>
      <w:pPr>
        <w:spacing w:after="0" w:line="202"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vehicles, net within assets under vehicle programs were as follows:</w:t>
      </w:r>
    </w:p>
    <w:p>
      <w:pPr>
        <w:spacing w:after="0" w:line="48"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As of</w:t>
            </w:r>
          </w:p>
        </w:tc>
        <w:tc>
          <w:tcPr>
            <w:tcW w:w="180" w:type="dxa"/>
            <w:vAlign w:val="bottom"/>
          </w:tcPr>
          <w:p>
            <w:pPr>
              <w:spacing w:after="0"/>
              <w:rPr>
                <w:sz w:val="19"/>
                <w:szCs w:val="19"/>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As of</w:t>
            </w:r>
          </w:p>
        </w:tc>
        <w:tc>
          <w:tcPr>
            <w:tcW w:w="0" w:type="dxa"/>
            <w:vAlign w:val="bottom"/>
          </w:tcPr>
          <w:p>
            <w:pPr>
              <w:spacing w:after="0"/>
              <w:rPr>
                <w:sz w:val="1"/>
                <w:szCs w:val="1"/>
                <w:color w:val="auto"/>
              </w:rPr>
            </w:pPr>
          </w:p>
        </w:tc>
      </w:tr>
      <w:tr>
        <w:trPr>
          <w:trHeight w:val="229"/>
        </w:trPr>
        <w:tc>
          <w:tcPr>
            <w:tcW w:w="6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9"/>
                <w:szCs w:val="19"/>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6760" w:type="dxa"/>
            <w:vAlign w:val="bottom"/>
            <w:vMerge w:val="restart"/>
          </w:tcPr>
          <w:p>
            <w:pPr>
              <w:spacing w:after="0"/>
              <w:rPr>
                <w:sz w:val="20"/>
                <w:szCs w:val="20"/>
                <w:color w:val="auto"/>
              </w:rPr>
            </w:pPr>
            <w:r>
              <w:rPr>
                <w:rFonts w:ascii="Arial" w:cs="Arial" w:eastAsia="Arial" w:hAnsi="Arial"/>
                <w:sz w:val="18"/>
                <w:szCs w:val="18"/>
                <w:color w:val="auto"/>
              </w:rPr>
              <w:t>Rental vehicles</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14"/>
        </w:trPr>
        <w:tc>
          <w:tcPr>
            <w:tcW w:w="67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9,826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13,461</w:t>
            </w:r>
          </w:p>
        </w:tc>
        <w:tc>
          <w:tcPr>
            <w:tcW w:w="0" w:type="dxa"/>
            <w:vAlign w:val="bottom"/>
          </w:tcPr>
          <w:p>
            <w:pPr>
              <w:spacing w:after="0"/>
              <w:rPr>
                <w:sz w:val="1"/>
                <w:szCs w:val="1"/>
                <w:color w:val="auto"/>
              </w:rPr>
            </w:pPr>
          </w:p>
        </w:tc>
      </w:tr>
      <w:tr>
        <w:trPr>
          <w:trHeight w:val="239"/>
        </w:trPr>
        <w:tc>
          <w:tcPr>
            <w:tcW w:w="67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14"/>
        </w:trPr>
        <w:tc>
          <w:tcPr>
            <w:tcW w:w="6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8,495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11,840</w:t>
            </w:r>
          </w:p>
        </w:tc>
        <w:tc>
          <w:tcPr>
            <w:tcW w:w="0" w:type="dxa"/>
            <w:vAlign w:val="bottom"/>
          </w:tcPr>
          <w:p>
            <w:pPr>
              <w:spacing w:after="0"/>
              <w:rPr>
                <w:sz w:val="1"/>
                <w:szCs w:val="1"/>
                <w:color w:val="auto"/>
              </w:rPr>
            </w:pPr>
          </w:p>
        </w:tc>
      </w:tr>
      <w:tr>
        <w:trPr>
          <w:trHeight w:val="239"/>
        </w:trPr>
        <w:tc>
          <w:tcPr>
            <w:tcW w:w="6760" w:type="dxa"/>
            <w:vAlign w:val="bottom"/>
          </w:tcPr>
          <w:p>
            <w:pPr>
              <w:spacing w:after="0"/>
              <w:rPr>
                <w:sz w:val="20"/>
                <w:szCs w:val="20"/>
                <w:color w:val="auto"/>
              </w:rPr>
            </w:pPr>
            <w:r>
              <w:rPr>
                <w:rFonts w:ascii="Arial" w:cs="Arial" w:eastAsia="Arial" w:hAnsi="Arial"/>
                <w:sz w:val="18"/>
                <w:szCs w:val="18"/>
                <w:color w:val="auto"/>
              </w:rPr>
              <w:t>Vehicles held for sale</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Vehicles,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12,177</w:t>
            </w:r>
          </w:p>
        </w:tc>
        <w:tc>
          <w:tcPr>
            <w:tcW w:w="0" w:type="dxa"/>
            <w:vAlign w:val="bottom"/>
          </w:tcPr>
          <w:p>
            <w:pPr>
              <w:spacing w:after="0"/>
              <w:rPr>
                <w:sz w:val="1"/>
                <w:szCs w:val="1"/>
                <w:color w:val="auto"/>
              </w:rPr>
            </w:pPr>
          </w:p>
        </w:tc>
      </w:tr>
      <w:tr>
        <w:trPr>
          <w:trHeight w:val="21"/>
        </w:trPr>
        <w:tc>
          <w:tcPr>
            <w:tcW w:w="6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27"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220" w:type="dxa"/>
            <w:vAlign w:val="bottom"/>
          </w:tcPr>
          <w:p>
            <w:pPr>
              <w:spacing w:after="0"/>
              <w:rPr>
                <w:sz w:val="18"/>
                <w:szCs w:val="18"/>
                <w:color w:val="auto"/>
              </w:rPr>
            </w:pPr>
          </w:p>
        </w:tc>
        <w:tc>
          <w:tcPr>
            <w:tcW w:w="24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4220" w:type="dxa"/>
            <w:vAlign w:val="bottom"/>
          </w:tcPr>
          <w:p>
            <w:pPr>
              <w:spacing w:after="0"/>
              <w:rPr>
                <w:sz w:val="19"/>
                <w:szCs w:val="19"/>
                <w:color w:val="auto"/>
              </w:rPr>
            </w:pPr>
          </w:p>
        </w:tc>
        <w:tc>
          <w:tcPr>
            <w:tcW w:w="244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September 30,</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220" w:type="dxa"/>
            <w:vAlign w:val="bottom"/>
            <w:vMerge w:val="restart"/>
          </w:tcPr>
          <w:p>
            <w:pPr>
              <w:spacing w:after="0"/>
              <w:rPr>
                <w:sz w:val="20"/>
                <w:szCs w:val="20"/>
                <w:color w:val="auto"/>
              </w:rPr>
            </w:pPr>
            <w:r>
              <w:rPr>
                <w:rFonts w:ascii="Arial" w:cs="Arial" w:eastAsia="Arial" w:hAnsi="Arial"/>
                <w:sz w:val="18"/>
                <w:szCs w:val="18"/>
                <w:color w:val="auto"/>
              </w:rPr>
              <w:t>Depreciation expense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4"/>
        </w:trPr>
        <w:tc>
          <w:tcPr>
            <w:tcW w:w="4220" w:type="dxa"/>
            <w:vAlign w:val="bottom"/>
            <w:vMerge w:val="continue"/>
          </w:tcPr>
          <w:p>
            <w:pPr>
              <w:spacing w:after="0"/>
              <w:rPr>
                <w:sz w:val="18"/>
                <w:szCs w:val="18"/>
                <w:color w:val="auto"/>
              </w:rPr>
            </w:pP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Lease charges</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9"/>
        </w:trPr>
        <w:tc>
          <w:tcPr>
            <w:tcW w:w="4220" w:type="dxa"/>
            <w:vAlign w:val="bottom"/>
          </w:tcPr>
          <w:p>
            <w:pPr>
              <w:spacing w:after="0"/>
              <w:rPr>
                <w:sz w:val="20"/>
                <w:szCs w:val="20"/>
                <w:color w:val="auto"/>
              </w:rPr>
            </w:pPr>
            <w:r>
              <w:rPr>
                <w:rFonts w:ascii="Arial" w:cs="Arial" w:eastAsia="Arial" w:hAnsi="Arial"/>
                <w:sz w:val="18"/>
                <w:szCs w:val="18"/>
                <w:color w:val="auto"/>
              </w:rPr>
              <w:t>(Gain) loss on sale of vehicles, net</w:t>
            </w:r>
          </w:p>
        </w:tc>
        <w:tc>
          <w:tcPr>
            <w:tcW w:w="9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Vehicle depreciation and lease charges, net</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500" w:right="540"/>
        <w:spacing w:after="0" w:line="271" w:lineRule="auto"/>
        <w:rPr>
          <w:sz w:val="20"/>
          <w:szCs w:val="20"/>
          <w:color w:val="auto"/>
        </w:rPr>
      </w:pPr>
      <w:r>
        <w:rPr>
          <w:rFonts w:ascii="Arial" w:cs="Arial" w:eastAsia="Arial" w:hAnsi="Arial"/>
          <w:sz w:val="18"/>
          <w:szCs w:val="18"/>
          <w:color w:val="auto"/>
        </w:rPr>
        <w:t>At September 30, 2020 and 2019, the Company had payables related to vehicle purchases included in liabilities under vehicle programs - other of $213 million and $297 million, respectively, and receivables related to vehicle sales included in assets under vehicle programs - receivables from vehicle manufacturers and other of $357 million and $693 million, respectively.</w:t>
      </w:r>
    </w:p>
    <w:p>
      <w:pPr>
        <w:spacing w:after="0" w:line="188"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4" w:lineRule="exact"/>
        <w:rPr>
          <w:sz w:val="20"/>
          <w:szCs w:val="20"/>
          <w:color w:val="auto"/>
        </w:rPr>
      </w:pPr>
    </w:p>
    <w:p>
      <w:pPr>
        <w:ind w:left="500" w:right="160"/>
        <w:spacing w:after="0" w:line="292" w:lineRule="auto"/>
        <w:rPr>
          <w:sz w:val="20"/>
          <w:szCs w:val="20"/>
          <w:color w:val="auto"/>
        </w:rPr>
      </w:pPr>
      <w:r>
        <w:rPr>
          <w:rFonts w:ascii="Arial" w:cs="Arial" w:eastAsia="Arial" w:hAnsi="Arial"/>
          <w:sz w:val="18"/>
          <w:szCs w:val="18"/>
          <w:color w:val="auto"/>
        </w:rPr>
        <w:t>The Company’s effective tax rate for the nine months ended September 30, 2020 was a benefit of 27.6%. Such rate differed from the Federal Statutory rate of 21.0% primarily due to foreign taxes on our</w:t>
      </w:r>
    </w:p>
    <w:p>
      <w:pPr>
        <w:sectPr>
          <w:pgSz w:w="11900" w:h="16838" w:orient="portrait"/>
          <w:cols w:equalWidth="0" w:num="1">
            <w:col w:w="11200"/>
          </w:cols>
          <w:pgMar w:left="320" w:top="116" w:right="3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International operations and state taxes.</w:t>
      </w:r>
    </w:p>
    <w:p>
      <w:pPr>
        <w:spacing w:after="0" w:line="252" w:lineRule="exact"/>
        <w:rPr>
          <w:sz w:val="20"/>
          <w:szCs w:val="20"/>
          <w:color w:val="auto"/>
        </w:rPr>
      </w:pPr>
    </w:p>
    <w:p>
      <w:pPr>
        <w:ind w:left="500"/>
        <w:spacing w:after="0" w:line="271" w:lineRule="auto"/>
        <w:rPr>
          <w:sz w:val="20"/>
          <w:szCs w:val="20"/>
          <w:color w:val="auto"/>
        </w:rPr>
      </w:pPr>
      <w:r>
        <w:rPr>
          <w:rFonts w:ascii="Arial" w:cs="Arial" w:eastAsia="Arial" w:hAnsi="Arial"/>
          <w:sz w:val="18"/>
          <w:szCs w:val="18"/>
          <w:color w:val="auto"/>
        </w:rPr>
        <w:t>The Company’s effective tax rate for the nine months ended September 30, 2019 was a provision of 41.4%. Such rate differed from the Federal Statutory rate of 21.0% primarily due to foreign taxes on our International operations, state taxes and a one-time net tax benefit from the sale of an equity investment in China during the second quarter of 2019.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10.  Accounts Payable and Other Current Liabilities</w:t>
            </w: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1"/>
        </w:trPr>
        <w:tc>
          <w:tcPr>
            <w:tcW w:w="6120" w:type="dxa"/>
            <w:vAlign w:val="bottom"/>
            <w:gridSpan w:val="2"/>
          </w:tcPr>
          <w:p>
            <w:pPr>
              <w:ind w:left="500"/>
              <w:spacing w:after="0"/>
              <w:rPr>
                <w:sz w:val="20"/>
                <w:szCs w:val="20"/>
                <w:color w:val="auto"/>
              </w:rPr>
            </w:pPr>
            <w:r>
              <w:rPr>
                <w:rFonts w:ascii="Arial" w:cs="Arial" w:eastAsia="Arial" w:hAnsi="Arial"/>
                <w:sz w:val="18"/>
                <w:szCs w:val="18"/>
                <w:color w:val="auto"/>
              </w:rPr>
              <w:t>Accounts payable and other current liabilities consisted of:</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7"/>
              </w:rPr>
              <w:t>As of</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236"/>
              <w:spacing w:after="0"/>
              <w:rPr>
                <w:sz w:val="20"/>
                <w:szCs w:val="20"/>
                <w:color w:val="auto"/>
              </w:rPr>
            </w:pPr>
            <w:r>
              <w:rPr>
                <w:rFonts w:ascii="Arial" w:cs="Arial" w:eastAsia="Arial" w:hAnsi="Arial"/>
                <w:sz w:val="18"/>
                <w:szCs w:val="18"/>
                <w:b w:val="1"/>
                <w:bCs w:val="1"/>
                <w:color w:val="auto"/>
                <w:w w:val="97"/>
              </w:rPr>
              <w:t>As of</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76"/>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6120" w:type="dxa"/>
            <w:vAlign w:val="bottom"/>
            <w:gridSpan w:val="2"/>
            <w:vMerge w:val="restart"/>
          </w:tcPr>
          <w:p>
            <w:pPr>
              <w:ind w:left="520"/>
              <w:spacing w:after="0"/>
              <w:rPr>
                <w:sz w:val="20"/>
                <w:szCs w:val="20"/>
                <w:color w:val="auto"/>
              </w:rPr>
            </w:pPr>
            <w:r>
              <w:rPr>
                <w:rFonts w:ascii="Arial" w:cs="Arial" w:eastAsia="Arial" w:hAnsi="Arial"/>
                <w:sz w:val="18"/>
                <w:szCs w:val="18"/>
                <w:color w:val="auto"/>
              </w:rPr>
              <w:t>Short-term operating lease liabilities</w:t>
            </w:r>
          </w:p>
        </w:tc>
        <w:tc>
          <w:tcPr>
            <w:tcW w:w="1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56"/>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36"/>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14"/>
        </w:trPr>
        <w:tc>
          <w:tcPr>
            <w:tcW w:w="612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29"/>
        </w:trPr>
        <w:tc>
          <w:tcPr>
            <w:tcW w:w="6120" w:type="dxa"/>
            <w:vAlign w:val="bottom"/>
            <w:gridSpan w:val="2"/>
          </w:tcPr>
          <w:p>
            <w:pPr>
              <w:ind w:left="520"/>
              <w:spacing w:after="0"/>
              <w:rPr>
                <w:sz w:val="20"/>
                <w:szCs w:val="20"/>
                <w:color w:val="auto"/>
              </w:rPr>
            </w:pPr>
            <w:r>
              <w:rPr>
                <w:rFonts w:ascii="Arial" w:cs="Arial" w:eastAsia="Arial" w:hAnsi="Arial"/>
                <w:sz w:val="18"/>
                <w:szCs w:val="18"/>
                <w:color w:val="auto"/>
              </w:rPr>
              <w:t>Accounts payable</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0"/>
        </w:trPr>
        <w:tc>
          <w:tcPr>
            <w:tcW w:w="6120" w:type="dxa"/>
            <w:vAlign w:val="bottom"/>
            <w:gridSpan w:val="2"/>
          </w:tcPr>
          <w:p>
            <w:pPr>
              <w:ind w:left="520"/>
              <w:spacing w:after="0"/>
              <w:rPr>
                <w:sz w:val="20"/>
                <w:szCs w:val="20"/>
                <w:color w:val="auto"/>
              </w:rPr>
            </w:pPr>
            <w:r>
              <w:rPr>
                <w:rFonts w:ascii="Arial" w:cs="Arial" w:eastAsia="Arial" w:hAnsi="Arial"/>
                <w:sz w:val="18"/>
                <w:szCs w:val="18"/>
                <w:color w:val="auto"/>
              </w:rPr>
              <w:t>Accrued sales and use taxes</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9"/>
        </w:trPr>
        <w:tc>
          <w:tcPr>
            <w:tcW w:w="6120" w:type="dxa"/>
            <w:vAlign w:val="bottom"/>
            <w:gridSpan w:val="2"/>
          </w:tcPr>
          <w:p>
            <w:pPr>
              <w:ind w:left="520"/>
              <w:spacing w:after="0"/>
              <w:rPr>
                <w:sz w:val="20"/>
                <w:szCs w:val="20"/>
                <w:color w:val="auto"/>
              </w:rPr>
            </w:pPr>
            <w:r>
              <w:rPr>
                <w:rFonts w:ascii="Arial" w:cs="Arial" w:eastAsia="Arial" w:hAnsi="Arial"/>
                <w:sz w:val="18"/>
                <w:szCs w:val="18"/>
                <w:color w:val="auto"/>
              </w:rPr>
              <w:t>Public liability and property damage insurance liabilities – current</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9"/>
        </w:trPr>
        <w:tc>
          <w:tcPr>
            <w:tcW w:w="6120" w:type="dxa"/>
            <w:vAlign w:val="bottom"/>
            <w:gridSpan w:val="2"/>
          </w:tcPr>
          <w:p>
            <w:pPr>
              <w:ind w:left="520"/>
              <w:spacing w:after="0"/>
              <w:rPr>
                <w:sz w:val="20"/>
                <w:szCs w:val="20"/>
                <w:color w:val="auto"/>
              </w:rPr>
            </w:pPr>
            <w:r>
              <w:rPr>
                <w:rFonts w:ascii="Arial" w:cs="Arial" w:eastAsia="Arial" w:hAnsi="Arial"/>
                <w:sz w:val="18"/>
                <w:szCs w:val="18"/>
                <w:color w:val="auto"/>
              </w:rPr>
              <w:t>Accrued advertising and marketing</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6120" w:type="dxa"/>
            <w:vAlign w:val="bottom"/>
            <w:gridSpan w:val="2"/>
          </w:tcPr>
          <w:p>
            <w:pPr>
              <w:ind w:left="520"/>
              <w:spacing w:after="0"/>
              <w:rPr>
                <w:sz w:val="20"/>
                <w:szCs w:val="20"/>
                <w:color w:val="auto"/>
              </w:rPr>
            </w:pPr>
            <w:r>
              <w:rPr>
                <w:rFonts w:ascii="Arial" w:cs="Arial" w:eastAsia="Arial" w:hAnsi="Arial"/>
                <w:sz w:val="18"/>
                <w:szCs w:val="18"/>
                <w:color w:val="auto"/>
              </w:rPr>
              <w:t>Accrued payroll and related</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9"/>
        </w:trPr>
        <w:tc>
          <w:tcPr>
            <w:tcW w:w="6120" w:type="dxa"/>
            <w:vAlign w:val="bottom"/>
            <w:gridSpan w:val="2"/>
          </w:tcPr>
          <w:p>
            <w:pPr>
              <w:ind w:left="52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3"/>
        </w:trPr>
        <w:tc>
          <w:tcPr>
            <w:tcW w:w="6120" w:type="dxa"/>
            <w:vAlign w:val="bottom"/>
            <w:gridSpan w:val="2"/>
          </w:tcPr>
          <w:p>
            <w:pPr>
              <w:ind w:left="520"/>
              <w:spacing w:after="0"/>
              <w:rPr>
                <w:sz w:val="20"/>
                <w:szCs w:val="20"/>
                <w:color w:val="auto"/>
              </w:rPr>
            </w:pPr>
            <w:r>
              <w:rPr>
                <w:rFonts w:ascii="Arial" w:cs="Arial" w:eastAsia="Arial" w:hAnsi="Arial"/>
                <w:sz w:val="18"/>
                <w:szCs w:val="18"/>
                <w:color w:val="auto"/>
              </w:rPr>
              <w:t>Accounts payable and other current liabilities</w:t>
            </w:r>
          </w:p>
        </w:tc>
        <w:tc>
          <w:tcPr>
            <w:tcW w:w="1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1"/>
        </w:trPr>
        <w:tc>
          <w:tcPr>
            <w:tcW w:w="6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11.  Long-term Corporate Debt and Borrowing Arrangements</w:t>
            </w:r>
          </w:p>
        </w:tc>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3"/>
        </w:trPr>
        <w:tc>
          <w:tcPr>
            <w:tcW w:w="612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6120" w:type="dxa"/>
            <w:vAlign w:val="bottom"/>
            <w:gridSpan w:val="2"/>
          </w:tcPr>
          <w:p>
            <w:pPr>
              <w:ind w:left="500"/>
              <w:spacing w:after="0"/>
              <w:rPr>
                <w:sz w:val="20"/>
                <w:szCs w:val="20"/>
                <w:color w:val="auto"/>
              </w:rPr>
            </w:pPr>
            <w:r>
              <w:rPr>
                <w:rFonts w:ascii="Arial" w:cs="Arial" w:eastAsia="Arial" w:hAnsi="Arial"/>
                <w:sz w:val="18"/>
                <w:szCs w:val="18"/>
                <w:color w:val="auto"/>
              </w:rPr>
              <w:t>Long-term corporate debt and borrowing arrangements consisted of:</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9"/>
              </w:rPr>
              <w:t>As of</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6"/>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450"/>
              <w:spacing w:after="0"/>
              <w:rPr>
                <w:sz w:val="20"/>
                <w:szCs w:val="20"/>
                <w:color w:val="auto"/>
              </w:rPr>
            </w:pPr>
            <w:r>
              <w:rPr>
                <w:rFonts w:ascii="Arial" w:cs="Arial" w:eastAsia="Arial" w:hAnsi="Arial"/>
                <w:sz w:val="16"/>
                <w:szCs w:val="16"/>
                <w:b w:val="1"/>
                <w:bCs w:val="1"/>
                <w:color w:val="auto"/>
              </w:rPr>
              <w:t>Maturity</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September 30,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76"/>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6"/>
                <w:szCs w:val="16"/>
                <w:b w:val="1"/>
                <w:bCs w:val="1"/>
                <w:color w:val="auto"/>
              </w:rPr>
              <w:t>Date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6"/>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5"/>
        </w:trPr>
        <w:tc>
          <w:tcPr>
            <w:tcW w:w="5780" w:type="dxa"/>
            <w:vAlign w:val="bottom"/>
          </w:tcPr>
          <w:p>
            <w:pPr>
              <w:ind w:left="520"/>
              <w:spacing w:after="0"/>
              <w:rPr>
                <w:sz w:val="20"/>
                <w:szCs w:val="20"/>
                <w:color w:val="auto"/>
              </w:rPr>
            </w:pPr>
            <w:r>
              <w:rPr>
                <w:rFonts w:ascii="Arial" w:cs="Arial" w:eastAsia="Arial" w:hAnsi="Arial"/>
                <w:sz w:val="16"/>
                <w:szCs w:val="16"/>
                <w:color w:val="auto"/>
              </w:rPr>
              <w:t>5½% Senior Notes</w:t>
            </w:r>
          </w:p>
        </w:tc>
        <w:tc>
          <w:tcPr>
            <w:tcW w:w="34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April 2023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6"/>
        </w:trPr>
        <w:tc>
          <w:tcPr>
            <w:tcW w:w="6120" w:type="dxa"/>
            <w:vAlign w:val="bottom"/>
            <w:gridSpan w:val="2"/>
          </w:tcPr>
          <w:p>
            <w:pPr>
              <w:ind w:left="520"/>
              <w:spacing w:after="0"/>
              <w:rPr>
                <w:sz w:val="20"/>
                <w:szCs w:val="20"/>
                <w:color w:val="auto"/>
              </w:rPr>
            </w:pPr>
            <w:r>
              <w:rPr>
                <w:rFonts w:ascii="Arial" w:cs="Arial" w:eastAsia="Arial" w:hAnsi="Arial"/>
                <w:sz w:val="16"/>
                <w:szCs w:val="16"/>
                <w:color w:val="auto"/>
              </w:rPr>
              <w:t>6⅜% Senior Notes</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April 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350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16"/>
        </w:trPr>
        <w:tc>
          <w:tcPr>
            <w:tcW w:w="6120" w:type="dxa"/>
            <w:vAlign w:val="bottom"/>
            <w:gridSpan w:val="2"/>
          </w:tcPr>
          <w:p>
            <w:pPr>
              <w:ind w:left="520"/>
              <w:spacing w:after="0"/>
              <w:rPr>
                <w:sz w:val="20"/>
                <w:szCs w:val="20"/>
                <w:color w:val="auto"/>
              </w:rPr>
            </w:pPr>
            <w:r>
              <w:rPr>
                <w:rFonts w:ascii="Arial" w:cs="Arial" w:eastAsia="Arial" w:hAnsi="Arial"/>
                <w:sz w:val="16"/>
                <w:szCs w:val="16"/>
                <w:color w:val="auto"/>
              </w:rPr>
              <w:t>4⅛% euro-denominated Senior Notes</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November 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352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16"/>
        </w:trPr>
        <w:tc>
          <w:tcPr>
            <w:tcW w:w="6120" w:type="dxa"/>
            <w:vAlign w:val="bottom"/>
            <w:gridSpan w:val="2"/>
          </w:tcPr>
          <w:p>
            <w:pPr>
              <w:ind w:left="520"/>
              <w:spacing w:after="0"/>
              <w:rPr>
                <w:sz w:val="20"/>
                <w:szCs w:val="20"/>
                <w:color w:val="auto"/>
              </w:rPr>
            </w:pPr>
            <w:r>
              <w:rPr>
                <w:rFonts w:ascii="Arial" w:cs="Arial" w:eastAsia="Arial" w:hAnsi="Arial"/>
                <w:sz w:val="16"/>
                <w:szCs w:val="16"/>
                <w:color w:val="auto"/>
              </w:rPr>
              <w:t>5¼% Senior Notes</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March 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375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16"/>
        </w:trPr>
        <w:tc>
          <w:tcPr>
            <w:tcW w:w="6120" w:type="dxa"/>
            <w:vAlign w:val="bottom"/>
            <w:gridSpan w:val="2"/>
          </w:tcPr>
          <w:p>
            <w:pPr>
              <w:ind w:left="520"/>
              <w:spacing w:after="0"/>
              <w:rPr>
                <w:sz w:val="20"/>
                <w:szCs w:val="20"/>
                <w:color w:val="auto"/>
              </w:rPr>
            </w:pPr>
            <w:r>
              <w:rPr>
                <w:rFonts w:ascii="Arial" w:cs="Arial" w:eastAsia="Arial" w:hAnsi="Arial"/>
                <w:sz w:val="16"/>
                <w:szCs w:val="16"/>
                <w:color w:val="auto"/>
              </w:rPr>
              <w:t>4½% euro-denominated Senior Notes</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May 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293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16"/>
        </w:trPr>
        <w:tc>
          <w:tcPr>
            <w:tcW w:w="6120" w:type="dxa"/>
            <w:vAlign w:val="bottom"/>
            <w:gridSpan w:val="2"/>
          </w:tcPr>
          <w:p>
            <w:pPr>
              <w:ind w:left="520"/>
              <w:spacing w:after="0"/>
              <w:rPr>
                <w:sz w:val="20"/>
                <w:szCs w:val="20"/>
                <w:color w:val="auto"/>
              </w:rPr>
            </w:pPr>
            <w:r>
              <w:rPr>
                <w:rFonts w:ascii="Arial" w:cs="Arial" w:eastAsia="Arial" w:hAnsi="Arial"/>
                <w:sz w:val="16"/>
                <w:szCs w:val="16"/>
                <w:color w:val="auto"/>
              </w:rPr>
              <w:t>10½% Senior Secured Notes</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May 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486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120" w:type="dxa"/>
            <w:vAlign w:val="bottom"/>
            <w:gridSpan w:val="2"/>
          </w:tcPr>
          <w:p>
            <w:pPr>
              <w:ind w:left="520"/>
              <w:spacing w:after="0"/>
              <w:rPr>
                <w:sz w:val="20"/>
                <w:szCs w:val="20"/>
                <w:color w:val="auto"/>
              </w:rPr>
            </w:pPr>
            <w:r>
              <w:rPr>
                <w:rFonts w:ascii="Arial" w:cs="Arial" w:eastAsia="Arial" w:hAnsi="Arial"/>
                <w:sz w:val="16"/>
                <w:szCs w:val="16"/>
                <w:color w:val="auto"/>
              </w:rPr>
              <w:t>4¾% euro-denominated Senior Notes</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January 2026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410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16"/>
        </w:trPr>
        <w:tc>
          <w:tcPr>
            <w:tcW w:w="6120" w:type="dxa"/>
            <w:vAlign w:val="bottom"/>
            <w:gridSpan w:val="2"/>
          </w:tcPr>
          <w:p>
            <w:pPr>
              <w:ind w:left="520"/>
              <w:spacing w:after="0"/>
              <w:rPr>
                <w:sz w:val="20"/>
                <w:szCs w:val="20"/>
                <w:color w:val="auto"/>
              </w:rPr>
            </w:pPr>
            <w:r>
              <w:rPr>
                <w:rFonts w:ascii="Arial" w:cs="Arial" w:eastAsia="Arial" w:hAnsi="Arial"/>
                <w:sz w:val="16"/>
                <w:szCs w:val="16"/>
                <w:color w:val="auto"/>
              </w:rPr>
              <w:t>5¾% Senior Notes</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July 2027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723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6"/>
        </w:trPr>
        <w:tc>
          <w:tcPr>
            <w:tcW w:w="6120" w:type="dxa"/>
            <w:vAlign w:val="bottom"/>
            <w:gridSpan w:val="2"/>
          </w:tcPr>
          <w:p>
            <w:pPr>
              <w:ind w:left="520"/>
              <w:spacing w:after="0" w:line="216" w:lineRule="exact"/>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(a)</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August 2027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1,201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1,112</w:t>
            </w:r>
          </w:p>
        </w:tc>
        <w:tc>
          <w:tcPr>
            <w:tcW w:w="0" w:type="dxa"/>
            <w:vAlign w:val="bottom"/>
          </w:tcPr>
          <w:p>
            <w:pPr>
              <w:spacing w:after="0"/>
              <w:rPr>
                <w:sz w:val="1"/>
                <w:szCs w:val="1"/>
                <w:color w:val="auto"/>
              </w:rPr>
            </w:pPr>
          </w:p>
        </w:tc>
      </w:tr>
      <w:tr>
        <w:trPr>
          <w:trHeight w:val="216"/>
        </w:trPr>
        <w:tc>
          <w:tcPr>
            <w:tcW w:w="6120" w:type="dxa"/>
            <w:vAlign w:val="bottom"/>
            <w:gridSpan w:val="2"/>
          </w:tcPr>
          <w:p>
            <w:pPr>
              <w:ind w:left="5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6120" w:type="dxa"/>
            <w:vAlign w:val="bottom"/>
            <w:gridSpan w:val="2"/>
          </w:tcPr>
          <w:p>
            <w:pPr>
              <w:ind w:left="520"/>
              <w:spacing w:after="0"/>
              <w:rPr>
                <w:sz w:val="20"/>
                <w:szCs w:val="20"/>
                <w:color w:val="auto"/>
              </w:rPr>
            </w:pPr>
            <w:r>
              <w:rPr>
                <w:rFonts w:ascii="Arial" w:cs="Arial" w:eastAsia="Arial" w:hAnsi="Arial"/>
                <w:sz w:val="16"/>
                <w:szCs w:val="16"/>
                <w:color w:val="auto"/>
              </w:rPr>
              <w:t>Deferred financing fees</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(50)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7"/>
        </w:trPr>
        <w:tc>
          <w:tcPr>
            <w:tcW w:w="6120" w:type="dxa"/>
            <w:vAlign w:val="bottom"/>
            <w:gridSpan w:val="2"/>
          </w:tcPr>
          <w:p>
            <w:pPr>
              <w:ind w:left="520"/>
              <w:spacing w:after="0"/>
              <w:rPr>
                <w:sz w:val="20"/>
                <w:szCs w:val="20"/>
                <w:color w:val="auto"/>
              </w:rPr>
            </w:pPr>
            <w:r>
              <w:rPr>
                <w:rFonts w:ascii="Arial" w:cs="Arial" w:eastAsia="Arial" w:hAnsi="Arial"/>
                <w:sz w:val="16"/>
                <w:szCs w:val="16"/>
                <w:color w:val="auto"/>
              </w:rPr>
              <w:t>Total</w:t>
            </w: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4,164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3,435</w:t>
            </w:r>
          </w:p>
        </w:tc>
        <w:tc>
          <w:tcPr>
            <w:tcW w:w="0" w:type="dxa"/>
            <w:vAlign w:val="bottom"/>
          </w:tcPr>
          <w:p>
            <w:pPr>
              <w:spacing w:after="0"/>
              <w:rPr>
                <w:sz w:val="1"/>
                <w:szCs w:val="1"/>
                <w:color w:val="auto"/>
              </w:rPr>
            </w:pPr>
          </w:p>
        </w:tc>
      </w:tr>
      <w:tr>
        <w:trPr>
          <w:trHeight w:val="220"/>
        </w:trPr>
        <w:tc>
          <w:tcPr>
            <w:tcW w:w="6120" w:type="dxa"/>
            <w:vAlign w:val="bottom"/>
            <w:gridSpan w:val="2"/>
          </w:tcPr>
          <w:p>
            <w:pPr>
              <w:ind w:left="520"/>
              <w:spacing w:after="0"/>
              <w:rPr>
                <w:sz w:val="20"/>
                <w:szCs w:val="20"/>
                <w:color w:val="auto"/>
              </w:rPr>
            </w:pPr>
            <w:r>
              <w:rPr>
                <w:rFonts w:ascii="Arial" w:cs="Arial" w:eastAsia="Arial" w:hAnsi="Arial"/>
                <w:sz w:val="16"/>
                <w:szCs w:val="16"/>
                <w:color w:val="auto"/>
              </w:rPr>
              <w:t>Less: Short-term debt and current portion of long-term debt</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19</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0"/>
        </w:trPr>
        <w:tc>
          <w:tcPr>
            <w:tcW w:w="6120" w:type="dxa"/>
            <w:vAlign w:val="bottom"/>
            <w:gridSpan w:val="2"/>
          </w:tcPr>
          <w:p>
            <w:pPr>
              <w:ind w:left="520"/>
              <w:spacing w:after="0"/>
              <w:rPr>
                <w:sz w:val="20"/>
                <w:szCs w:val="20"/>
                <w:color w:val="auto"/>
              </w:rPr>
            </w:pPr>
            <w:r>
              <w:rPr>
                <w:rFonts w:ascii="Arial" w:cs="Arial" w:eastAsia="Arial" w:hAnsi="Arial"/>
                <w:sz w:val="16"/>
                <w:szCs w:val="16"/>
                <w:color w:val="auto"/>
              </w:rPr>
              <w:t>Long-term debt</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4,145</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3,416</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820" w:right="40" w:hanging="326"/>
        <w:spacing w:after="0" w:line="224" w:lineRule="auto"/>
        <w:tabs>
          <w:tab w:leader="none" w:pos="813"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The floating rate term loan is part of the Company’s senior revolving credit facility, which is secured by pledges of capital stock of certain subsidiaries of the Company, and liens on substantially all of the Company’s intellectual property and certain other real and personal property. As of September 30, 2020, the floating rate term loan due 2027 bears interest at one-month LIBOR plus 225 basis points, for an aggregate rate of 2.40%. The Company has entered into a swap to hedge $700 million of its interest rate exposure related to the floating rate term loan at an aggregate rate of 4.58%.</w:t>
      </w:r>
    </w:p>
    <w:p>
      <w:pPr>
        <w:spacing w:after="0" w:line="1" w:lineRule="exact"/>
        <w:rPr>
          <w:rFonts w:ascii="Arial" w:cs="Arial" w:eastAsia="Arial" w:hAnsi="Arial"/>
          <w:sz w:val="19"/>
          <w:szCs w:val="19"/>
          <w:color w:val="auto"/>
          <w:vertAlign w:val="superscript"/>
        </w:rPr>
      </w:pPr>
    </w:p>
    <w:p>
      <w:pPr>
        <w:ind w:left="820" w:hanging="326"/>
        <w:spacing w:after="0" w:line="193" w:lineRule="auto"/>
        <w:tabs>
          <w:tab w:leader="none" w:pos="82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Primarily includes finance leases which are secured by liens on the related assets.</w:t>
      </w:r>
    </w:p>
    <w:p>
      <w:pPr>
        <w:spacing w:after="0" w:line="202" w:lineRule="exact"/>
        <w:rPr>
          <w:sz w:val="20"/>
          <w:szCs w:val="20"/>
          <w:color w:val="auto"/>
        </w:rPr>
      </w:pPr>
    </w:p>
    <w:p>
      <w:pPr>
        <w:jc w:val="both"/>
        <w:ind w:left="500" w:right="200"/>
        <w:spacing w:after="0" w:line="264" w:lineRule="auto"/>
        <w:rPr>
          <w:sz w:val="20"/>
          <w:szCs w:val="20"/>
          <w:color w:val="auto"/>
        </w:rPr>
      </w:pPr>
      <w:r>
        <w:rPr>
          <w:rFonts w:ascii="Arial" w:cs="Arial" w:eastAsia="Arial" w:hAnsi="Arial"/>
          <w:sz w:val="18"/>
          <w:szCs w:val="18"/>
          <w:color w:val="auto"/>
        </w:rPr>
        <w:t>In February 2020, the Company amended its Floating Rate Term Loan due 2025 to extend its maturity term to 2027 and reduce its interest to one-month LIBOR plus 1.75%. The Company increased the outstanding borrowing principal amount of the Floating Rate Term Loan to $1.2 billion and on April 1, 2020 used the additional loan amount to redeem $100 million of its outstanding 5½% Senior Notes due 2023.</w:t>
      </w:r>
    </w:p>
    <w:p>
      <w:pPr>
        <w:sectPr>
          <w:pgSz w:w="11900" w:h="16838" w:orient="portrait"/>
          <w:cols w:equalWidth="0" w:num="1">
            <w:col w:w="11220"/>
          </w:cols>
          <w:pgMar w:left="320" w:top="11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spacing w:after="0" w:line="271" w:lineRule="auto"/>
        <w:rPr>
          <w:sz w:val="20"/>
          <w:szCs w:val="20"/>
          <w:color w:val="auto"/>
        </w:rPr>
      </w:pPr>
      <w:r>
        <w:rPr>
          <w:rFonts w:ascii="Arial" w:cs="Arial" w:eastAsia="Arial" w:hAnsi="Arial"/>
          <w:sz w:val="18"/>
          <w:szCs w:val="18"/>
          <w:color w:val="auto"/>
        </w:rPr>
        <w:t>In May 2020, the Company issued $500 million of 10½% Senior Secured Notes due May 2025, at 97% of face value. The notes are guaranteed on a senior unsecured basis by the Company and on a senior secured basis by certain of the Company’s subsidiaries. The Company used the proceeds from this offering for general corporate purposes.</w:t>
      </w:r>
    </w:p>
    <w:p>
      <w:pPr>
        <w:spacing w:after="0" w:line="190" w:lineRule="exact"/>
        <w:rPr>
          <w:sz w:val="20"/>
          <w:szCs w:val="20"/>
          <w:color w:val="auto"/>
        </w:rPr>
      </w:pPr>
    </w:p>
    <w:p>
      <w:pPr>
        <w:jc w:val="both"/>
        <w:ind w:left="500" w:right="380"/>
        <w:spacing w:after="0" w:line="264" w:lineRule="auto"/>
        <w:rPr>
          <w:sz w:val="20"/>
          <w:szCs w:val="20"/>
          <w:color w:val="auto"/>
        </w:rPr>
      </w:pPr>
      <w:r>
        <w:rPr>
          <w:rFonts w:ascii="Arial" w:cs="Arial" w:eastAsia="Arial" w:hAnsi="Arial"/>
          <w:sz w:val="18"/>
          <w:szCs w:val="18"/>
          <w:color w:val="auto"/>
        </w:rPr>
        <w:t>In August 2020, the Company issued $350 million of additional 5¾% Senior Notes due July 2027, at 92% of face value, under the indenture governing our existing 5¾% Senior Notes. The notes are guaranteed on a senior unsecured basis by the Company and certain of its subsidiaries. The Company used the proceeds from this offering to redeem the outstanding $100 million in aggregate principal amount of its 5½% Senior Notes due 2023, with the remainder being used for general corporate purposes.</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 September 30, 2020, the committed corporate credit facilities available to the Company and/or its subsidiaries were as follows:</w:t>
      </w:r>
    </w:p>
    <w:p>
      <w:pPr>
        <w:spacing w:after="0" w:line="37"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Total</w:t>
            </w:r>
          </w:p>
        </w:tc>
        <w:tc>
          <w:tcPr>
            <w:tcW w:w="180" w:type="dxa"/>
            <w:vAlign w:val="bottom"/>
          </w:tcPr>
          <w:p>
            <w:pPr>
              <w:spacing w:after="0"/>
              <w:rPr>
                <w:sz w:val="16"/>
                <w:szCs w:val="16"/>
                <w:color w:val="auto"/>
              </w:rPr>
            </w:pPr>
          </w:p>
        </w:tc>
        <w:tc>
          <w:tcPr>
            <w:tcW w:w="1500" w:type="dxa"/>
            <w:vAlign w:val="bottom"/>
            <w:gridSpan w:val="3"/>
          </w:tcPr>
          <w:p>
            <w:pPr>
              <w:jc w:val="center"/>
              <w:ind w:right="339"/>
              <w:spacing w:after="0"/>
              <w:rPr>
                <w:sz w:val="20"/>
                <w:szCs w:val="20"/>
                <w:color w:val="auto"/>
              </w:rPr>
            </w:pPr>
            <w:r>
              <w:rPr>
                <w:rFonts w:ascii="Arial" w:cs="Arial" w:eastAsia="Arial" w:hAnsi="Arial"/>
                <w:sz w:val="16"/>
                <w:szCs w:val="16"/>
                <w:b w:val="1"/>
                <w:bCs w:val="1"/>
                <w:color w:val="auto"/>
              </w:rPr>
              <w:t>Outstanding</w:t>
            </w: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Letters of</w:t>
            </w:r>
          </w:p>
        </w:tc>
        <w:tc>
          <w:tcPr>
            <w:tcW w:w="220" w:type="dxa"/>
            <w:vAlign w:val="bottom"/>
          </w:tcPr>
          <w:p>
            <w:pPr>
              <w:spacing w:after="0"/>
              <w:rPr>
                <w:sz w:val="16"/>
                <w:szCs w:val="16"/>
                <w:color w:val="auto"/>
              </w:rPr>
            </w:pPr>
          </w:p>
        </w:tc>
        <w:tc>
          <w:tcPr>
            <w:tcW w:w="1180" w:type="dxa"/>
            <w:vAlign w:val="bottom"/>
          </w:tcPr>
          <w:p>
            <w:pPr>
              <w:ind w:left="120"/>
              <w:spacing w:after="0"/>
              <w:rPr>
                <w:sz w:val="20"/>
                <w:szCs w:val="20"/>
                <w:color w:val="auto"/>
              </w:rPr>
            </w:pPr>
            <w:r>
              <w:rPr>
                <w:rFonts w:ascii="Arial" w:cs="Arial" w:eastAsia="Arial" w:hAnsi="Arial"/>
                <w:sz w:val="16"/>
                <w:szCs w:val="16"/>
                <w:b w:val="1"/>
                <w:bCs w:val="1"/>
                <w:color w:val="auto"/>
              </w:rPr>
              <w:t>Available</w:t>
            </w:r>
          </w:p>
        </w:tc>
      </w:tr>
      <w:tr>
        <w:trPr>
          <w:trHeight w:val="216"/>
        </w:trPr>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Capacity</w:t>
            </w:r>
          </w:p>
        </w:tc>
        <w:tc>
          <w:tcPr>
            <w:tcW w:w="180" w:type="dxa"/>
            <w:vAlign w:val="bottom"/>
          </w:tcPr>
          <w:p>
            <w:pPr>
              <w:spacing w:after="0"/>
              <w:rPr>
                <w:sz w:val="18"/>
                <w:szCs w:val="18"/>
                <w:color w:val="auto"/>
              </w:rPr>
            </w:pPr>
          </w:p>
        </w:tc>
        <w:tc>
          <w:tcPr>
            <w:tcW w:w="1500" w:type="dxa"/>
            <w:vAlign w:val="bottom"/>
            <w:gridSpan w:val="3"/>
          </w:tcPr>
          <w:p>
            <w:pPr>
              <w:jc w:val="center"/>
              <w:ind w:right="359"/>
              <w:spacing w:after="0"/>
              <w:rPr>
                <w:sz w:val="20"/>
                <w:szCs w:val="20"/>
                <w:color w:val="auto"/>
              </w:rPr>
            </w:pPr>
            <w:r>
              <w:rPr>
                <w:rFonts w:ascii="Arial" w:cs="Arial" w:eastAsia="Arial" w:hAnsi="Arial"/>
                <w:sz w:val="16"/>
                <w:szCs w:val="16"/>
                <w:b w:val="1"/>
                <w:bCs w:val="1"/>
                <w:color w:val="auto"/>
              </w:rPr>
              <w:t>Borrowings</w:t>
            </w: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Credit Issued</w:t>
            </w:r>
          </w:p>
        </w:tc>
        <w:tc>
          <w:tcPr>
            <w:tcW w:w="220" w:type="dxa"/>
            <w:vAlign w:val="bottom"/>
          </w:tcPr>
          <w:p>
            <w:pPr>
              <w:spacing w:after="0"/>
              <w:rPr>
                <w:sz w:val="18"/>
                <w:szCs w:val="18"/>
                <w:color w:val="auto"/>
              </w:rPr>
            </w:pPr>
          </w:p>
        </w:tc>
        <w:tc>
          <w:tcPr>
            <w:tcW w:w="1180" w:type="dxa"/>
            <w:vAlign w:val="bottom"/>
          </w:tcPr>
          <w:p>
            <w:pPr>
              <w:ind w:left="140"/>
              <w:spacing w:after="0"/>
              <w:rPr>
                <w:sz w:val="20"/>
                <w:szCs w:val="20"/>
                <w:color w:val="auto"/>
              </w:rPr>
            </w:pPr>
            <w:r>
              <w:rPr>
                <w:rFonts w:ascii="Arial" w:cs="Arial" w:eastAsia="Arial" w:hAnsi="Arial"/>
                <w:sz w:val="16"/>
                <w:szCs w:val="16"/>
                <w:b w:val="1"/>
                <w:bCs w:val="1"/>
                <w:color w:val="auto"/>
              </w:rPr>
              <w:t>Capacity</w:t>
            </w:r>
          </w:p>
        </w:tc>
      </w:tr>
      <w:tr>
        <w:trPr>
          <w:trHeight w:val="212"/>
        </w:trPr>
        <w:tc>
          <w:tcPr>
            <w:tcW w:w="420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2023 </w:t>
            </w:r>
            <w:r>
              <w:rPr>
                <w:rFonts w:ascii="Arial" w:cs="Arial" w:eastAsia="Arial" w:hAnsi="Arial"/>
                <w:sz w:val="9"/>
                <w:szCs w:val="9"/>
                <w:color w:val="auto"/>
              </w:rPr>
              <w:t>(a)</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982</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818</w:t>
            </w:r>
          </w:p>
        </w:tc>
      </w:tr>
      <w:tr>
        <w:trPr>
          <w:trHeight w:val="277"/>
        </w:trPr>
        <w:tc>
          <w:tcPr>
            <w:tcW w:w="4200" w:type="dxa"/>
            <w:vAlign w:val="bottom"/>
          </w:tcPr>
          <w:p>
            <w:pPr>
              <w:spacing w:after="0"/>
              <w:rPr>
                <w:sz w:val="20"/>
                <w:szCs w:val="20"/>
                <w:color w:val="auto"/>
              </w:rPr>
            </w:pPr>
            <w:r>
              <w:rPr>
                <w:rFonts w:ascii="Arial" w:cs="Arial" w:eastAsia="Arial" w:hAnsi="Arial"/>
                <w:sz w:val="16"/>
                <w:szCs w:val="16"/>
                <w:color w:val="auto"/>
              </w:rPr>
              <w:t>__________</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ind w:left="820" w:right="180" w:hanging="326"/>
        <w:spacing w:after="0" w:line="201" w:lineRule="auto"/>
        <w:tabs>
          <w:tab w:leader="none" w:pos="813"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The senior revolving credit facility bears interest at one-month LIBOR plus 250 basis points and is part of the Company’s senior credit facilities, which include the floating rate term loan and the senior revolving credit facility, and which are secured by pledges of capital stock of certain subsidiaries of the Company, liens on substantially all of the Company’s intellectual property and certain other real and personal property.</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52" w:lineRule="exact"/>
        <w:rPr>
          <w:sz w:val="20"/>
          <w:szCs w:val="20"/>
          <w:color w:val="auto"/>
        </w:rPr>
      </w:pPr>
    </w:p>
    <w:p>
      <w:pPr>
        <w:ind w:left="500" w:right="140"/>
        <w:spacing w:after="0" w:line="258" w:lineRule="auto"/>
        <w:rPr>
          <w:sz w:val="20"/>
          <w:szCs w:val="20"/>
          <w:color w:val="auto"/>
        </w:rPr>
      </w:pPr>
      <w:r>
        <w:rPr>
          <w:rFonts w:ascii="Arial" w:cs="Arial" w:eastAsia="Arial" w:hAnsi="Arial"/>
          <w:sz w:val="18"/>
          <w:szCs w:val="18"/>
          <w:color w:val="auto"/>
        </w:rPr>
        <w:t xml:space="preserve">The agreements governing the Company’s indebtedness contain restrictive covenants, including restrictions on dividends paid to the Company by certain of its subsidiaries, the incurrence of additional indebtedness by the Company and certain of its subsidiaries, acquisitions, mergers, liquidations, and sale and leaseback transactions. The Company’s senior credit facilities also contain a consolidated first lien leverage ratio requirement which has been amended to provide a holiday from such leverage covenant through June 30, 2021 (See Note 1 </w:t>
      </w:r>
      <w:r>
        <w:rPr>
          <w:rFonts w:ascii="Arial" w:cs="Arial" w:eastAsia="Arial" w:hAnsi="Arial"/>
          <w:sz w:val="14"/>
          <w:szCs w:val="14"/>
          <w:color w:val="auto"/>
        </w:rPr>
        <w:t>–</w:t>
      </w:r>
      <w:r>
        <w:rPr>
          <w:rFonts w:ascii="Arial" w:cs="Arial" w:eastAsia="Arial" w:hAnsi="Arial"/>
          <w:sz w:val="18"/>
          <w:szCs w:val="18"/>
          <w:color w:val="auto"/>
        </w:rPr>
        <w:t xml:space="preserve"> Basis of Presentation). As of September 30, 2020, the Company was in compliance with the financial covenants governing its indebtedness.</w:t>
      </w:r>
    </w:p>
    <w:p>
      <w:pPr>
        <w:spacing w:after="0" w:line="202"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254" w:lineRule="exact"/>
        <w:rPr>
          <w:sz w:val="20"/>
          <w:szCs w:val="20"/>
          <w:color w:val="auto"/>
        </w:rPr>
      </w:pPr>
    </w:p>
    <w:p>
      <w:pPr>
        <w:ind w:left="500" w:right="100"/>
        <w:spacing w:after="0" w:line="272" w:lineRule="auto"/>
        <w:rPr>
          <w:sz w:val="20"/>
          <w:szCs w:val="20"/>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As of</w:t>
            </w:r>
          </w:p>
        </w:tc>
        <w:tc>
          <w:tcPr>
            <w:tcW w:w="180" w:type="dxa"/>
            <w:vAlign w:val="bottom"/>
          </w:tcPr>
          <w:p>
            <w:pPr>
              <w:spacing w:after="0"/>
              <w:rPr>
                <w:sz w:val="19"/>
                <w:szCs w:val="19"/>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As of</w:t>
            </w:r>
          </w:p>
        </w:tc>
        <w:tc>
          <w:tcPr>
            <w:tcW w:w="0" w:type="dxa"/>
            <w:vAlign w:val="bottom"/>
          </w:tcPr>
          <w:p>
            <w:pPr>
              <w:spacing w:after="0"/>
              <w:rPr>
                <w:sz w:val="1"/>
                <w:szCs w:val="1"/>
                <w:color w:val="auto"/>
              </w:rPr>
            </w:pPr>
          </w:p>
        </w:tc>
      </w:tr>
      <w:tr>
        <w:trPr>
          <w:trHeight w:val="229"/>
        </w:trPr>
        <w:tc>
          <w:tcPr>
            <w:tcW w:w="6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9"/>
                <w:szCs w:val="19"/>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6760" w:type="dxa"/>
            <w:vAlign w:val="bottom"/>
            <w:vMerge w:val="restart"/>
          </w:tcPr>
          <w:p>
            <w:pPr>
              <w:spacing w:after="0"/>
              <w:rPr>
                <w:sz w:val="20"/>
                <w:szCs w:val="20"/>
                <w:color w:val="auto"/>
              </w:rPr>
            </w:pPr>
            <w:r>
              <w:rPr>
                <w:rFonts w:ascii="Arial" w:cs="Arial" w:eastAsia="Arial" w:hAnsi="Arial"/>
                <w:sz w:val="18"/>
                <w:szCs w:val="18"/>
                <w:color w:val="auto"/>
              </w:rPr>
              <w:t>Americas - Debt due to Avis Budget Rental Car Funding</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14"/>
        </w:trPr>
        <w:tc>
          <w:tcPr>
            <w:tcW w:w="67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6,144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7,975</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Americas - Debt borrowings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International - Debt borrowings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27"/>
        </w:trPr>
        <w:tc>
          <w:tcPr>
            <w:tcW w:w="6760" w:type="dxa"/>
            <w:vAlign w:val="bottom"/>
          </w:tcPr>
          <w:p>
            <w:pPr>
              <w:spacing w:after="0"/>
              <w:rPr>
                <w:sz w:val="20"/>
                <w:szCs w:val="20"/>
                <w:color w:val="auto"/>
              </w:rPr>
            </w:pPr>
            <w:r>
              <w:rPr>
                <w:rFonts w:ascii="Arial" w:cs="Arial" w:eastAsia="Arial" w:hAnsi="Arial"/>
                <w:sz w:val="18"/>
                <w:szCs w:val="18"/>
                <w:color w:val="auto"/>
              </w:rPr>
              <w:t>International - Finance leases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1"/>
        </w:trPr>
        <w:tc>
          <w:tcPr>
            <w:tcW w:w="6760" w:type="dxa"/>
            <w:vAlign w:val="bottom"/>
          </w:tcPr>
          <w:p>
            <w:pPr>
              <w:spacing w:after="0" w:line="241" w:lineRule="exact"/>
              <w:rPr>
                <w:sz w:val="20"/>
                <w:szCs w:val="20"/>
                <w:color w:val="auto"/>
              </w:rPr>
            </w:pPr>
            <w:r>
              <w:rPr>
                <w:rFonts w:ascii="Arial" w:cs="Arial" w:eastAsia="Arial" w:hAnsi="Arial"/>
                <w:sz w:val="18"/>
                <w:szCs w:val="18"/>
                <w:color w:val="auto"/>
              </w:rPr>
              <w:t xml:space="preserve">Deferred financing fees </w:t>
            </w:r>
            <w:r>
              <w:rPr>
                <w:rFonts w:ascii="Arial" w:cs="Arial" w:eastAsia="Arial" w:hAnsi="Arial"/>
                <w:sz w:val="23"/>
                <w:szCs w:val="23"/>
                <w:color w:val="auto"/>
                <w:vertAlign w:val="superscript"/>
              </w:rPr>
              <w:t>(a)</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11,068</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ind w:left="820" w:right="40" w:hanging="326"/>
        <w:spacing w:after="0" w:line="266" w:lineRule="auto"/>
        <w:tabs>
          <w:tab w:leader="none" w:pos="813" w:val="left"/>
        </w:tabs>
        <w:numPr>
          <w:ilvl w:val="0"/>
          <w:numId w:val="23"/>
        </w:numPr>
        <w:rPr>
          <w:rFonts w:ascii="Arial" w:cs="Arial" w:eastAsia="Arial" w:hAnsi="Arial"/>
          <w:sz w:val="9"/>
          <w:szCs w:val="9"/>
          <w:color w:val="auto"/>
        </w:rPr>
      </w:pPr>
      <w:r>
        <w:rPr>
          <w:rFonts w:ascii="Arial" w:cs="Arial" w:eastAsia="Arial" w:hAnsi="Arial"/>
          <w:sz w:val="18"/>
          <w:szCs w:val="18"/>
          <w:color w:val="auto"/>
        </w:rPr>
        <w:t>Deferred financing fees related to Debt due to Avis Budget Rental Car Funding as of September 30, 2020 and December 31, 2019 were $39 million and $40 million, respectively</w:t>
      </w:r>
    </w:p>
    <w:p>
      <w:pPr>
        <w:spacing w:after="0" w:line="194" w:lineRule="exact"/>
        <w:rPr>
          <w:sz w:val="20"/>
          <w:szCs w:val="20"/>
          <w:color w:val="auto"/>
        </w:rPr>
      </w:pPr>
    </w:p>
    <w:p>
      <w:pPr>
        <w:ind w:left="500" w:right="100"/>
        <w:spacing w:after="0" w:line="292" w:lineRule="auto"/>
        <w:rPr>
          <w:sz w:val="20"/>
          <w:szCs w:val="20"/>
          <w:color w:val="auto"/>
        </w:rPr>
      </w:pPr>
      <w:r>
        <w:rPr>
          <w:rFonts w:ascii="Arial" w:cs="Arial" w:eastAsia="Arial" w:hAnsi="Arial"/>
          <w:sz w:val="18"/>
          <w:szCs w:val="18"/>
          <w:color w:val="auto"/>
        </w:rPr>
        <w:t>In January 2020, the Company’s Avis Budget Rental Car Funding subsidiary issued approximately $ 700 million in asset-backed notes with an expected final payment date of August 2025, incurring interest at a weighted average rate of 2.42%.</w:t>
      </w:r>
    </w:p>
    <w:p>
      <w:pPr>
        <w:spacing w:after="0" w:line="171" w:lineRule="exact"/>
        <w:rPr>
          <w:sz w:val="20"/>
          <w:szCs w:val="20"/>
          <w:color w:val="auto"/>
        </w:rPr>
      </w:pPr>
    </w:p>
    <w:p>
      <w:pPr>
        <w:ind w:left="500" w:right="180"/>
        <w:spacing w:after="0" w:line="292" w:lineRule="auto"/>
        <w:rPr>
          <w:sz w:val="20"/>
          <w:szCs w:val="20"/>
          <w:color w:val="auto"/>
        </w:rPr>
      </w:pPr>
      <w:r>
        <w:rPr>
          <w:rFonts w:ascii="Arial" w:cs="Arial" w:eastAsia="Arial" w:hAnsi="Arial"/>
          <w:sz w:val="18"/>
          <w:szCs w:val="18"/>
          <w:color w:val="auto"/>
        </w:rPr>
        <w:t>In August 2020, the Company’s Avis Budget Rental Car Funding subsidiary issued approximately $650 million in asset-backed notes with an expected final payment date of February 2026, incurring interest at a</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weighted average rate of 2.28%.</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Maturities</w:t>
      </w:r>
    </w:p>
    <w:p>
      <w:pPr>
        <w:spacing w:after="0" w:line="252" w:lineRule="exact"/>
        <w:rPr>
          <w:sz w:val="20"/>
          <w:szCs w:val="20"/>
          <w:color w:val="auto"/>
        </w:rPr>
      </w:pPr>
    </w:p>
    <w:p>
      <w:pPr>
        <w:ind w:left="500" w:right="40"/>
        <w:spacing w:after="0" w:line="272" w:lineRule="auto"/>
        <w:rPr>
          <w:sz w:val="20"/>
          <w:szCs w:val="20"/>
          <w:color w:val="auto"/>
        </w:rPr>
      </w:pPr>
      <w:r>
        <w:rPr>
          <w:rFonts w:ascii="Arial" w:cs="Arial" w:eastAsia="Arial" w:hAnsi="Arial"/>
          <w:sz w:val="18"/>
          <w:szCs w:val="18"/>
          <w:color w:val="auto"/>
        </w:rPr>
        <w:t>The following table provides the contractual maturities of the Company’s debt under vehicle programs, including related party debt due to Avis Budget Rental Car Funding, at September 30, 2020.</w:t>
      </w:r>
    </w:p>
    <w:p>
      <w:pPr>
        <w:jc w:val="center"/>
        <w:ind w:left="8440"/>
        <w:spacing w:after="0" w:line="232" w:lineRule="auto"/>
        <w:rPr>
          <w:sz w:val="20"/>
          <w:szCs w:val="20"/>
          <w:color w:val="auto"/>
        </w:rPr>
      </w:pPr>
      <w:r>
        <w:rPr>
          <w:rFonts w:ascii="Arial" w:cs="Arial" w:eastAsia="Arial" w:hAnsi="Arial"/>
          <w:sz w:val="18"/>
          <w:szCs w:val="18"/>
          <w:b w:val="1"/>
          <w:bCs w:val="1"/>
          <w:color w:val="auto"/>
        </w:rPr>
        <w:t>Debt under</w:t>
      </w:r>
    </w:p>
    <w:p>
      <w:pPr>
        <w:jc w:val="center"/>
        <w:ind w:left="8440"/>
        <w:spacing w:after="0" w:line="194" w:lineRule="auto"/>
        <w:rPr>
          <w:sz w:val="20"/>
          <w:szCs w:val="20"/>
          <w:color w:val="auto"/>
        </w:rPr>
      </w:pPr>
      <w:r>
        <w:rPr>
          <w:rFonts w:ascii="Arial" w:cs="Arial" w:eastAsia="Arial" w:hAnsi="Arial"/>
          <w:sz w:val="12"/>
          <w:szCs w:val="12"/>
          <w:b w:val="1"/>
          <w:bCs w:val="1"/>
          <w:color w:val="auto"/>
        </w:rPr>
        <w:t>Vehicle Programs</w:t>
      </w:r>
    </w:p>
    <w:p>
      <w:pPr>
        <w:ind w:left="9780"/>
        <w:spacing w:after="0"/>
        <w:rPr>
          <w:sz w:val="20"/>
          <w:szCs w:val="20"/>
          <w:color w:val="auto"/>
        </w:rPr>
      </w:pPr>
      <w:r>
        <w:rPr>
          <w:rFonts w:ascii="Arial" w:cs="Arial" w:eastAsia="Arial" w:hAnsi="Arial"/>
          <w:sz w:val="12"/>
          <w:szCs w:val="12"/>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48260</wp:posOffset>
            </wp:positionV>
            <wp:extent cx="10369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Within 1 year </w:t>
      </w:r>
      <w:r>
        <w:rPr>
          <w:rFonts w:ascii="Arial" w:cs="Arial" w:eastAsia="Arial" w:hAnsi="Arial"/>
          <w:sz w:val="23"/>
          <w:szCs w:val="23"/>
          <w:color w:val="auto"/>
          <w:vertAlign w:val="superscript"/>
        </w:rPr>
        <w:t>(b)</w:t>
      </w:r>
    </w:p>
    <w:p>
      <w:pPr>
        <w:ind w:left="520"/>
        <w:spacing w:after="0" w:line="217" w:lineRule="auto"/>
        <w:rPr>
          <w:sz w:val="20"/>
          <w:szCs w:val="20"/>
          <w:color w:val="auto"/>
        </w:rPr>
      </w:pPr>
      <w:r>
        <w:rPr>
          <w:rFonts w:ascii="Arial" w:cs="Arial" w:eastAsia="Arial" w:hAnsi="Arial"/>
          <w:sz w:val="18"/>
          <w:szCs w:val="18"/>
          <w:color w:val="auto"/>
        </w:rPr>
        <w:t xml:space="preserve">Between 1 and 2 years </w:t>
      </w:r>
      <w:r>
        <w:rPr>
          <w:rFonts w:ascii="Arial" w:cs="Arial" w:eastAsia="Arial" w:hAnsi="Arial"/>
          <w:sz w:val="23"/>
          <w:szCs w:val="23"/>
          <w:color w:val="auto"/>
          <w:vertAlign w:val="superscript"/>
        </w:rPr>
        <w:t>(c)</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Between 2 and 3 years</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Between 3 and 4 years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Between 4 and 5 years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Thereafter</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760" w:hanging="266"/>
        <w:spacing w:after="0" w:line="208" w:lineRule="auto"/>
        <w:tabs>
          <w:tab w:leader="none" w:pos="76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Vehicle-backed debt primarily represents asset-backed securities.</w:t>
      </w:r>
    </w:p>
    <w:p>
      <w:pPr>
        <w:ind w:left="760" w:hanging="266"/>
        <w:spacing w:after="0" w:line="187" w:lineRule="auto"/>
        <w:tabs>
          <w:tab w:leader="none" w:pos="76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Includes $1.5 billion of bank and bank-sponsored facilities.</w:t>
      </w:r>
    </w:p>
    <w:p>
      <w:pPr>
        <w:ind w:left="760" w:hanging="266"/>
        <w:spacing w:after="0" w:line="193" w:lineRule="auto"/>
        <w:tabs>
          <w:tab w:leader="none" w:pos="76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Includes $0.5 billion of bank and bank-sponsored facilities.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Committed Credit Facilities and Available Funding Arrangements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1096" w:hanging="1096"/>
        <w:spacing w:after="0"/>
        <w:tabs>
          <w:tab w:leader="none" w:pos="1096" w:val="left"/>
        </w:tabs>
        <w:numPr>
          <w:ilvl w:val="0"/>
          <w:numId w:val="25"/>
        </w:numPr>
        <w:rPr>
          <w:rFonts w:ascii="Arial" w:cs="Arial" w:eastAsia="Arial" w:hAnsi="Arial"/>
          <w:sz w:val="17"/>
          <w:szCs w:val="17"/>
          <w:color w:val="auto"/>
        </w:rPr>
      </w:pPr>
      <w:r>
        <w:rPr>
          <w:rFonts w:ascii="Arial" w:cs="Arial" w:eastAsia="Arial" w:hAnsi="Arial"/>
          <w:sz w:val="17"/>
          <w:szCs w:val="17"/>
          <w:color w:val="auto"/>
        </w:rPr>
        <w:t>2,588</w:t>
      </w:r>
    </w:p>
    <w:p>
      <w:pPr>
        <w:spacing w:after="0" w:line="47" w:lineRule="exact"/>
        <w:rPr>
          <w:rFonts w:ascii="Arial" w:cs="Arial" w:eastAsia="Arial" w:hAnsi="Arial"/>
          <w:sz w:val="17"/>
          <w:szCs w:val="17"/>
          <w:color w:val="auto"/>
        </w:rPr>
      </w:pPr>
    </w:p>
    <w:p>
      <w:pPr>
        <w:ind w:left="1096"/>
        <w:spacing w:after="0"/>
        <w:rPr>
          <w:rFonts w:ascii="Arial" w:cs="Arial" w:eastAsia="Arial" w:hAnsi="Arial"/>
          <w:sz w:val="17"/>
          <w:szCs w:val="17"/>
          <w:color w:val="auto"/>
        </w:rPr>
      </w:pPr>
      <w:r>
        <w:rPr>
          <w:rFonts w:ascii="Arial" w:cs="Arial" w:eastAsia="Arial" w:hAnsi="Arial"/>
          <w:sz w:val="17"/>
          <w:szCs w:val="17"/>
          <w:color w:val="auto"/>
        </w:rPr>
        <w:t>2,038</w:t>
      </w:r>
    </w:p>
    <w:p>
      <w:pPr>
        <w:spacing w:after="0" w:line="34" w:lineRule="exact"/>
        <w:rPr>
          <w:rFonts w:ascii="Arial" w:cs="Arial" w:eastAsia="Arial" w:hAnsi="Arial"/>
          <w:sz w:val="17"/>
          <w:szCs w:val="17"/>
          <w:color w:val="auto"/>
        </w:rPr>
      </w:pPr>
    </w:p>
    <w:p>
      <w:pPr>
        <w:ind w:left="1096"/>
        <w:spacing w:after="0"/>
        <w:rPr>
          <w:rFonts w:ascii="Arial" w:cs="Arial" w:eastAsia="Arial" w:hAnsi="Arial"/>
          <w:sz w:val="17"/>
          <w:szCs w:val="17"/>
          <w:color w:val="auto"/>
        </w:rPr>
      </w:pPr>
      <w:r>
        <w:rPr>
          <w:rFonts w:ascii="Arial" w:cs="Arial" w:eastAsia="Arial" w:hAnsi="Arial"/>
          <w:sz w:val="17"/>
          <w:szCs w:val="17"/>
          <w:color w:val="auto"/>
        </w:rPr>
        <w:t>1,186</w:t>
      </w:r>
    </w:p>
    <w:p>
      <w:pPr>
        <w:spacing w:after="0" w:line="34" w:lineRule="exact"/>
        <w:rPr>
          <w:rFonts w:ascii="Arial" w:cs="Arial" w:eastAsia="Arial" w:hAnsi="Arial"/>
          <w:sz w:val="17"/>
          <w:szCs w:val="17"/>
          <w:color w:val="auto"/>
        </w:rPr>
      </w:pPr>
    </w:p>
    <w:p>
      <w:pPr>
        <w:ind w:left="1096"/>
        <w:spacing w:after="0"/>
        <w:rPr>
          <w:rFonts w:ascii="Arial" w:cs="Arial" w:eastAsia="Arial" w:hAnsi="Arial"/>
          <w:sz w:val="17"/>
          <w:szCs w:val="17"/>
          <w:color w:val="auto"/>
        </w:rPr>
      </w:pPr>
      <w:r>
        <w:rPr>
          <w:rFonts w:ascii="Arial" w:cs="Arial" w:eastAsia="Arial" w:hAnsi="Arial"/>
          <w:sz w:val="17"/>
          <w:szCs w:val="17"/>
          <w:color w:val="auto"/>
        </w:rPr>
        <w:t>1,430</w:t>
      </w:r>
    </w:p>
    <w:p>
      <w:pPr>
        <w:spacing w:after="0" w:line="34" w:lineRule="exact"/>
        <w:rPr>
          <w:rFonts w:ascii="Arial" w:cs="Arial" w:eastAsia="Arial" w:hAnsi="Arial"/>
          <w:sz w:val="17"/>
          <w:szCs w:val="17"/>
          <w:color w:val="auto"/>
        </w:rPr>
      </w:pPr>
    </w:p>
    <w:p>
      <w:pPr>
        <w:ind w:left="1096"/>
        <w:spacing w:after="0"/>
        <w:rPr>
          <w:rFonts w:ascii="Arial" w:cs="Arial" w:eastAsia="Arial" w:hAnsi="Arial"/>
          <w:sz w:val="17"/>
          <w:szCs w:val="17"/>
          <w:color w:val="auto"/>
        </w:rPr>
      </w:pPr>
      <w:r>
        <w:rPr>
          <w:rFonts w:ascii="Arial" w:cs="Arial" w:eastAsia="Arial" w:hAnsi="Arial"/>
          <w:sz w:val="17"/>
          <w:szCs w:val="17"/>
          <w:color w:val="auto"/>
        </w:rPr>
        <w:t>1,049</w:t>
      </w:r>
    </w:p>
    <w:p>
      <w:pPr>
        <w:spacing w:after="0" w:line="34" w:lineRule="exact"/>
        <w:rPr>
          <w:rFonts w:ascii="Arial" w:cs="Arial" w:eastAsia="Arial" w:hAnsi="Arial"/>
          <w:sz w:val="17"/>
          <w:szCs w:val="17"/>
          <w:color w:val="auto"/>
        </w:rPr>
      </w:pPr>
    </w:p>
    <w:p>
      <w:pPr>
        <w:ind w:left="1336"/>
        <w:spacing w:after="0"/>
        <w:rPr>
          <w:rFonts w:ascii="Arial" w:cs="Arial" w:eastAsia="Arial" w:hAnsi="Arial"/>
          <w:sz w:val="17"/>
          <w:szCs w:val="17"/>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19050</wp:posOffset>
            </wp:positionV>
            <wp:extent cx="1036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14" w:lineRule="exact"/>
        <w:rPr>
          <w:sz w:val="20"/>
          <w:szCs w:val="20"/>
          <w:color w:val="auto"/>
        </w:rPr>
      </w:pPr>
    </w:p>
    <w:p>
      <w:pPr>
        <w:ind w:left="1096" w:hanging="1096"/>
        <w:spacing w:after="0"/>
        <w:tabs>
          <w:tab w:leader="none" w:pos="1096" w:val="left"/>
        </w:tabs>
        <w:numPr>
          <w:ilvl w:val="0"/>
          <w:numId w:val="26"/>
        </w:numPr>
        <w:rPr>
          <w:rFonts w:ascii="Arial" w:cs="Arial" w:eastAsia="Arial" w:hAnsi="Arial"/>
          <w:sz w:val="17"/>
          <w:szCs w:val="17"/>
          <w:color w:val="auto"/>
        </w:rPr>
      </w:pPr>
      <w:r>
        <w:rPr>
          <w:rFonts w:ascii="Arial" w:cs="Arial" w:eastAsia="Arial" w:hAnsi="Arial"/>
          <w:sz w:val="17"/>
          <w:szCs w:val="17"/>
          <w:color w:val="auto"/>
        </w:rPr>
        <w:t>8,384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27305</wp:posOffset>
            </wp:positionV>
            <wp:extent cx="10369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369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53340</wp:posOffset>
            </wp:positionV>
            <wp:extent cx="10369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1496" w:lineRule="exact"/>
        <w:rPr>
          <w:sz w:val="20"/>
          <w:szCs w:val="20"/>
          <w:color w:val="auto"/>
        </w:rPr>
      </w:pPr>
    </w:p>
    <w:p>
      <w:pPr>
        <w:sectPr>
          <w:pgSz w:w="11900" w:h="16838" w:orient="portrait"/>
          <w:cols w:equalWidth="0" w:num="2">
            <w:col w:w="8324" w:space="720"/>
            <w:col w:w="2176"/>
          </w:cols>
          <w:pgMar w:left="320" w:top="115" w:right="359" w:bottom="1440" w:gutter="0" w:footer="0" w:header="0"/>
          <w:type w:val="continuous"/>
        </w:sectPr>
      </w:pPr>
    </w:p>
    <w:p>
      <w:pPr>
        <w:spacing w:after="0" w:line="64" w:lineRule="exact"/>
        <w:rPr>
          <w:sz w:val="20"/>
          <w:szCs w:val="20"/>
          <w:color w:val="auto"/>
        </w:rPr>
      </w:pPr>
    </w:p>
    <w:p>
      <w:pPr>
        <w:ind w:left="500" w:right="200"/>
        <w:spacing w:after="0" w:line="272" w:lineRule="auto"/>
        <w:rPr>
          <w:sz w:val="20"/>
          <w:szCs w:val="20"/>
          <w:color w:val="auto"/>
        </w:rPr>
      </w:pPr>
      <w:r>
        <w:rPr>
          <w:rFonts w:ascii="Arial" w:cs="Arial" w:eastAsia="Arial" w:hAnsi="Arial"/>
          <w:sz w:val="18"/>
          <w:szCs w:val="18"/>
          <w:color w:val="auto"/>
        </w:rPr>
        <w:t>As of September 30, 2020, available funding under the Company’s vehicle programs, including related party debt due to Avis Budget Rental Car Funding, consisted of:</w:t>
      </w:r>
    </w:p>
    <w:tbl>
      <w:tblPr>
        <w:tblLayout w:type="fixed"/>
        <w:tblInd w:w="52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340"/>
              <w:spacing w:after="0" w:line="189" w:lineRule="exact"/>
              <w:rPr>
                <w:sz w:val="20"/>
                <w:szCs w:val="20"/>
                <w:color w:val="auto"/>
              </w:rPr>
            </w:pPr>
            <w:r>
              <w:rPr>
                <w:rFonts w:ascii="Arial" w:cs="Arial" w:eastAsia="Arial" w:hAnsi="Arial"/>
                <w:sz w:val="18"/>
                <w:szCs w:val="18"/>
                <w:b w:val="1"/>
                <w:bCs w:val="1"/>
                <w:color w:val="auto"/>
                <w:w w:val="97"/>
              </w:rPr>
              <w:t>Total</w:t>
            </w:r>
          </w:p>
        </w:tc>
        <w:tc>
          <w:tcPr>
            <w:tcW w:w="180" w:type="dxa"/>
            <w:vAlign w:val="bottom"/>
          </w:tcPr>
          <w:p>
            <w:pPr>
              <w:spacing w:after="0"/>
              <w:rPr>
                <w:sz w:val="16"/>
                <w:szCs w:val="16"/>
                <w:color w:val="auto"/>
              </w:rPr>
            </w:pPr>
          </w:p>
        </w:tc>
        <w:tc>
          <w:tcPr>
            <w:tcW w:w="1520" w:type="dxa"/>
            <w:vAlign w:val="bottom"/>
            <w:gridSpan w:val="2"/>
          </w:tcPr>
          <w:p>
            <w:pPr>
              <w:jc w:val="center"/>
              <w:ind w:right="300"/>
              <w:spacing w:after="0" w:line="189" w:lineRule="exact"/>
              <w:rPr>
                <w:sz w:val="20"/>
                <w:szCs w:val="20"/>
                <w:color w:val="auto"/>
              </w:rPr>
            </w:pPr>
            <w:r>
              <w:rPr>
                <w:rFonts w:ascii="Arial" w:cs="Arial" w:eastAsia="Arial" w:hAnsi="Arial"/>
                <w:sz w:val="18"/>
                <w:szCs w:val="18"/>
                <w:b w:val="1"/>
                <w:bCs w:val="1"/>
                <w:color w:val="auto"/>
                <w:w w:val="99"/>
              </w:rPr>
              <w:t>Outstanding</w:t>
            </w:r>
          </w:p>
        </w:tc>
        <w:tc>
          <w:tcPr>
            <w:tcW w:w="240" w:type="dxa"/>
            <w:vAlign w:val="bottom"/>
          </w:tcPr>
          <w:p>
            <w:pPr>
              <w:spacing w:after="0"/>
              <w:rPr>
                <w:sz w:val="16"/>
                <w:szCs w:val="16"/>
                <w:color w:val="auto"/>
              </w:rPr>
            </w:pPr>
          </w:p>
        </w:tc>
        <w:tc>
          <w:tcPr>
            <w:tcW w:w="1320" w:type="dxa"/>
            <w:vAlign w:val="bottom"/>
          </w:tcPr>
          <w:p>
            <w:pPr>
              <w:jc w:val="right"/>
              <w:ind w:right="310"/>
              <w:spacing w:after="0" w:line="189" w:lineRule="exact"/>
              <w:rPr>
                <w:sz w:val="20"/>
                <w:szCs w:val="20"/>
                <w:color w:val="auto"/>
              </w:rPr>
            </w:pPr>
            <w:r>
              <w:rPr>
                <w:rFonts w:ascii="Arial" w:cs="Arial" w:eastAsia="Arial" w:hAnsi="Arial"/>
                <w:sz w:val="18"/>
                <w:szCs w:val="18"/>
                <w:b w:val="1"/>
                <w:bCs w:val="1"/>
                <w:color w:val="auto"/>
              </w:rPr>
              <w:t>Available</w:t>
            </w:r>
          </w:p>
        </w:tc>
        <w:tc>
          <w:tcPr>
            <w:tcW w:w="0" w:type="dxa"/>
            <w:vAlign w:val="bottom"/>
          </w:tcPr>
          <w:p>
            <w:pPr>
              <w:spacing w:after="0"/>
              <w:rPr>
                <w:sz w:val="1"/>
                <w:szCs w:val="1"/>
                <w:color w:val="auto"/>
              </w:rPr>
            </w:pPr>
          </w:p>
        </w:tc>
      </w:tr>
      <w:tr>
        <w:trPr>
          <w:trHeight w:val="230"/>
        </w:trPr>
        <w:tc>
          <w:tcPr>
            <w:tcW w:w="5180" w:type="dxa"/>
            <w:vAlign w:val="bottom"/>
            <w:vMerge w:val="restart"/>
          </w:tcPr>
          <w:p>
            <w:pPr>
              <w:spacing w:after="0"/>
              <w:rPr>
                <w:sz w:val="20"/>
                <w:szCs w:val="20"/>
                <w:color w:val="auto"/>
              </w:rPr>
            </w:pPr>
            <w:r>
              <w:rPr>
                <w:rFonts w:ascii="Arial" w:cs="Arial" w:eastAsia="Arial" w:hAnsi="Arial"/>
                <w:sz w:val="18"/>
                <w:szCs w:val="18"/>
                <w:color w:val="auto"/>
              </w:rPr>
              <w:t>Americas - Debt due to Avis Budget Rental Car Funding</w:t>
            </w:r>
          </w:p>
        </w:tc>
        <w:tc>
          <w:tcPr>
            <w:tcW w:w="220" w:type="dxa"/>
            <w:vAlign w:val="bottom"/>
          </w:tcPr>
          <w:p>
            <w:pPr>
              <w:spacing w:after="0"/>
              <w:rPr>
                <w:sz w:val="19"/>
                <w:szCs w:val="19"/>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 xml:space="preserve">Capacity </w:t>
            </w:r>
            <w:r>
              <w:rPr>
                <w:rFonts w:ascii="Arial" w:cs="Arial" w:eastAsia="Arial" w:hAnsi="Arial"/>
                <w:sz w:val="9"/>
                <w:szCs w:val="9"/>
                <w:color w:val="auto"/>
              </w:rPr>
              <w:t>(a)</w:t>
            </w:r>
          </w:p>
        </w:tc>
        <w:tc>
          <w:tcPr>
            <w:tcW w:w="18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 xml:space="preserve">Borrowings </w:t>
            </w:r>
            <w:r>
              <w:rPr>
                <w:rFonts w:ascii="Arial" w:cs="Arial" w:eastAsia="Arial" w:hAnsi="Arial"/>
                <w:sz w:val="9"/>
                <w:szCs w:val="9"/>
                <w:color w:val="auto"/>
                <w:w w:val="99"/>
              </w:rPr>
              <w:t>(b)</w:t>
            </w:r>
          </w:p>
        </w:tc>
        <w:tc>
          <w:tcPr>
            <w:tcW w:w="240" w:type="dxa"/>
            <w:vAlign w:val="bottom"/>
          </w:tcPr>
          <w:p>
            <w:pPr>
              <w:spacing w:after="0"/>
              <w:rPr>
                <w:sz w:val="19"/>
                <w:szCs w:val="19"/>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Capacity</w:t>
            </w:r>
          </w:p>
        </w:tc>
        <w:tc>
          <w:tcPr>
            <w:tcW w:w="0" w:type="dxa"/>
            <w:vAlign w:val="bottom"/>
          </w:tcPr>
          <w:p>
            <w:pPr>
              <w:spacing w:after="0"/>
              <w:rPr>
                <w:sz w:val="1"/>
                <w:szCs w:val="1"/>
                <w:color w:val="auto"/>
              </w:rPr>
            </w:pPr>
          </w:p>
        </w:tc>
      </w:tr>
      <w:tr>
        <w:trPr>
          <w:trHeight w:val="214"/>
        </w:trPr>
        <w:tc>
          <w:tcPr>
            <w:tcW w:w="518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Americas - Debt borrowings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International - Debt borrowings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39"/>
        </w:trPr>
        <w:tc>
          <w:tcPr>
            <w:tcW w:w="5180" w:type="dxa"/>
            <w:vAlign w:val="bottom"/>
          </w:tcPr>
          <w:p>
            <w:pPr>
              <w:spacing w:after="0"/>
              <w:rPr>
                <w:sz w:val="20"/>
                <w:szCs w:val="20"/>
                <w:color w:val="auto"/>
              </w:rPr>
            </w:pPr>
            <w:r>
              <w:rPr>
                <w:rFonts w:ascii="Arial" w:cs="Arial" w:eastAsia="Arial" w:hAnsi="Arial"/>
                <w:sz w:val="18"/>
                <w:szCs w:val="18"/>
                <w:color w:val="auto"/>
              </w:rPr>
              <w:t>International - Finance leases</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760" w:hanging="266"/>
        <w:spacing w:after="0" w:line="208" w:lineRule="auto"/>
        <w:tabs>
          <w:tab w:leader="none" w:pos="760"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Capacity is subject to maintaining sufficient assets to collateralize debt.</w:t>
      </w:r>
    </w:p>
    <w:p>
      <w:pPr>
        <w:ind w:left="820" w:right="440" w:hanging="326"/>
        <w:spacing w:after="0" w:line="213" w:lineRule="auto"/>
        <w:tabs>
          <w:tab w:leader="none" w:pos="767"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The outstanding debt is collateralized by vehicles and related assets of $6.9 billion for Americas - Debt due to Avis Budget Rental Car Funding; $0.9 billion for Americas - Debt borrowings; $1.7 billion for International - Debt borrowings; and $0.2 billion for International - Finance leases.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52" w:lineRule="exact"/>
        <w:rPr>
          <w:sz w:val="20"/>
          <w:szCs w:val="20"/>
          <w:color w:val="auto"/>
        </w:rPr>
      </w:pPr>
    </w:p>
    <w:p>
      <w:pPr>
        <w:ind w:left="500"/>
        <w:spacing w:after="0" w:line="260" w:lineRule="auto"/>
        <w:rPr>
          <w:sz w:val="20"/>
          <w:szCs w:val="20"/>
          <w:color w:val="auto"/>
        </w:rPr>
      </w:pPr>
      <w:r>
        <w:rPr>
          <w:rFonts w:ascii="Arial" w:cs="Arial" w:eastAsia="Arial" w:hAnsi="Arial"/>
          <w:sz w:val="18"/>
          <w:szCs w:val="18"/>
          <w:color w:val="auto"/>
        </w:rPr>
        <w:t>The agreements under the Company’s vehicle-backed funding programs contain restrictive covenants, including restrictions on dividends paid to the Company by certain of its subsidiaries and restrictions on indebtedness, mergers, liens, liquidations, and sale and leaseback transactions and in some cases also require compliance with certain financial requirements. As of September 30, 2020, the Company is not aware of any instances of non-compliance with any of the financial covenants contained in the debt agreements under its vehicle-backed funding programs.</w:t>
      </w:r>
    </w:p>
    <w:p>
      <w:pPr>
        <w:spacing w:after="0" w:line="20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Contingencies</w:t>
      </w:r>
    </w:p>
    <w:p>
      <w:pPr>
        <w:spacing w:after="0" w:line="252" w:lineRule="exact"/>
        <w:rPr>
          <w:sz w:val="20"/>
          <w:szCs w:val="20"/>
          <w:color w:val="auto"/>
        </w:rPr>
      </w:pPr>
    </w:p>
    <w:p>
      <w:pPr>
        <w:ind w:left="500" w:right="340"/>
        <w:spacing w:after="0" w:line="260" w:lineRule="auto"/>
        <w:rPr>
          <w:sz w:val="20"/>
          <w:szCs w:val="20"/>
          <w:color w:val="auto"/>
        </w:rPr>
      </w:pPr>
      <w:r>
        <w:rPr>
          <w:rFonts w:ascii="Arial" w:cs="Arial" w:eastAsia="Arial" w:hAnsi="Arial"/>
          <w:sz w:val="18"/>
          <w:szCs w:val="18"/>
          <w:color w:val="auto"/>
        </w:rPr>
        <w:t>In 2006, the Company completed the spin-offs of its Realogy and Wyndham subsidiaries. The Company does not believe that the impact of any resolution of pre-existing contingent liabilities in connection with the spin-offs should result in a material liability to the Company in relation to its consolidated financial position or liquidity, as Realogy and Wyndham each have agreed to assume responsibility for these liabilities. The Company is also named in litigation that is primarily related to the businesses of its former subsidiaries, including Realogy and Wyndham. The Company is entitled to indemnification from such entities for any</w:t>
      </w:r>
    </w:p>
    <w:p>
      <w:pPr>
        <w:sectPr>
          <w:pgSz w:w="11900" w:h="16838" w:orient="portrait"/>
          <w:cols w:equalWidth="0" w:num="1">
            <w:col w:w="11220"/>
          </w:cols>
          <w:pgMar w:left="320" w:top="115" w:right="359" w:bottom="1440" w:gutter="0" w:footer="0" w:header="0"/>
          <w:type w:val="continuous"/>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liability resulting from such litigation.</w:t>
      </w:r>
    </w:p>
    <w:p>
      <w:pPr>
        <w:spacing w:after="0" w:line="252" w:lineRule="exact"/>
        <w:rPr>
          <w:sz w:val="20"/>
          <w:szCs w:val="20"/>
          <w:color w:val="auto"/>
        </w:rPr>
      </w:pPr>
    </w:p>
    <w:p>
      <w:pPr>
        <w:ind w:left="500" w:right="40"/>
        <w:spacing w:after="0" w:line="258" w:lineRule="auto"/>
        <w:rPr>
          <w:sz w:val="20"/>
          <w:szCs w:val="20"/>
          <w:color w:val="auto"/>
        </w:rPr>
      </w:pPr>
      <w:r>
        <w:rPr>
          <w:rFonts w:ascii="Arial" w:cs="Arial" w:eastAsia="Arial" w:hAnsi="Arial"/>
          <w:sz w:val="18"/>
          <w:szCs w:val="18"/>
          <w:color w:val="auto"/>
        </w:rPr>
        <w:t>In February 2017, following a state court trial in Georgia, a jury found the Company liable for damages in a case brought by a plaintiff who was injured in a vehicle accident allegedly caused by an employee of an independent contractor of the Company who was acting outside of the scope of employment. In fourth quarter 2019, the Company appealed both verdicts resulting in a reversal of the opinions rendered. The plaintiffs filed a petition to have the Georgia Supreme Court review the state appellate court’s reversal of the opinion, which petition has been granted. The Company has recognized a liability related to these cases, net of recoverable insurance proceeds, of approximately $12 million.</w:t>
      </w:r>
    </w:p>
    <w:p>
      <w:pPr>
        <w:spacing w:after="0" w:line="204"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color w:val="auto"/>
        </w:rPr>
        <w:t>The Company is currently involved, and in the future may be involved, in claims, legal proceedings and governmental inquiries that are incidental to its vehicle rental and car sharing operations, including, among others, contract and licensee disputes, competition matters, employment and wage-and-hour claims, insurance and liability claims, intellectual property claims, business practice disputes and other regulatory, environmental, commercial and tax matters. Litigation is inherently unpredictable and, although the Company believes that its accruals are adequate and/or that it has valid defenses in these matters, unfavorable resolutions could occur. The Company estimates that the potential exposure resulting from adverse outcomes of current legal proceedings in which it is reasonably possible that a loss may be incurred could, in the aggregate, be up to approximately $40 million in excess of amounts accrued as of September 30, 2020. The Company does not believe that the impact should result in a material liability to the Company in relation to its consolidated financial condition or results of operations.</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252" w:lineRule="exact"/>
        <w:rPr>
          <w:sz w:val="20"/>
          <w:szCs w:val="20"/>
          <w:color w:val="auto"/>
        </w:rPr>
      </w:pPr>
    </w:p>
    <w:p>
      <w:pPr>
        <w:ind w:left="500" w:right="20"/>
        <w:spacing w:after="0" w:line="260" w:lineRule="auto"/>
        <w:rPr>
          <w:sz w:val="20"/>
          <w:szCs w:val="20"/>
          <w:color w:val="auto"/>
        </w:rPr>
      </w:pPr>
      <w:r>
        <w:rPr>
          <w:rFonts w:ascii="Arial" w:cs="Arial" w:eastAsia="Arial" w:hAnsi="Arial"/>
          <w:sz w:val="18"/>
          <w:szCs w:val="18"/>
          <w:color w:val="auto"/>
        </w:rPr>
        <w:t>The Company maintains agreements with vehicle manufacturers under which the Company has agreed to purchase approximately $3.4 billion of vehicles from manufacturers over the next 12 months, a $4.3 billion decrease compared to December 31, 2019,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Concentrations</w:t>
      </w:r>
    </w:p>
    <w:p>
      <w:pPr>
        <w:spacing w:after="0" w:line="252" w:lineRule="exact"/>
        <w:rPr>
          <w:sz w:val="20"/>
          <w:szCs w:val="20"/>
          <w:color w:val="auto"/>
        </w:rPr>
      </w:pPr>
    </w:p>
    <w:p>
      <w:pPr>
        <w:ind w:left="500" w:right="20"/>
        <w:spacing w:after="0" w:line="260" w:lineRule="auto"/>
        <w:rPr>
          <w:sz w:val="20"/>
          <w:szCs w:val="20"/>
          <w:color w:val="auto"/>
        </w:rPr>
      </w:pPr>
      <w:r>
        <w:rPr>
          <w:rFonts w:ascii="Arial" w:cs="Arial" w:eastAsia="Arial" w:hAnsi="Arial"/>
          <w:sz w:val="18"/>
          <w:szCs w:val="18"/>
          <w:color w:val="auto"/>
        </w:rPr>
        <w:t>Concentrations of credit risk at September 30, 2020 include (i) risks related to the Company’s repurchase and guaranteed depreciation agreements with domestic and foreign car manufacturers, primarily with respect to receivables for program cars that have been disposed but for which the Company has not yet received payment from the manufacturers and (ii) risks related to Realogy and Wyndham, including receivables of $25 million and $15 million, respectively, related to certain contingent, income tax and other corporate liabilities assumed by Realogy and Wyndham in connection with their disposition.</w:t>
      </w:r>
    </w:p>
    <w:p>
      <w:pPr>
        <w:spacing w:after="0" w:line="20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52" w:lineRule="exact"/>
        <w:rPr>
          <w:sz w:val="20"/>
          <w:szCs w:val="20"/>
          <w:color w:val="auto"/>
        </w:rPr>
      </w:pPr>
    </w:p>
    <w:p>
      <w:pPr>
        <w:ind w:left="500" w:right="200"/>
        <w:spacing w:after="0" w:line="260" w:lineRule="auto"/>
        <w:rPr>
          <w:sz w:val="20"/>
          <w:szCs w:val="20"/>
          <w:color w:val="auto"/>
        </w:rPr>
      </w:pPr>
      <w:r>
        <w:rPr>
          <w:rFonts w:ascii="Arial" w:cs="Arial" w:eastAsia="Arial" w:hAnsi="Arial"/>
          <w:sz w:val="18"/>
          <w:szCs w:val="18"/>
          <w:color w:val="auto"/>
        </w:rPr>
        <w:t>The Company’s Board of Directors has authorized the repurchase of up to $1.8 billion of its common stock under a plan originally approved in 2013 and subsequently expanded, most recently in August 2019. During the first quarter of 2020, the Company repurchased approximately 5.0 million shares of common stock at a cost of approximately $113 million at an average price of $22.49 under the program. As of September 30, 2020, approximately $76 million of authorization remains available to repurchase common stock under this plan.</w:t>
      </w:r>
    </w:p>
    <w:p>
      <w:pPr>
        <w:spacing w:after="0" w:line="202" w:lineRule="exact"/>
        <w:rPr>
          <w:sz w:val="20"/>
          <w:szCs w:val="20"/>
          <w:color w:val="auto"/>
        </w:rPr>
      </w:pPr>
    </w:p>
    <w:p>
      <w:pPr>
        <w:ind w:left="500" w:right="60"/>
        <w:spacing w:after="0" w:line="260" w:lineRule="auto"/>
        <w:rPr>
          <w:sz w:val="20"/>
          <w:szCs w:val="20"/>
          <w:color w:val="auto"/>
        </w:rPr>
      </w:pPr>
      <w:r>
        <w:rPr>
          <w:rFonts w:ascii="Arial" w:cs="Arial" w:eastAsia="Arial" w:hAnsi="Arial"/>
          <w:sz w:val="18"/>
          <w:szCs w:val="18"/>
          <w:color w:val="auto"/>
        </w:rPr>
        <w:t>In June 2019 as part of its share repurchase program, the Company entered into a structured repurchase agreement involving the use of capped call options for the purchase of the Company’s common stock. The Company paid a fixed sum upon the execution of the agreement in exchange for the right to receive either a pre -determined amount of cash or stock. The Company paid net premiums of $16 million to enter into this agreement, which is recorded as a reduction of additional paid in capital. In September 2019, the capped call options expired and all outstanding options settled for 0.6 million shares.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Share Issuances</w:t>
      </w:r>
    </w:p>
    <w:p>
      <w:pPr>
        <w:spacing w:after="0" w:line="252" w:lineRule="exact"/>
        <w:rPr>
          <w:sz w:val="20"/>
          <w:szCs w:val="20"/>
          <w:color w:val="auto"/>
        </w:rPr>
      </w:pPr>
    </w:p>
    <w:p>
      <w:pPr>
        <w:ind w:left="500" w:right="20"/>
        <w:spacing w:after="0" w:line="271" w:lineRule="auto"/>
        <w:rPr>
          <w:sz w:val="20"/>
          <w:szCs w:val="20"/>
          <w:color w:val="auto"/>
        </w:rPr>
      </w:pPr>
      <w:r>
        <w:rPr>
          <w:rFonts w:ascii="Arial" w:cs="Arial" w:eastAsia="Arial" w:hAnsi="Arial"/>
          <w:sz w:val="18"/>
          <w:szCs w:val="18"/>
          <w:color w:val="auto"/>
        </w:rPr>
        <w:t>On February 10, 2020, the Company announced it had appointed a new Chairman of the Board of Directors and in connection with this appointment, the new Chairman purchased an aggregate $ 15 million of unregistered shares of the Company’s common stock at a price per share equal to the closing price of the Company’s common stock on February 7, 2020.</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Total Comprehensive Income (Loss)</w:t>
      </w:r>
    </w:p>
    <w:p>
      <w:pPr>
        <w:spacing w:after="0" w:line="252" w:lineRule="exact"/>
        <w:rPr>
          <w:sz w:val="20"/>
          <w:szCs w:val="20"/>
          <w:color w:val="auto"/>
        </w:rPr>
      </w:pPr>
    </w:p>
    <w:p>
      <w:pPr>
        <w:ind w:left="500"/>
        <w:spacing w:after="0" w:line="292" w:lineRule="auto"/>
        <w:rPr>
          <w:sz w:val="20"/>
          <w:szCs w:val="20"/>
          <w:color w:val="auto"/>
        </w:rPr>
      </w:pPr>
      <w:r>
        <w:rPr>
          <w:rFonts w:ascii="Arial" w:cs="Arial" w:eastAsia="Arial" w:hAnsi="Arial"/>
          <w:sz w:val="18"/>
          <w:szCs w:val="18"/>
          <w:color w:val="auto"/>
        </w:rPr>
        <w:t>Comprehensive income (loss) consists of net income (loss) and other gains and losses affecting stockholders’ equity that, under GAAP, are excluded from net income (loss).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comprehensive income (loss) were as follows:</w:t>
      </w:r>
    </w:p>
    <w:p>
      <w:pPr>
        <w:spacing w:after="0" w:line="27"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0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9"/>
              </w:rPr>
              <w:t>Three Months Ended</w:t>
            </w:r>
          </w:p>
        </w:tc>
        <w:tc>
          <w:tcPr>
            <w:tcW w:w="300" w:type="dxa"/>
            <w:vAlign w:val="bottom"/>
          </w:tcPr>
          <w:p>
            <w:pPr>
              <w:spacing w:after="0"/>
              <w:rPr>
                <w:sz w:val="17"/>
                <w:szCs w:val="17"/>
                <w:color w:val="auto"/>
              </w:rPr>
            </w:pPr>
          </w:p>
        </w:tc>
        <w:tc>
          <w:tcPr>
            <w:tcW w:w="25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0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19"/>
                <w:szCs w:val="19"/>
                <w:color w:val="auto"/>
              </w:rPr>
            </w:pPr>
          </w:p>
        </w:tc>
        <w:tc>
          <w:tcPr>
            <w:tcW w:w="25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34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4"/>
        </w:trPr>
        <w:tc>
          <w:tcPr>
            <w:tcW w:w="4340" w:type="dxa"/>
            <w:vAlign w:val="bottom"/>
            <w:vMerge w:val="continue"/>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4340" w:type="dxa"/>
            <w:vAlign w:val="bottom"/>
          </w:tcPr>
          <w:p>
            <w:pPr>
              <w:ind w:left="160"/>
              <w:spacing w:after="0" w:line="185" w:lineRule="exact"/>
              <w:rPr>
                <w:sz w:val="20"/>
                <w:szCs w:val="20"/>
                <w:color w:val="auto"/>
              </w:rPr>
            </w:pPr>
            <w:r>
              <w:rPr>
                <w:rFonts w:ascii="Arial" w:cs="Arial" w:eastAsia="Arial" w:hAnsi="Arial"/>
                <w:sz w:val="18"/>
                <w:szCs w:val="18"/>
                <w:color w:val="auto"/>
              </w:rPr>
              <w:t>Currency translation adjustments (net of tax of $12,</w:t>
            </w:r>
          </w:p>
        </w:tc>
        <w:tc>
          <w:tcPr>
            <w:tcW w:w="3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0"/>
        </w:trPr>
        <w:tc>
          <w:tcPr>
            <w:tcW w:w="4340" w:type="dxa"/>
            <w:vAlign w:val="bottom"/>
          </w:tcPr>
          <w:p>
            <w:pPr>
              <w:ind w:left="320"/>
              <w:spacing w:after="0"/>
              <w:rPr>
                <w:sz w:val="20"/>
                <w:szCs w:val="20"/>
                <w:color w:val="auto"/>
              </w:rPr>
            </w:pPr>
            <w:r>
              <w:rPr>
                <w:rFonts w:ascii="Arial" w:cs="Arial" w:eastAsia="Arial" w:hAnsi="Arial"/>
                <w:sz w:val="18"/>
                <w:szCs w:val="18"/>
                <w:color w:val="auto"/>
              </w:rPr>
              <w:t>$(12), $12, and $(14), respectively)</w:t>
            </w: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4340" w:type="dxa"/>
            <w:vAlign w:val="bottom"/>
          </w:tcPr>
          <w:p>
            <w:pPr>
              <w:ind w:left="160"/>
              <w:spacing w:after="0" w:line="185" w:lineRule="exact"/>
              <w:rPr>
                <w:sz w:val="20"/>
                <w:szCs w:val="20"/>
                <w:color w:val="auto"/>
              </w:rPr>
            </w:pPr>
            <w:r>
              <w:rPr>
                <w:rFonts w:ascii="Arial" w:cs="Arial" w:eastAsia="Arial" w:hAnsi="Arial"/>
                <w:sz w:val="18"/>
                <w:szCs w:val="18"/>
                <w:color w:val="auto"/>
              </w:rPr>
              <w:t>Net unrealized gain (loss) on cash flow hedges (net</w:t>
            </w:r>
          </w:p>
        </w:tc>
        <w:tc>
          <w:tcPr>
            <w:tcW w:w="3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0"/>
        </w:trPr>
        <w:tc>
          <w:tcPr>
            <w:tcW w:w="4340" w:type="dxa"/>
            <w:vAlign w:val="bottom"/>
          </w:tcPr>
          <w:p>
            <w:pPr>
              <w:ind w:left="320"/>
              <w:spacing w:after="0"/>
              <w:rPr>
                <w:sz w:val="20"/>
                <w:szCs w:val="20"/>
                <w:color w:val="auto"/>
              </w:rPr>
            </w:pPr>
            <w:r>
              <w:rPr>
                <w:rFonts w:ascii="Arial" w:cs="Arial" w:eastAsia="Arial" w:hAnsi="Arial"/>
                <w:sz w:val="18"/>
                <w:szCs w:val="18"/>
                <w:color w:val="auto"/>
              </w:rPr>
              <w:t>of tax of $3, $2, $12, and $9, respectively)</w:t>
            </w: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4340" w:type="dxa"/>
            <w:vAlign w:val="bottom"/>
          </w:tcPr>
          <w:p>
            <w:pPr>
              <w:ind w:left="160"/>
              <w:spacing w:after="0" w:line="185" w:lineRule="exact"/>
              <w:rPr>
                <w:sz w:val="20"/>
                <w:szCs w:val="20"/>
                <w:color w:val="auto"/>
              </w:rPr>
            </w:pPr>
            <w:r>
              <w:rPr>
                <w:rFonts w:ascii="Arial" w:cs="Arial" w:eastAsia="Arial" w:hAnsi="Arial"/>
                <w:sz w:val="18"/>
                <w:szCs w:val="18"/>
                <w:color w:val="auto"/>
              </w:rPr>
              <w:t>Minimum pension liability adjustment (net of tax of</w:t>
            </w:r>
          </w:p>
        </w:tc>
        <w:tc>
          <w:tcPr>
            <w:tcW w:w="3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340" w:type="dxa"/>
            <w:vAlign w:val="bottom"/>
          </w:tcPr>
          <w:p>
            <w:pPr>
              <w:ind w:left="320"/>
              <w:spacing w:after="0"/>
              <w:rPr>
                <w:sz w:val="20"/>
                <w:szCs w:val="20"/>
                <w:color w:val="auto"/>
              </w:rPr>
            </w:pPr>
            <w:r>
              <w:rPr>
                <w:rFonts w:ascii="Arial" w:cs="Arial" w:eastAsia="Arial" w:hAnsi="Arial"/>
                <w:sz w:val="18"/>
                <w:szCs w:val="18"/>
                <w:color w:val="auto"/>
              </w:rPr>
              <w:t>$(1), $(1), $(1), and $(1), respectively)</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Currency translation adjustments exclude income taxes related to indefinite investments in foreign subsidiaries.</w:t>
      </w:r>
    </w:p>
    <w:p>
      <w:pPr>
        <w:spacing w:after="0" w:line="2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income (loss) were as follows:</w:t>
      </w:r>
    </w:p>
    <w:p>
      <w:pPr>
        <w:spacing w:after="0" w:line="31" w:lineRule="exact"/>
        <w:rPr>
          <w:sz w:val="20"/>
          <w:szCs w:val="20"/>
          <w:color w:val="auto"/>
        </w:rPr>
      </w:pPr>
    </w:p>
    <w:tbl>
      <w:tblPr>
        <w:tblLayout w:type="fixed"/>
        <w:tblInd w:w="520" w:type="dxa"/>
        <w:tblCellMar>
          <w:top w:w="0" w:type="dxa"/>
          <w:left w:w="0" w:type="dxa"/>
          <w:bottom w:w="0" w:type="dxa"/>
          <w:right w:w="0" w:type="dxa"/>
        </w:tblCellMar>
      </w:tblPr>
      <w:tr>
        <w:trPr>
          <w:trHeight w:val="149"/>
        </w:trPr>
        <w:tc>
          <w:tcPr>
            <w:tcW w:w="2920" w:type="dxa"/>
            <w:vAlign w:val="bottom"/>
          </w:tcPr>
          <w:p>
            <w:pPr>
              <w:spacing w:after="0"/>
              <w:rPr>
                <w:sz w:val="12"/>
                <w:szCs w:val="12"/>
                <w:color w:val="auto"/>
              </w:rPr>
            </w:pPr>
          </w:p>
        </w:tc>
        <w:tc>
          <w:tcPr>
            <w:tcW w:w="1340" w:type="dxa"/>
            <w:vAlign w:val="bottom"/>
            <w:vMerge w:val="restart"/>
          </w:tcPr>
          <w:p>
            <w:pPr>
              <w:jc w:val="center"/>
              <w:ind w:left="317"/>
              <w:spacing w:after="0"/>
              <w:rPr>
                <w:sz w:val="20"/>
                <w:szCs w:val="20"/>
                <w:color w:val="auto"/>
              </w:rPr>
            </w:pPr>
            <w:r>
              <w:rPr>
                <w:rFonts w:ascii="Arial" w:cs="Arial" w:eastAsia="Arial" w:hAnsi="Arial"/>
                <w:sz w:val="13"/>
                <w:szCs w:val="13"/>
                <w:b w:val="1"/>
                <w:bCs w:val="1"/>
                <w:color w:val="auto"/>
                <w:w w:val="98"/>
              </w:rPr>
              <w:t>Currency</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7"/>
              </w:rPr>
              <w:t>Net Unrealized</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8"/>
              </w:rPr>
              <w:t>Minimum</w:t>
            </w:r>
          </w:p>
        </w:tc>
        <w:tc>
          <w:tcPr>
            <w:tcW w:w="240" w:type="dxa"/>
            <w:vAlign w:val="bottom"/>
          </w:tcPr>
          <w:p>
            <w:pPr>
              <w:spacing w:after="0"/>
              <w:rPr>
                <w:sz w:val="12"/>
                <w:szCs w:val="12"/>
                <w:color w:val="auto"/>
              </w:rPr>
            </w:pPr>
          </w:p>
        </w:tc>
        <w:tc>
          <w:tcPr>
            <w:tcW w:w="1480" w:type="dxa"/>
            <w:vAlign w:val="bottom"/>
          </w:tcPr>
          <w:p>
            <w:pPr>
              <w:jc w:val="center"/>
              <w:ind w:right="177"/>
              <w:spacing w:after="0"/>
              <w:rPr>
                <w:sz w:val="20"/>
                <w:szCs w:val="20"/>
                <w:color w:val="auto"/>
              </w:rPr>
            </w:pPr>
            <w:r>
              <w:rPr>
                <w:rFonts w:ascii="Arial" w:cs="Arial" w:eastAsia="Arial" w:hAnsi="Arial"/>
                <w:sz w:val="13"/>
                <w:szCs w:val="13"/>
                <w:b w:val="1"/>
                <w:bCs w:val="1"/>
                <w:color w:val="auto"/>
                <w:w w:val="97"/>
              </w:rPr>
              <w:t>Accumulated</w:t>
            </w:r>
          </w:p>
        </w:tc>
        <w:tc>
          <w:tcPr>
            <w:tcW w:w="0" w:type="dxa"/>
            <w:vAlign w:val="bottom"/>
          </w:tcPr>
          <w:p>
            <w:pPr>
              <w:spacing w:after="0"/>
              <w:rPr>
                <w:sz w:val="1"/>
                <w:szCs w:val="1"/>
                <w:color w:val="auto"/>
              </w:rPr>
            </w:pPr>
          </w:p>
        </w:tc>
      </w:tr>
      <w:tr>
        <w:trPr>
          <w:trHeight w:val="122"/>
        </w:trPr>
        <w:tc>
          <w:tcPr>
            <w:tcW w:w="29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gridSpan w:val="2"/>
          </w:tcPr>
          <w:p>
            <w:pPr>
              <w:jc w:val="center"/>
              <w:ind w:right="360"/>
              <w:spacing w:after="0" w:line="122" w:lineRule="exact"/>
              <w:rPr>
                <w:sz w:val="20"/>
                <w:szCs w:val="20"/>
                <w:color w:val="auto"/>
              </w:rPr>
            </w:pPr>
            <w:r>
              <w:rPr>
                <w:rFonts w:ascii="Arial" w:cs="Arial" w:eastAsia="Arial" w:hAnsi="Arial"/>
                <w:sz w:val="13"/>
                <w:szCs w:val="13"/>
                <w:b w:val="1"/>
                <w:bCs w:val="1"/>
                <w:color w:val="auto"/>
                <w:w w:val="96"/>
              </w:rPr>
              <w:t>Gains (Losses)</w:t>
            </w:r>
          </w:p>
        </w:tc>
        <w:tc>
          <w:tcPr>
            <w:tcW w:w="280" w:type="dxa"/>
            <w:vAlign w:val="bottom"/>
          </w:tcPr>
          <w:p>
            <w:pPr>
              <w:spacing w:after="0"/>
              <w:rPr>
                <w:sz w:val="10"/>
                <w:szCs w:val="10"/>
                <w:color w:val="auto"/>
              </w:rPr>
            </w:pPr>
          </w:p>
        </w:tc>
        <w:tc>
          <w:tcPr>
            <w:tcW w:w="1540" w:type="dxa"/>
            <w:vAlign w:val="bottom"/>
            <w:gridSpan w:val="2"/>
          </w:tcPr>
          <w:p>
            <w:pPr>
              <w:jc w:val="center"/>
              <w:ind w:right="380"/>
              <w:spacing w:after="0" w:line="122" w:lineRule="exact"/>
              <w:rPr>
                <w:sz w:val="20"/>
                <w:szCs w:val="20"/>
                <w:color w:val="auto"/>
              </w:rPr>
            </w:pPr>
            <w:r>
              <w:rPr>
                <w:rFonts w:ascii="Arial" w:cs="Arial" w:eastAsia="Arial" w:hAnsi="Arial"/>
                <w:sz w:val="13"/>
                <w:szCs w:val="13"/>
                <w:b w:val="1"/>
                <w:bCs w:val="1"/>
                <w:color w:val="auto"/>
                <w:w w:val="94"/>
              </w:rPr>
              <w:t>Pension</w:t>
            </w:r>
          </w:p>
        </w:tc>
        <w:tc>
          <w:tcPr>
            <w:tcW w:w="240" w:type="dxa"/>
            <w:vAlign w:val="bottom"/>
          </w:tcPr>
          <w:p>
            <w:pPr>
              <w:spacing w:after="0"/>
              <w:rPr>
                <w:sz w:val="10"/>
                <w:szCs w:val="10"/>
                <w:color w:val="auto"/>
              </w:rPr>
            </w:pPr>
          </w:p>
        </w:tc>
        <w:tc>
          <w:tcPr>
            <w:tcW w:w="1480" w:type="dxa"/>
            <w:vAlign w:val="bottom"/>
          </w:tcPr>
          <w:p>
            <w:pPr>
              <w:jc w:val="center"/>
              <w:ind w:right="177"/>
              <w:spacing w:after="0" w:line="122"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21"/>
        </w:trPr>
        <w:tc>
          <w:tcPr>
            <w:tcW w:w="2920" w:type="dxa"/>
            <w:vAlign w:val="bottom"/>
          </w:tcPr>
          <w:p>
            <w:pPr>
              <w:spacing w:after="0"/>
              <w:rPr>
                <w:sz w:val="10"/>
                <w:szCs w:val="10"/>
                <w:color w:val="auto"/>
              </w:rPr>
            </w:pPr>
          </w:p>
        </w:tc>
        <w:tc>
          <w:tcPr>
            <w:tcW w:w="1340" w:type="dxa"/>
            <w:vAlign w:val="bottom"/>
          </w:tcPr>
          <w:p>
            <w:pPr>
              <w:jc w:val="center"/>
              <w:ind w:left="317"/>
              <w:spacing w:after="0" w:line="122" w:lineRule="exact"/>
              <w:rPr>
                <w:sz w:val="20"/>
                <w:szCs w:val="20"/>
                <w:color w:val="auto"/>
              </w:rPr>
            </w:pPr>
            <w:r>
              <w:rPr>
                <w:rFonts w:ascii="Arial" w:cs="Arial" w:eastAsia="Arial" w:hAnsi="Arial"/>
                <w:sz w:val="13"/>
                <w:szCs w:val="13"/>
                <w:b w:val="1"/>
                <w:bCs w:val="1"/>
                <w:color w:val="auto"/>
                <w:w w:val="96"/>
              </w:rPr>
              <w:t>Translation</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gridSpan w:val="2"/>
          </w:tcPr>
          <w:p>
            <w:pPr>
              <w:jc w:val="center"/>
              <w:ind w:right="360"/>
              <w:spacing w:after="0" w:line="122" w:lineRule="exact"/>
              <w:rPr>
                <w:sz w:val="20"/>
                <w:szCs w:val="20"/>
                <w:color w:val="auto"/>
              </w:rPr>
            </w:pPr>
            <w:r>
              <w:rPr>
                <w:rFonts w:ascii="Arial" w:cs="Arial" w:eastAsia="Arial" w:hAnsi="Arial"/>
                <w:sz w:val="13"/>
                <w:szCs w:val="13"/>
                <w:b w:val="1"/>
                <w:bCs w:val="1"/>
                <w:color w:val="auto"/>
                <w:w w:val="96"/>
              </w:rPr>
              <w:t>on Cash Flow</w:t>
            </w:r>
          </w:p>
        </w:tc>
        <w:tc>
          <w:tcPr>
            <w:tcW w:w="280" w:type="dxa"/>
            <w:vAlign w:val="bottom"/>
          </w:tcPr>
          <w:p>
            <w:pPr>
              <w:spacing w:after="0"/>
              <w:rPr>
                <w:sz w:val="10"/>
                <w:szCs w:val="10"/>
                <w:color w:val="auto"/>
              </w:rPr>
            </w:pPr>
          </w:p>
        </w:tc>
        <w:tc>
          <w:tcPr>
            <w:tcW w:w="1540" w:type="dxa"/>
            <w:vAlign w:val="bottom"/>
            <w:gridSpan w:val="2"/>
          </w:tcPr>
          <w:p>
            <w:pPr>
              <w:jc w:val="center"/>
              <w:ind w:right="380"/>
              <w:spacing w:after="0" w:line="122" w:lineRule="exact"/>
              <w:rPr>
                <w:sz w:val="20"/>
                <w:szCs w:val="20"/>
                <w:color w:val="auto"/>
              </w:rPr>
            </w:pPr>
            <w:r>
              <w:rPr>
                <w:rFonts w:ascii="Arial" w:cs="Arial" w:eastAsia="Arial" w:hAnsi="Arial"/>
                <w:sz w:val="13"/>
                <w:szCs w:val="13"/>
                <w:b w:val="1"/>
                <w:bCs w:val="1"/>
                <w:color w:val="auto"/>
                <w:w w:val="97"/>
              </w:rPr>
              <w:t>Liability</w:t>
            </w:r>
          </w:p>
        </w:tc>
        <w:tc>
          <w:tcPr>
            <w:tcW w:w="240" w:type="dxa"/>
            <w:vAlign w:val="bottom"/>
          </w:tcPr>
          <w:p>
            <w:pPr>
              <w:spacing w:after="0"/>
              <w:rPr>
                <w:sz w:val="10"/>
                <w:szCs w:val="10"/>
                <w:color w:val="auto"/>
              </w:rPr>
            </w:pPr>
          </w:p>
        </w:tc>
        <w:tc>
          <w:tcPr>
            <w:tcW w:w="1480" w:type="dxa"/>
            <w:vAlign w:val="bottom"/>
          </w:tcPr>
          <w:p>
            <w:pPr>
              <w:jc w:val="center"/>
              <w:ind w:right="177"/>
              <w:spacing w:after="0" w:line="122" w:lineRule="exact"/>
              <w:rPr>
                <w:sz w:val="20"/>
                <w:szCs w:val="20"/>
                <w:color w:val="auto"/>
              </w:rPr>
            </w:pPr>
            <w:r>
              <w:rPr>
                <w:rFonts w:ascii="Arial" w:cs="Arial" w:eastAsia="Arial" w:hAnsi="Arial"/>
                <w:sz w:val="13"/>
                <w:szCs w:val="13"/>
                <w:b w:val="1"/>
                <w:bCs w:val="1"/>
                <w:color w:val="auto"/>
                <w:w w:val="98"/>
              </w:rPr>
              <w:t>Comprehensive</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340" w:type="dxa"/>
            <w:vAlign w:val="bottom"/>
          </w:tcPr>
          <w:p>
            <w:pPr>
              <w:jc w:val="center"/>
              <w:ind w:left="317"/>
              <w:spacing w:after="0"/>
              <w:rPr>
                <w:sz w:val="20"/>
                <w:szCs w:val="20"/>
                <w:color w:val="auto"/>
              </w:rPr>
            </w:pPr>
            <w:r>
              <w:rPr>
                <w:rFonts w:ascii="Arial" w:cs="Arial" w:eastAsia="Arial" w:hAnsi="Arial"/>
                <w:sz w:val="13"/>
                <w:szCs w:val="13"/>
                <w:b w:val="1"/>
                <w:bCs w:val="1"/>
                <w:color w:val="auto"/>
                <w:w w:val="96"/>
              </w:rPr>
              <w:t>Adjustments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tcPr>
          <w:p>
            <w:pPr>
              <w:jc w:val="center"/>
              <w:ind w:right="340"/>
              <w:spacing w:after="0" w:line="175" w:lineRule="exact"/>
              <w:rPr>
                <w:sz w:val="20"/>
                <w:szCs w:val="20"/>
                <w:color w:val="auto"/>
              </w:rPr>
            </w:pPr>
            <w:r>
              <w:rPr>
                <w:rFonts w:ascii="Arial" w:cs="Arial" w:eastAsia="Arial" w:hAnsi="Arial"/>
                <w:sz w:val="13"/>
                <w:szCs w:val="13"/>
                <w:b w:val="1"/>
                <w:bCs w:val="1"/>
                <w:color w:val="auto"/>
                <w:w w:val="93"/>
              </w:rPr>
              <w:t>Hedges</w:t>
            </w:r>
            <w:r>
              <w:rPr>
                <w:rFonts w:ascii="Arial" w:cs="Arial" w:eastAsia="Arial" w:hAnsi="Arial"/>
                <w:sz w:val="16"/>
                <w:szCs w:val="16"/>
                <w:b w:val="1"/>
                <w:bCs w:val="1"/>
                <w:color w:val="auto"/>
                <w:w w:val="93"/>
                <w:vertAlign w:val="superscript"/>
              </w:rPr>
              <w:t>(a)</w:t>
            </w:r>
          </w:p>
        </w:tc>
        <w:tc>
          <w:tcPr>
            <w:tcW w:w="280" w:type="dxa"/>
            <w:vAlign w:val="bottom"/>
          </w:tcPr>
          <w:p>
            <w:pPr>
              <w:spacing w:after="0"/>
              <w:rPr>
                <w:sz w:val="15"/>
                <w:szCs w:val="15"/>
                <w:color w:val="auto"/>
              </w:rPr>
            </w:pPr>
          </w:p>
        </w:tc>
        <w:tc>
          <w:tcPr>
            <w:tcW w:w="1540" w:type="dxa"/>
            <w:vAlign w:val="bottom"/>
            <w:gridSpan w:val="2"/>
          </w:tcPr>
          <w:p>
            <w:pPr>
              <w:jc w:val="center"/>
              <w:ind w:right="380"/>
              <w:spacing w:after="0" w:line="175" w:lineRule="exact"/>
              <w:rPr>
                <w:sz w:val="20"/>
                <w:szCs w:val="20"/>
                <w:color w:val="auto"/>
              </w:rPr>
            </w:pPr>
            <w:r>
              <w:rPr>
                <w:rFonts w:ascii="Arial" w:cs="Arial" w:eastAsia="Arial" w:hAnsi="Arial"/>
                <w:sz w:val="13"/>
                <w:szCs w:val="13"/>
                <w:b w:val="1"/>
                <w:bCs w:val="1"/>
                <w:color w:val="auto"/>
                <w:w w:val="93"/>
              </w:rPr>
              <w:t>Adjustment</w:t>
            </w:r>
            <w:r>
              <w:rPr>
                <w:rFonts w:ascii="Arial" w:cs="Arial" w:eastAsia="Arial" w:hAnsi="Arial"/>
                <w:sz w:val="16"/>
                <w:szCs w:val="16"/>
                <w:b w:val="1"/>
                <w:bCs w:val="1"/>
                <w:color w:val="auto"/>
                <w:w w:val="93"/>
                <w:vertAlign w:val="superscript"/>
              </w:rPr>
              <w:t>(b)</w:t>
            </w:r>
          </w:p>
        </w:tc>
        <w:tc>
          <w:tcPr>
            <w:tcW w:w="240" w:type="dxa"/>
            <w:vAlign w:val="bottom"/>
          </w:tcPr>
          <w:p>
            <w:pPr>
              <w:spacing w:after="0"/>
              <w:rPr>
                <w:sz w:val="15"/>
                <w:szCs w:val="15"/>
                <w:color w:val="auto"/>
              </w:rPr>
            </w:pPr>
          </w:p>
        </w:tc>
        <w:tc>
          <w:tcPr>
            <w:tcW w:w="1480" w:type="dxa"/>
            <w:vAlign w:val="bottom"/>
          </w:tcPr>
          <w:p>
            <w:pPr>
              <w:jc w:val="center"/>
              <w:ind w:right="177"/>
              <w:spacing w:after="0"/>
              <w:rPr>
                <w:sz w:val="20"/>
                <w:szCs w:val="20"/>
                <w:color w:val="auto"/>
              </w:rPr>
            </w:pPr>
            <w:r>
              <w:rPr>
                <w:rFonts w:ascii="Arial" w:cs="Arial" w:eastAsia="Arial" w:hAnsi="Arial"/>
                <w:sz w:val="13"/>
                <w:szCs w:val="13"/>
                <w:b w:val="1"/>
                <w:bCs w:val="1"/>
                <w:color w:val="auto"/>
                <w:w w:val="95"/>
              </w:rPr>
              <w:t>Income (Loss)</w:t>
            </w:r>
          </w:p>
        </w:tc>
        <w:tc>
          <w:tcPr>
            <w:tcW w:w="0" w:type="dxa"/>
            <w:vAlign w:val="bottom"/>
          </w:tcPr>
          <w:p>
            <w:pPr>
              <w:spacing w:after="0"/>
              <w:rPr>
                <w:sz w:val="1"/>
                <w:szCs w:val="1"/>
                <w:color w:val="auto"/>
              </w:rPr>
            </w:pPr>
          </w:p>
        </w:tc>
      </w:tr>
      <w:tr>
        <w:trPr>
          <w:trHeight w:val="161"/>
        </w:trPr>
        <w:tc>
          <w:tcPr>
            <w:tcW w:w="2920" w:type="dxa"/>
            <w:vAlign w:val="bottom"/>
          </w:tcPr>
          <w:p>
            <w:pPr>
              <w:spacing w:after="0"/>
              <w:rPr>
                <w:sz w:val="20"/>
                <w:szCs w:val="20"/>
                <w:color w:val="auto"/>
              </w:rPr>
            </w:pPr>
            <w:r>
              <w:rPr>
                <w:rFonts w:ascii="Arial" w:cs="Arial" w:eastAsia="Arial" w:hAnsi="Arial"/>
                <w:sz w:val="13"/>
                <w:szCs w:val="13"/>
                <w:color w:val="auto"/>
              </w:rPr>
              <w:t>Balance, January 1, 2020</w:t>
            </w:r>
          </w:p>
        </w:tc>
        <w:tc>
          <w:tcPr>
            <w:tcW w:w="1340" w:type="dxa"/>
            <w:vAlign w:val="bottom"/>
            <w:tcBorders>
              <w:top w:val="single" w:sz="8" w:color="auto"/>
            </w:tcBorders>
          </w:tcPr>
          <w:p>
            <w:pPr>
              <w:jc w:val="right"/>
              <w:ind w:right="1197"/>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3"/>
                <w:szCs w:val="13"/>
                <w:color w:val="auto"/>
              </w:rPr>
            </w:pPr>
          </w:p>
        </w:tc>
        <w:tc>
          <w:tcPr>
            <w:tcW w:w="2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3"/>
                <w:szCs w:val="13"/>
                <w:color w:val="auto"/>
              </w:rPr>
            </w:pPr>
          </w:p>
        </w:tc>
        <w:tc>
          <w:tcPr>
            <w:tcW w:w="28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13"/>
                <w:szCs w:val="13"/>
                <w:color w:val="auto"/>
              </w:rPr>
            </w:pPr>
          </w:p>
        </w:tc>
        <w:tc>
          <w:tcPr>
            <w:tcW w:w="24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30"/>
        </w:trPr>
        <w:tc>
          <w:tcPr>
            <w:tcW w:w="2920" w:type="dxa"/>
            <w:vAlign w:val="bottom"/>
          </w:tcPr>
          <w:p>
            <w:pPr>
              <w:ind w:left="200"/>
              <w:spacing w:after="0" w:line="130" w:lineRule="exact"/>
              <w:rPr>
                <w:sz w:val="20"/>
                <w:szCs w:val="20"/>
                <w:color w:val="auto"/>
              </w:rPr>
            </w:pPr>
            <w:r>
              <w:rPr>
                <w:rFonts w:ascii="Arial" w:cs="Arial" w:eastAsia="Arial" w:hAnsi="Arial"/>
                <w:sz w:val="13"/>
                <w:szCs w:val="13"/>
                <w:color w:val="auto"/>
              </w:rPr>
              <w:t>Other comprehensive income (loss) before</w:t>
            </w:r>
          </w:p>
        </w:tc>
        <w:tc>
          <w:tcPr>
            <w:tcW w:w="134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restart"/>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restart"/>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67"/>
        </w:trPr>
        <w:tc>
          <w:tcPr>
            <w:tcW w:w="2920" w:type="dxa"/>
            <w:vAlign w:val="bottom"/>
          </w:tcPr>
          <w:p>
            <w:pPr>
              <w:ind w:left="360"/>
              <w:spacing w:after="0"/>
              <w:rPr>
                <w:sz w:val="20"/>
                <w:szCs w:val="20"/>
                <w:color w:val="auto"/>
              </w:rPr>
            </w:pPr>
            <w:r>
              <w:rPr>
                <w:rFonts w:ascii="Arial" w:cs="Arial" w:eastAsia="Arial" w:hAnsi="Arial"/>
                <w:sz w:val="13"/>
                <w:szCs w:val="13"/>
                <w:color w:val="auto"/>
              </w:rPr>
              <w:t>reclassifications</w:t>
            </w:r>
          </w:p>
        </w:tc>
        <w:tc>
          <w:tcPr>
            <w:tcW w:w="13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920" w:type="dxa"/>
            <w:vAlign w:val="bottom"/>
          </w:tcPr>
          <w:p>
            <w:pPr>
              <w:ind w:left="200"/>
              <w:spacing w:after="0" w:line="130" w:lineRule="exact"/>
              <w:rPr>
                <w:sz w:val="20"/>
                <w:szCs w:val="20"/>
                <w:color w:val="auto"/>
              </w:rPr>
            </w:pPr>
            <w:r>
              <w:rPr>
                <w:rFonts w:ascii="Arial" w:cs="Arial" w:eastAsia="Arial" w:hAnsi="Arial"/>
                <w:sz w:val="13"/>
                <w:szCs w:val="13"/>
                <w:color w:val="auto"/>
              </w:rPr>
              <w:t>Amounts reclassified from accumulated other</w:t>
            </w:r>
          </w:p>
        </w:tc>
        <w:tc>
          <w:tcPr>
            <w:tcW w:w="1340" w:type="dxa"/>
            <w:vAlign w:val="bottom"/>
          </w:tcPr>
          <w:p>
            <w:pPr>
              <w:spacing w:after="0"/>
              <w:rPr>
                <w:sz w:val="11"/>
                <w:szCs w:val="11"/>
                <w:color w:val="auto"/>
              </w:rPr>
            </w:pPr>
          </w:p>
        </w:tc>
        <w:tc>
          <w:tcPr>
            <w:tcW w:w="4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148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restart"/>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0"/>
        </w:trPr>
        <w:tc>
          <w:tcPr>
            <w:tcW w:w="2920" w:type="dxa"/>
            <w:vAlign w:val="bottom"/>
          </w:tcPr>
          <w:p>
            <w:pPr>
              <w:ind w:left="360"/>
              <w:spacing w:after="0"/>
              <w:rPr>
                <w:sz w:val="20"/>
                <w:szCs w:val="20"/>
                <w:color w:val="auto"/>
              </w:rPr>
            </w:pPr>
            <w:r>
              <w:rPr>
                <w:rFonts w:ascii="Arial" w:cs="Arial" w:eastAsia="Arial" w:hAnsi="Arial"/>
                <w:sz w:val="13"/>
                <w:szCs w:val="13"/>
                <w:color w:val="auto"/>
              </w:rPr>
              <w:t>comprehensive income (loss)</w:t>
            </w:r>
          </w:p>
        </w:tc>
        <w:tc>
          <w:tcPr>
            <w:tcW w:w="134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920" w:type="dxa"/>
            <w:vAlign w:val="bottom"/>
          </w:tcPr>
          <w:p>
            <w:pPr>
              <w:spacing w:after="0" w:line="107" w:lineRule="exact"/>
              <w:rPr>
                <w:sz w:val="20"/>
                <w:szCs w:val="20"/>
                <w:color w:val="auto"/>
              </w:rPr>
            </w:pPr>
            <w:r>
              <w:rPr>
                <w:rFonts w:ascii="Arial" w:cs="Arial" w:eastAsia="Arial" w:hAnsi="Arial"/>
                <w:sz w:val="12"/>
                <w:szCs w:val="12"/>
                <w:color w:val="auto"/>
              </w:rPr>
              <w:t>Net current-period other comprehensive income</w:t>
            </w:r>
          </w:p>
        </w:tc>
        <w:tc>
          <w:tcPr>
            <w:tcW w:w="1340" w:type="dxa"/>
            <w:vAlign w:val="bottom"/>
            <w:tcBorders>
              <w:top w:val="single" w:sz="8" w:color="auto"/>
            </w:tcBorders>
          </w:tcPr>
          <w:p>
            <w:pPr>
              <w:spacing w:after="0"/>
              <w:rPr>
                <w:sz w:val="9"/>
                <w:szCs w:val="9"/>
                <w:color w:val="auto"/>
              </w:rPr>
            </w:pPr>
          </w:p>
        </w:tc>
        <w:tc>
          <w:tcPr>
            <w:tcW w:w="3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4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4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73"/>
        </w:trPr>
        <w:tc>
          <w:tcPr>
            <w:tcW w:w="2920" w:type="dxa"/>
            <w:vAlign w:val="bottom"/>
          </w:tcPr>
          <w:p>
            <w:pPr>
              <w:ind w:left="160"/>
              <w:spacing w:after="0"/>
              <w:rPr>
                <w:sz w:val="20"/>
                <w:szCs w:val="20"/>
                <w:color w:val="auto"/>
              </w:rPr>
            </w:pPr>
            <w:r>
              <w:rPr>
                <w:rFonts w:ascii="Arial" w:cs="Arial" w:eastAsia="Arial" w:hAnsi="Arial"/>
                <w:sz w:val="13"/>
                <w:szCs w:val="13"/>
                <w:color w:val="auto"/>
              </w:rPr>
              <w:t>(loss)</w:t>
            </w:r>
          </w:p>
        </w:tc>
        <w:tc>
          <w:tcPr>
            <w:tcW w:w="13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920" w:type="dxa"/>
            <w:vAlign w:val="bottom"/>
          </w:tcPr>
          <w:p>
            <w:pPr>
              <w:spacing w:after="0"/>
              <w:rPr>
                <w:sz w:val="20"/>
                <w:szCs w:val="20"/>
                <w:color w:val="auto"/>
              </w:rPr>
            </w:pPr>
            <w:r>
              <w:rPr>
                <w:rFonts w:ascii="Arial" w:cs="Arial" w:eastAsia="Arial" w:hAnsi="Arial"/>
                <w:sz w:val="13"/>
                <w:szCs w:val="13"/>
                <w:color w:val="auto"/>
              </w:rPr>
              <w:t>Balance, September 30, 2020</w:t>
            </w:r>
          </w:p>
        </w:tc>
        <w:tc>
          <w:tcPr>
            <w:tcW w:w="1340" w:type="dxa"/>
            <w:vAlign w:val="bottom"/>
            <w:tcBorders>
              <w:bottom w:val="single" w:sz="8" w:color="auto"/>
            </w:tcBorders>
          </w:tcPr>
          <w:p>
            <w:pPr>
              <w:jc w:val="right"/>
              <w:ind w:right="1197"/>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2920" w:type="dxa"/>
            <w:vAlign w:val="bottom"/>
          </w:tcPr>
          <w:p>
            <w:pPr>
              <w:spacing w:after="0"/>
              <w:rPr>
                <w:sz w:val="20"/>
                <w:szCs w:val="20"/>
                <w:color w:val="auto"/>
              </w:rPr>
            </w:pPr>
            <w:r>
              <w:rPr>
                <w:rFonts w:ascii="Arial" w:cs="Arial" w:eastAsia="Arial" w:hAnsi="Arial"/>
                <w:sz w:val="13"/>
                <w:szCs w:val="13"/>
                <w:color w:val="auto"/>
              </w:rPr>
              <w:t>Balance, December 31, 2018</w:t>
            </w:r>
          </w:p>
        </w:tc>
        <w:tc>
          <w:tcPr>
            <w:tcW w:w="1340" w:type="dxa"/>
            <w:vAlign w:val="bottom"/>
          </w:tcPr>
          <w:p>
            <w:pPr>
              <w:jc w:val="right"/>
              <w:ind w:right="1197"/>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4"/>
                <w:szCs w:val="2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(132)</w:t>
            </w:r>
          </w:p>
        </w:tc>
        <w:tc>
          <w:tcPr>
            <w:tcW w:w="100" w:type="dxa"/>
            <w:vAlign w:val="bottom"/>
          </w:tcPr>
          <w:p>
            <w:pPr>
              <w:spacing w:after="0"/>
              <w:rPr>
                <w:sz w:val="24"/>
                <w:szCs w:val="24"/>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83"/>
        </w:trPr>
        <w:tc>
          <w:tcPr>
            <w:tcW w:w="2920" w:type="dxa"/>
            <w:vAlign w:val="bottom"/>
          </w:tcPr>
          <w:p>
            <w:pPr>
              <w:ind w:left="200"/>
              <w:spacing w:after="0"/>
              <w:rPr>
                <w:sz w:val="20"/>
                <w:szCs w:val="20"/>
                <w:color w:val="auto"/>
              </w:rPr>
            </w:pPr>
            <w:r>
              <w:rPr>
                <w:rFonts w:ascii="Arial" w:cs="Arial" w:eastAsia="Arial" w:hAnsi="Arial"/>
                <w:sz w:val="13"/>
                <w:szCs w:val="13"/>
                <w:color w:val="auto"/>
              </w:rPr>
              <w:t>Cumulative effect of accounting change</w:t>
            </w:r>
          </w:p>
        </w:tc>
        <w:tc>
          <w:tcPr>
            <w:tcW w:w="1340" w:type="dxa"/>
            <w:vAlign w:val="bottom"/>
          </w:tcPr>
          <w:p>
            <w:pPr>
              <w:spacing w:after="0"/>
              <w:rPr>
                <w:sz w:val="15"/>
                <w:szCs w:val="15"/>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0"/>
        </w:trPr>
        <w:tc>
          <w:tcPr>
            <w:tcW w:w="2920" w:type="dxa"/>
            <w:vAlign w:val="bottom"/>
          </w:tcPr>
          <w:p>
            <w:pPr>
              <w:spacing w:after="0"/>
              <w:rPr>
                <w:sz w:val="20"/>
                <w:szCs w:val="20"/>
                <w:color w:val="auto"/>
              </w:rPr>
            </w:pPr>
            <w:r>
              <w:rPr>
                <w:rFonts w:ascii="Arial" w:cs="Arial" w:eastAsia="Arial" w:hAnsi="Arial"/>
                <w:sz w:val="13"/>
                <w:szCs w:val="13"/>
                <w:color w:val="auto"/>
              </w:rPr>
              <w:t>Balance, January 1, 2019</w:t>
            </w:r>
          </w:p>
        </w:tc>
        <w:tc>
          <w:tcPr>
            <w:tcW w:w="1340" w:type="dxa"/>
            <w:vAlign w:val="bottom"/>
            <w:tcBorders>
              <w:top w:val="single" w:sz="8" w:color="auto"/>
              <w:bottom w:val="single" w:sz="8" w:color="auto"/>
            </w:tcBorders>
          </w:tcPr>
          <w:p>
            <w:pPr>
              <w:jc w:val="right"/>
              <w:ind w:right="1197"/>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(132)</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07"/>
        </w:trPr>
        <w:tc>
          <w:tcPr>
            <w:tcW w:w="2920" w:type="dxa"/>
            <w:vAlign w:val="bottom"/>
          </w:tcPr>
          <w:p>
            <w:pPr>
              <w:ind w:left="200"/>
              <w:spacing w:after="0" w:line="107" w:lineRule="exact"/>
              <w:rPr>
                <w:sz w:val="20"/>
                <w:szCs w:val="20"/>
                <w:color w:val="auto"/>
              </w:rPr>
            </w:pPr>
            <w:r>
              <w:rPr>
                <w:rFonts w:ascii="Arial" w:cs="Arial" w:eastAsia="Arial" w:hAnsi="Arial"/>
                <w:sz w:val="12"/>
                <w:szCs w:val="12"/>
                <w:color w:val="auto"/>
              </w:rPr>
              <w:t>Other comprehensive income (loss) before</w:t>
            </w:r>
          </w:p>
        </w:tc>
        <w:tc>
          <w:tcPr>
            <w:tcW w:w="134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vMerge w:val="restart"/>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4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vMerge w:val="restart"/>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67"/>
        </w:trPr>
        <w:tc>
          <w:tcPr>
            <w:tcW w:w="2920" w:type="dxa"/>
            <w:vAlign w:val="bottom"/>
          </w:tcPr>
          <w:p>
            <w:pPr>
              <w:ind w:left="360"/>
              <w:spacing w:after="0"/>
              <w:rPr>
                <w:sz w:val="20"/>
                <w:szCs w:val="20"/>
                <w:color w:val="auto"/>
              </w:rPr>
            </w:pPr>
            <w:r>
              <w:rPr>
                <w:rFonts w:ascii="Arial" w:cs="Arial" w:eastAsia="Arial" w:hAnsi="Arial"/>
                <w:sz w:val="13"/>
                <w:szCs w:val="13"/>
                <w:color w:val="auto"/>
              </w:rPr>
              <w:t>reclassifications</w:t>
            </w:r>
          </w:p>
        </w:tc>
        <w:tc>
          <w:tcPr>
            <w:tcW w:w="13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920" w:type="dxa"/>
            <w:vAlign w:val="bottom"/>
          </w:tcPr>
          <w:p>
            <w:pPr>
              <w:ind w:left="200"/>
              <w:spacing w:after="0" w:line="130" w:lineRule="exact"/>
              <w:rPr>
                <w:sz w:val="20"/>
                <w:szCs w:val="20"/>
                <w:color w:val="auto"/>
              </w:rPr>
            </w:pPr>
            <w:r>
              <w:rPr>
                <w:rFonts w:ascii="Arial" w:cs="Arial" w:eastAsia="Arial" w:hAnsi="Arial"/>
                <w:sz w:val="13"/>
                <w:szCs w:val="13"/>
                <w:color w:val="auto"/>
              </w:rPr>
              <w:t>Amounts reclassified from accumulated other</w:t>
            </w:r>
          </w:p>
        </w:tc>
        <w:tc>
          <w:tcPr>
            <w:tcW w:w="1340" w:type="dxa"/>
            <w:vAlign w:val="bottom"/>
          </w:tcPr>
          <w:p>
            <w:pPr>
              <w:spacing w:after="0"/>
              <w:rPr>
                <w:sz w:val="11"/>
                <w:szCs w:val="11"/>
                <w:color w:val="auto"/>
              </w:rPr>
            </w:pPr>
          </w:p>
        </w:tc>
        <w:tc>
          <w:tcPr>
            <w:tcW w:w="4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148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0"/>
        </w:trPr>
        <w:tc>
          <w:tcPr>
            <w:tcW w:w="2920" w:type="dxa"/>
            <w:vAlign w:val="bottom"/>
          </w:tcPr>
          <w:p>
            <w:pPr>
              <w:ind w:left="360"/>
              <w:spacing w:after="0"/>
              <w:rPr>
                <w:sz w:val="20"/>
                <w:szCs w:val="20"/>
                <w:color w:val="auto"/>
              </w:rPr>
            </w:pPr>
            <w:r>
              <w:rPr>
                <w:rFonts w:ascii="Arial" w:cs="Arial" w:eastAsia="Arial" w:hAnsi="Arial"/>
                <w:sz w:val="13"/>
                <w:szCs w:val="13"/>
                <w:color w:val="auto"/>
              </w:rPr>
              <w:t>comprehensive income (loss)</w:t>
            </w:r>
          </w:p>
        </w:tc>
        <w:tc>
          <w:tcPr>
            <w:tcW w:w="134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920" w:type="dxa"/>
            <w:vAlign w:val="bottom"/>
          </w:tcPr>
          <w:p>
            <w:pPr>
              <w:spacing w:after="0" w:line="107" w:lineRule="exact"/>
              <w:rPr>
                <w:sz w:val="20"/>
                <w:szCs w:val="20"/>
                <w:color w:val="auto"/>
              </w:rPr>
            </w:pPr>
            <w:r>
              <w:rPr>
                <w:rFonts w:ascii="Arial" w:cs="Arial" w:eastAsia="Arial" w:hAnsi="Arial"/>
                <w:sz w:val="12"/>
                <w:szCs w:val="12"/>
                <w:color w:val="auto"/>
              </w:rPr>
              <w:t>Net current-period other comprehensive income</w:t>
            </w:r>
          </w:p>
        </w:tc>
        <w:tc>
          <w:tcPr>
            <w:tcW w:w="1340" w:type="dxa"/>
            <w:vAlign w:val="bottom"/>
            <w:tcBorders>
              <w:top w:val="single" w:sz="8" w:color="auto"/>
            </w:tcBorders>
          </w:tcPr>
          <w:p>
            <w:pPr>
              <w:spacing w:after="0"/>
              <w:rPr>
                <w:sz w:val="9"/>
                <w:szCs w:val="9"/>
                <w:color w:val="auto"/>
              </w:rPr>
            </w:pPr>
          </w:p>
        </w:tc>
        <w:tc>
          <w:tcPr>
            <w:tcW w:w="3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4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4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73"/>
        </w:trPr>
        <w:tc>
          <w:tcPr>
            <w:tcW w:w="2920" w:type="dxa"/>
            <w:vAlign w:val="bottom"/>
          </w:tcPr>
          <w:p>
            <w:pPr>
              <w:ind w:left="160"/>
              <w:spacing w:after="0"/>
              <w:rPr>
                <w:sz w:val="20"/>
                <w:szCs w:val="20"/>
                <w:color w:val="auto"/>
              </w:rPr>
            </w:pPr>
            <w:r>
              <w:rPr>
                <w:rFonts w:ascii="Arial" w:cs="Arial" w:eastAsia="Arial" w:hAnsi="Arial"/>
                <w:sz w:val="13"/>
                <w:szCs w:val="13"/>
                <w:color w:val="auto"/>
              </w:rPr>
              <w:t>(loss)</w:t>
            </w:r>
          </w:p>
        </w:tc>
        <w:tc>
          <w:tcPr>
            <w:tcW w:w="13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920" w:type="dxa"/>
            <w:vAlign w:val="bottom"/>
          </w:tcPr>
          <w:p>
            <w:pPr>
              <w:spacing w:after="0"/>
              <w:rPr>
                <w:sz w:val="20"/>
                <w:szCs w:val="20"/>
                <w:color w:val="auto"/>
              </w:rPr>
            </w:pPr>
            <w:r>
              <w:rPr>
                <w:rFonts w:ascii="Arial" w:cs="Arial" w:eastAsia="Arial" w:hAnsi="Arial"/>
                <w:sz w:val="13"/>
                <w:szCs w:val="13"/>
                <w:color w:val="auto"/>
              </w:rPr>
              <w:t>Balance, September 30, 2019</w:t>
            </w:r>
          </w:p>
        </w:tc>
        <w:tc>
          <w:tcPr>
            <w:tcW w:w="1340" w:type="dxa"/>
            <w:vAlign w:val="bottom"/>
            <w:tcBorders>
              <w:bottom w:val="single" w:sz="8" w:color="auto"/>
            </w:tcBorders>
          </w:tcPr>
          <w:p>
            <w:pPr>
              <w:jc w:val="right"/>
              <w:ind w:right="1197"/>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36" w:lineRule="exact"/>
        <w:rPr>
          <w:sz w:val="20"/>
          <w:szCs w:val="20"/>
          <w:color w:val="auto"/>
        </w:rPr>
      </w:pPr>
    </w:p>
    <w:p>
      <w:pPr>
        <w:ind w:left="500"/>
        <w:spacing w:after="0" w:line="237"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a $47 million gain, net of tax, as of September 30, 2020 related to the Company’s hedge of its net investment in euro-denominated foreign operations (see Note 16–Financial Instruments).</w:t>
      </w:r>
    </w:p>
    <w:p>
      <w:pPr>
        <w:spacing w:after="0" w:line="1" w:lineRule="exact"/>
        <w:rPr>
          <w:sz w:val="20"/>
          <w:szCs w:val="20"/>
          <w:color w:val="auto"/>
        </w:rPr>
      </w:pPr>
    </w:p>
    <w:p>
      <w:pPr>
        <w:ind w:left="820" w:right="220" w:hanging="326"/>
        <w:spacing w:after="0" w:line="227" w:lineRule="auto"/>
        <w:tabs>
          <w:tab w:leader="none" w:pos="813" w:val="left"/>
        </w:tabs>
        <w:numPr>
          <w:ilvl w:val="1"/>
          <w:numId w:val="30"/>
        </w:numPr>
        <w:rPr>
          <w:rFonts w:ascii="Arial" w:cs="Arial" w:eastAsia="Arial" w:hAnsi="Arial"/>
          <w:sz w:val="19"/>
          <w:szCs w:val="19"/>
          <w:color w:val="auto"/>
          <w:vertAlign w:val="superscript"/>
        </w:rPr>
      </w:pPr>
      <w:r>
        <w:rPr>
          <w:rFonts w:ascii="Arial" w:cs="Arial" w:eastAsia="Arial" w:hAnsi="Arial"/>
          <w:sz w:val="14"/>
          <w:szCs w:val="14"/>
          <w:color w:val="auto"/>
        </w:rPr>
        <w:t>For the three and nine months ended September 30, 2020, the amount reclassified from accumulated other comprehensive income (loss) into corporate interest expense was $3 million ($3 million, net of tax) and $5 million ($4 million, net of tax), respectively. For the three and nine months ended September 30, 2020, the amount reclassified from accumulated other comprehensive income (loss) into vehicle interest expense was $1 million ($0 million, net of tax) and $2 million ($1 million, net of tax), respectively. For the three and nine months ended September 30, 2019, the amount reclassified from accumulated other comprehensive income (loss) in corporate interest expense was $1 million ($0 million, net of tax) and $4 million ($2 million, net of tax), respectively.</w:t>
      </w:r>
    </w:p>
    <w:p>
      <w:pPr>
        <w:spacing w:after="0" w:line="2" w:lineRule="exact"/>
        <w:rPr>
          <w:rFonts w:ascii="Arial" w:cs="Arial" w:eastAsia="Arial" w:hAnsi="Arial"/>
          <w:sz w:val="19"/>
          <w:szCs w:val="19"/>
          <w:color w:val="auto"/>
          <w:vertAlign w:val="superscript"/>
        </w:rPr>
      </w:pPr>
    </w:p>
    <w:p>
      <w:pPr>
        <w:ind w:left="820" w:right="60" w:hanging="326"/>
        <w:spacing w:after="0" w:line="226" w:lineRule="auto"/>
        <w:tabs>
          <w:tab w:leader="none" w:pos="813" w:val="left"/>
        </w:tabs>
        <w:numPr>
          <w:ilvl w:val="1"/>
          <w:numId w:val="30"/>
        </w:numPr>
        <w:rPr>
          <w:rFonts w:ascii="Arial" w:cs="Arial" w:eastAsia="Arial" w:hAnsi="Arial"/>
          <w:sz w:val="19"/>
          <w:szCs w:val="19"/>
          <w:color w:val="auto"/>
          <w:vertAlign w:val="superscript"/>
        </w:rPr>
      </w:pPr>
      <w:r>
        <w:rPr>
          <w:rFonts w:ascii="Arial" w:cs="Arial" w:eastAsia="Arial" w:hAnsi="Arial"/>
          <w:sz w:val="14"/>
          <w:szCs w:val="14"/>
          <w:color w:val="auto"/>
        </w:rPr>
        <w:t>For the three and nine months ended September 30, 2020, amounts reclassified from accumulated other comprehensive income (loss) into selling, general and administrative expenses were $2 million ($1 million, net of tax) and $6 million ($4 million, net of tax), respectively. For the three and nine months ended September 30, 2019, amounts reclassified from accumulated other comprehensive income (loss) into selling, general and administrative expenses were $2 million ($1 million, net of tax) and $6 million ($4 million, net of tax), respectively.</w:t>
      </w:r>
    </w:p>
    <w:p>
      <w:pPr>
        <w:spacing w:after="0" w:line="200" w:lineRule="exact"/>
        <w:rPr>
          <w:rFonts w:ascii="Arial" w:cs="Arial" w:eastAsia="Arial" w:hAnsi="Arial"/>
          <w:sz w:val="19"/>
          <w:szCs w:val="19"/>
          <w:color w:val="auto"/>
          <w:vertAlign w:val="superscript"/>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4" w:lineRule="exact"/>
        <w:rPr>
          <w:sz w:val="20"/>
          <w:szCs w:val="20"/>
          <w:color w:val="auto"/>
        </w:rPr>
      </w:pPr>
    </w:p>
    <w:p>
      <w:pPr>
        <w:ind w:left="500" w:right="200"/>
        <w:spacing w:after="0" w:line="264" w:lineRule="auto"/>
        <w:rPr>
          <w:sz w:val="20"/>
          <w:szCs w:val="20"/>
          <w:color w:val="auto"/>
        </w:rPr>
      </w:pPr>
      <w:r>
        <w:rPr>
          <w:rFonts w:ascii="Arial" w:cs="Arial" w:eastAsia="Arial" w:hAnsi="Arial"/>
          <w:sz w:val="18"/>
          <w:szCs w:val="18"/>
          <w:color w:val="auto"/>
        </w:rPr>
        <w:t>The Company recorded stock-based compensation expense of $4 million and $6 million ($3 million and $5 million, net of tax) during the three months ended September 30, 2020 and 2019, respectively. For the nine months ended September 30, 2020 and 2019, the company recorded stock-based compensation expenses of $6 million and $18 million ($4 million and $14 million, net of tax), respectively.</w:t>
      </w:r>
    </w:p>
    <w:p>
      <w:pPr>
        <w:spacing w:after="0" w:line="196" w:lineRule="exact"/>
        <w:rPr>
          <w:sz w:val="20"/>
          <w:szCs w:val="20"/>
          <w:color w:val="auto"/>
        </w:rPr>
      </w:pPr>
    </w:p>
    <w:p>
      <w:pPr>
        <w:jc w:val="both"/>
        <w:ind w:left="500" w:right="40"/>
        <w:spacing w:after="0" w:line="265" w:lineRule="auto"/>
        <w:rPr>
          <w:sz w:val="20"/>
          <w:szCs w:val="20"/>
          <w:color w:val="auto"/>
        </w:rPr>
      </w:pPr>
      <w:r>
        <w:rPr>
          <w:rFonts w:ascii="Arial" w:cs="Arial" w:eastAsia="Arial" w:hAnsi="Arial"/>
          <w:sz w:val="18"/>
          <w:szCs w:val="18"/>
          <w:color w:val="auto"/>
        </w:rPr>
        <w:t>In June 2020, the Company granted market-based restricted stock units (“RSUs”) that vest based on absolute stock price attainment. The grant date fair value of this award is estimated using a Monte Carlo simulation model. The weighted average assumptions used in the model are as follows:</w:t>
      </w:r>
    </w:p>
    <w:tbl>
      <w:tblPr>
        <w:tblLayout w:type="fixed"/>
        <w:tblInd w:w="520" w:type="dxa"/>
        <w:tblCellMar>
          <w:top w:w="0" w:type="dxa"/>
          <w:left w:w="0" w:type="dxa"/>
          <w:bottom w:w="0" w:type="dxa"/>
          <w:right w:w="0" w:type="dxa"/>
        </w:tblCellMar>
      </w:tblPr>
      <w:tr>
        <w:trPr>
          <w:trHeight w:val="188"/>
        </w:trPr>
        <w:tc>
          <w:tcPr>
            <w:tcW w:w="7640" w:type="dxa"/>
            <w:vAlign w:val="bottom"/>
          </w:tcPr>
          <w:p>
            <w:pPr>
              <w:spacing w:after="0"/>
              <w:rPr>
                <w:sz w:val="16"/>
                <w:szCs w:val="16"/>
                <w:color w:val="auto"/>
              </w:rPr>
            </w:pPr>
          </w:p>
        </w:tc>
        <w:tc>
          <w:tcPr>
            <w:tcW w:w="2500" w:type="dxa"/>
            <w:vAlign w:val="bottom"/>
          </w:tcPr>
          <w:p>
            <w:pPr>
              <w:jc w:val="center"/>
              <w:spacing w:after="0" w:line="188" w:lineRule="exact"/>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29"/>
        </w:trPr>
        <w:tc>
          <w:tcPr>
            <w:tcW w:w="7640" w:type="dxa"/>
            <w:vAlign w:val="bottom"/>
            <w:vMerge w:val="restart"/>
          </w:tcPr>
          <w:p>
            <w:pPr>
              <w:spacing w:after="0"/>
              <w:rPr>
                <w:sz w:val="20"/>
                <w:szCs w:val="20"/>
                <w:color w:val="auto"/>
              </w:rPr>
            </w:pPr>
            <w:r>
              <w:rPr>
                <w:rFonts w:ascii="Arial" w:cs="Arial" w:eastAsia="Arial" w:hAnsi="Arial"/>
                <w:sz w:val="18"/>
                <w:szCs w:val="18"/>
                <w:color w:val="auto"/>
              </w:rPr>
              <w:t>Expected volatility of stock price</w:t>
            </w: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September 30, 2020</w:t>
            </w:r>
          </w:p>
        </w:tc>
        <w:tc>
          <w:tcPr>
            <w:tcW w:w="0" w:type="dxa"/>
            <w:vAlign w:val="bottom"/>
          </w:tcPr>
          <w:p>
            <w:pPr>
              <w:spacing w:after="0"/>
              <w:rPr>
                <w:sz w:val="1"/>
                <w:szCs w:val="1"/>
                <w:color w:val="auto"/>
              </w:rPr>
            </w:pPr>
          </w:p>
        </w:tc>
      </w:tr>
      <w:tr>
        <w:trPr>
          <w:trHeight w:val="214"/>
        </w:trPr>
        <w:tc>
          <w:tcPr>
            <w:tcW w:w="7640" w:type="dxa"/>
            <w:vAlign w:val="bottom"/>
            <w:vMerge w:val="continue"/>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91%</w:t>
            </w:r>
          </w:p>
        </w:tc>
        <w:tc>
          <w:tcPr>
            <w:tcW w:w="0" w:type="dxa"/>
            <w:vAlign w:val="bottom"/>
          </w:tcPr>
          <w:p>
            <w:pPr>
              <w:spacing w:after="0"/>
              <w:rPr>
                <w:sz w:val="1"/>
                <w:szCs w:val="1"/>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500" w:type="dxa"/>
            <w:vAlign w:val="bottom"/>
          </w:tcPr>
          <w:p>
            <w:pPr>
              <w:jc w:val="center"/>
              <w:spacing w:after="0"/>
              <w:rPr>
                <w:sz w:val="20"/>
                <w:szCs w:val="20"/>
                <w:color w:val="auto"/>
              </w:rPr>
            </w:pPr>
            <w:r>
              <w:rPr>
                <w:rFonts w:ascii="Arial" w:cs="Arial" w:eastAsia="Arial" w:hAnsi="Arial"/>
                <w:sz w:val="18"/>
                <w:szCs w:val="18"/>
                <w:color w:val="auto"/>
                <w:w w:val="97"/>
              </w:rPr>
              <w:t>0.18%</w:t>
            </w:r>
          </w:p>
        </w:tc>
        <w:tc>
          <w:tcPr>
            <w:tcW w:w="0" w:type="dxa"/>
            <w:vAlign w:val="bottom"/>
          </w:tcPr>
          <w:p>
            <w:pPr>
              <w:spacing w:after="0"/>
              <w:rPr>
                <w:sz w:val="1"/>
                <w:szCs w:val="1"/>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Valuation period</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3 years</w:t>
            </w:r>
          </w:p>
        </w:tc>
        <w:tc>
          <w:tcPr>
            <w:tcW w:w="0" w:type="dxa"/>
            <w:vAlign w:val="bottom"/>
          </w:tcPr>
          <w:p>
            <w:pPr>
              <w:spacing w:after="0"/>
              <w:rPr>
                <w:sz w:val="1"/>
                <w:szCs w:val="1"/>
                <w:color w:val="auto"/>
              </w:rPr>
            </w:pPr>
          </w:p>
        </w:tc>
      </w:tr>
      <w:tr>
        <w:trPr>
          <w:trHeight w:val="243"/>
        </w:trPr>
        <w:tc>
          <w:tcPr>
            <w:tcW w:w="7640" w:type="dxa"/>
            <w:vAlign w:val="bottom"/>
          </w:tcPr>
          <w:p>
            <w:pPr>
              <w:spacing w:after="0"/>
              <w:rPr>
                <w:sz w:val="20"/>
                <w:szCs w:val="20"/>
                <w:color w:val="auto"/>
              </w:rPr>
            </w:pPr>
            <w:r>
              <w:rPr>
                <w:rFonts w:ascii="Arial" w:cs="Arial" w:eastAsia="Arial" w:hAnsi="Arial"/>
                <w:sz w:val="18"/>
                <w:szCs w:val="18"/>
                <w:color w:val="auto"/>
              </w:rPr>
              <w:t>Dividend yield</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activity related to RSUs consisted of (in thousands of shares):</w:t>
      </w:r>
    </w:p>
    <w:p>
      <w:pPr>
        <w:spacing w:after="0" w:line="37"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9"/>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Average</w:t>
            </w:r>
          </w:p>
        </w:tc>
        <w:tc>
          <w:tcPr>
            <w:tcW w:w="140" w:type="dxa"/>
            <w:vAlign w:val="bottom"/>
          </w:tcPr>
          <w:p>
            <w:pPr>
              <w:spacing w:after="0"/>
              <w:rPr>
                <w:sz w:val="14"/>
                <w:szCs w:val="14"/>
                <w:color w:val="auto"/>
              </w:rPr>
            </w:pPr>
          </w:p>
        </w:tc>
        <w:tc>
          <w:tcPr>
            <w:tcW w:w="112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12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Average</w:t>
            </w:r>
          </w:p>
        </w:tc>
        <w:tc>
          <w:tcPr>
            <w:tcW w:w="13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Remaining</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Grant Date</w:t>
            </w:r>
          </w:p>
        </w:tc>
        <w:tc>
          <w:tcPr>
            <w:tcW w:w="134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Contractual</w:t>
            </w:r>
          </w:p>
        </w:tc>
        <w:tc>
          <w:tcPr>
            <w:tcW w:w="12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16"/>
        </w:trPr>
        <w:tc>
          <w:tcPr>
            <w:tcW w:w="4840" w:type="dxa"/>
            <w:vAlign w:val="bottom"/>
            <w:vMerge w:val="restart"/>
          </w:tcPr>
          <w:p>
            <w:pPr>
              <w:spacing w:after="0"/>
              <w:rPr>
                <w:sz w:val="20"/>
                <w:szCs w:val="20"/>
                <w:color w:val="auto"/>
              </w:rPr>
            </w:pPr>
            <w:r>
              <w:rPr>
                <w:rFonts w:ascii="Arial" w:cs="Arial" w:eastAsia="Arial" w:hAnsi="Arial"/>
                <w:sz w:val="16"/>
                <w:szCs w:val="16"/>
                <w:b w:val="1"/>
                <w:bCs w:val="1"/>
                <w:color w:val="auto"/>
              </w:rPr>
              <w:t>Time-based RSUs</w:t>
            </w:r>
          </w:p>
        </w:tc>
        <w:tc>
          <w:tcPr>
            <w:tcW w:w="1220" w:type="dxa"/>
            <w:vAlign w:val="bottom"/>
          </w:tcPr>
          <w:p>
            <w:pPr>
              <w:jc w:val="right"/>
              <w:ind w:right="25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Fair Value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Term (years)</w:t>
            </w:r>
          </w:p>
        </w:tc>
        <w:tc>
          <w:tcPr>
            <w:tcW w:w="140" w:type="dxa"/>
            <w:vAlign w:val="bottom"/>
          </w:tcPr>
          <w:p>
            <w:pPr>
              <w:spacing w:after="0"/>
              <w:rPr>
                <w:sz w:val="18"/>
                <w:szCs w:val="18"/>
                <w:color w:val="auto"/>
              </w:rPr>
            </w:pPr>
          </w:p>
        </w:tc>
        <w:tc>
          <w:tcPr>
            <w:tcW w:w="1120" w:type="dxa"/>
            <w:vAlign w:val="bottom"/>
          </w:tcPr>
          <w:p>
            <w:pPr>
              <w:jc w:val="center"/>
              <w:ind w:right="5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191"/>
        </w:trPr>
        <w:tc>
          <w:tcPr>
            <w:tcW w:w="4840" w:type="dxa"/>
            <w:vAlign w:val="bottom"/>
            <w:vMerge w:val="continue"/>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60"/>
              <w:spacing w:after="0"/>
              <w:rPr>
                <w:sz w:val="20"/>
                <w:szCs w:val="20"/>
                <w:color w:val="auto"/>
              </w:rPr>
            </w:pPr>
            <w:r>
              <w:rPr>
                <w:rFonts w:ascii="Arial" w:cs="Arial" w:eastAsia="Arial" w:hAnsi="Arial"/>
                <w:sz w:val="16"/>
                <w:szCs w:val="16"/>
                <w:color w:val="auto"/>
              </w:rPr>
              <w:t>Outstanding at January 1, 2020</w:t>
            </w:r>
          </w:p>
        </w:tc>
        <w:tc>
          <w:tcPr>
            <w:tcW w:w="1220" w:type="dxa"/>
            <w:vAlign w:val="bottom"/>
          </w:tcPr>
          <w:p>
            <w:pPr>
              <w:jc w:val="right"/>
              <w:spacing w:after="0"/>
              <w:rPr>
                <w:sz w:val="20"/>
                <w:szCs w:val="20"/>
                <w:color w:val="auto"/>
              </w:rPr>
            </w:pPr>
            <w:r>
              <w:rPr>
                <w:rFonts w:ascii="Arial" w:cs="Arial" w:eastAsia="Arial" w:hAnsi="Arial"/>
                <w:sz w:val="16"/>
                <w:szCs w:val="16"/>
                <w:color w:val="auto"/>
              </w:rPr>
              <w:t>847</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36.99</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(a)</w:t>
            </w:r>
          </w:p>
        </w:tc>
        <w:tc>
          <w:tcPr>
            <w:tcW w:w="1220" w:type="dxa"/>
            <w:vAlign w:val="bottom"/>
          </w:tcPr>
          <w:p>
            <w:pPr>
              <w:jc w:val="right"/>
              <w:spacing w:after="0"/>
              <w:rPr>
                <w:sz w:val="20"/>
                <w:szCs w:val="20"/>
                <w:color w:val="auto"/>
              </w:rPr>
            </w:pPr>
            <w:r>
              <w:rPr>
                <w:rFonts w:ascii="Arial" w:cs="Arial" w:eastAsia="Arial" w:hAnsi="Arial"/>
                <w:sz w:val="16"/>
                <w:szCs w:val="16"/>
                <w:color w:val="auto"/>
              </w:rPr>
              <w:t>798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23.14</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(b)</w:t>
            </w:r>
          </w:p>
        </w:tc>
        <w:tc>
          <w:tcPr>
            <w:tcW w:w="1220" w:type="dxa"/>
            <w:vAlign w:val="bottom"/>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37.82</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40" w:type="dxa"/>
            <w:vAlign w:val="bottom"/>
          </w:tcPr>
          <w:p>
            <w:pPr>
              <w:ind w:left="360"/>
              <w:spacing w:after="0"/>
              <w:rPr>
                <w:sz w:val="20"/>
                <w:szCs w:val="20"/>
                <w:color w:val="auto"/>
              </w:rPr>
            </w:pPr>
            <w:r>
              <w:rPr>
                <w:rFonts w:ascii="Arial" w:cs="Arial" w:eastAsia="Arial" w:hAnsi="Arial"/>
                <w:sz w:val="16"/>
                <w:szCs w:val="16"/>
                <w:color w:val="auto"/>
              </w:rPr>
              <w:t>Forfeited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32.90</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40" w:type="dxa"/>
            <w:vAlign w:val="bottom"/>
          </w:tcPr>
          <w:p>
            <w:pPr>
              <w:ind w:left="160"/>
              <w:spacing w:after="0" w:line="211" w:lineRule="exact"/>
              <w:rPr>
                <w:sz w:val="20"/>
                <w:szCs w:val="20"/>
                <w:color w:val="auto"/>
              </w:rPr>
            </w:pPr>
            <w:r>
              <w:rPr>
                <w:rFonts w:ascii="Arial" w:cs="Arial" w:eastAsia="Arial" w:hAnsi="Arial"/>
                <w:sz w:val="16"/>
                <w:szCs w:val="16"/>
                <w:color w:val="auto"/>
              </w:rPr>
              <w:t xml:space="preserve">Outstanding and expected to vest at September 30, 2020 </w:t>
            </w:r>
            <w:r>
              <w:rPr>
                <w:rFonts w:ascii="Arial" w:cs="Arial" w:eastAsia="Arial" w:hAnsi="Arial"/>
                <w:sz w:val="21"/>
                <w:szCs w:val="21"/>
                <w:color w:val="auto"/>
                <w:vertAlign w:val="superscript"/>
              </w:rPr>
              <w:t>(c)</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27.31</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6"/>
                <w:szCs w:val="16"/>
                <w:b w:val="1"/>
                <w:bCs w:val="1"/>
                <w:color w:val="auto"/>
              </w:rPr>
              <w:t>Performance-based and market-based RSUs</w:t>
            </w: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484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60"/>
              <w:spacing w:after="0"/>
              <w:rPr>
                <w:sz w:val="20"/>
                <w:szCs w:val="20"/>
                <w:color w:val="auto"/>
              </w:rPr>
            </w:pPr>
            <w:r>
              <w:rPr>
                <w:rFonts w:ascii="Arial" w:cs="Arial" w:eastAsia="Arial" w:hAnsi="Arial"/>
                <w:sz w:val="16"/>
                <w:szCs w:val="16"/>
                <w:color w:val="auto"/>
              </w:rPr>
              <w:t>Outstanding at January 1, 2020</w:t>
            </w:r>
          </w:p>
        </w:tc>
        <w:tc>
          <w:tcPr>
            <w:tcW w:w="1220" w:type="dxa"/>
            <w:vAlign w:val="bottom"/>
          </w:tcPr>
          <w:p>
            <w:pPr>
              <w:jc w:val="right"/>
              <w:spacing w:after="0"/>
              <w:rPr>
                <w:sz w:val="20"/>
                <w:szCs w:val="20"/>
                <w:color w:val="auto"/>
              </w:rPr>
            </w:pPr>
            <w:r>
              <w:rPr>
                <w:rFonts w:ascii="Arial" w:cs="Arial" w:eastAsia="Arial" w:hAnsi="Arial"/>
                <w:sz w:val="16"/>
                <w:szCs w:val="16"/>
                <w:color w:val="auto"/>
              </w:rPr>
              <w:t>1,061</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38.89</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(a)</w:t>
            </w:r>
          </w:p>
        </w:tc>
        <w:tc>
          <w:tcPr>
            <w:tcW w:w="1220" w:type="dxa"/>
            <w:vAlign w:val="bottom"/>
          </w:tcPr>
          <w:p>
            <w:pPr>
              <w:jc w:val="right"/>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21.06</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(b)</w:t>
            </w:r>
          </w:p>
        </w:tc>
        <w:tc>
          <w:tcPr>
            <w:tcW w:w="122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36.64</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40" w:type="dxa"/>
            <w:vAlign w:val="bottom"/>
          </w:tcPr>
          <w:p>
            <w:pPr>
              <w:ind w:left="360"/>
              <w:spacing w:after="0"/>
              <w:rPr>
                <w:sz w:val="20"/>
                <w:szCs w:val="20"/>
                <w:color w:val="auto"/>
              </w:rPr>
            </w:pPr>
            <w:r>
              <w:rPr>
                <w:rFonts w:ascii="Arial" w:cs="Arial" w:eastAsia="Arial" w:hAnsi="Arial"/>
                <w:sz w:val="16"/>
                <w:szCs w:val="16"/>
                <w:color w:val="auto"/>
              </w:rPr>
              <w:t>Forfeited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35.15</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40" w:type="dxa"/>
            <w:vAlign w:val="bottom"/>
          </w:tcPr>
          <w:p>
            <w:pPr>
              <w:ind w:left="160"/>
              <w:spacing w:after="0"/>
              <w:rPr>
                <w:sz w:val="20"/>
                <w:szCs w:val="20"/>
                <w:color w:val="auto"/>
              </w:rPr>
            </w:pPr>
            <w:r>
              <w:rPr>
                <w:rFonts w:ascii="Arial" w:cs="Arial" w:eastAsia="Arial" w:hAnsi="Arial"/>
                <w:sz w:val="16"/>
                <w:szCs w:val="16"/>
                <w:color w:val="auto"/>
              </w:rPr>
              <w:t>Outstanding at September 30, 2020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31.64</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
        </w:trPr>
        <w:tc>
          <w:tcPr>
            <w:tcW w:w="4840" w:type="dxa"/>
            <w:vAlign w:val="bottom"/>
            <w:vMerge w:val="restart"/>
          </w:tcPr>
          <w:p>
            <w:pPr>
              <w:ind w:left="160"/>
              <w:spacing w:after="0"/>
              <w:rPr>
                <w:sz w:val="20"/>
                <w:szCs w:val="20"/>
                <w:color w:val="auto"/>
              </w:rPr>
            </w:pPr>
            <w:r>
              <w:rPr>
                <w:rFonts w:ascii="Arial" w:cs="Arial" w:eastAsia="Arial" w:hAnsi="Arial"/>
                <w:sz w:val="16"/>
                <w:szCs w:val="16"/>
                <w:color w:val="auto"/>
              </w:rPr>
              <w:t xml:space="preserve">Outstanding and expected to vest at September 30, 2020 </w:t>
            </w:r>
            <w:r>
              <w:rPr>
                <w:rFonts w:ascii="Arial" w:cs="Arial" w:eastAsia="Arial" w:hAnsi="Arial"/>
                <w:sz w:val="21"/>
                <w:szCs w:val="21"/>
                <w:color w:val="auto"/>
                <w:vertAlign w:val="superscript"/>
              </w:rPr>
              <w:t>(c)</w:t>
            </w: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20.70</w:t>
            </w:r>
          </w:p>
        </w:tc>
        <w:tc>
          <w:tcPr>
            <w:tcW w:w="100" w:type="dxa"/>
            <w:vAlign w:val="bottom"/>
          </w:tcPr>
          <w:p>
            <w:pPr>
              <w:spacing w:after="0" w:line="20" w:lineRule="exact"/>
              <w:rPr>
                <w:sz w:val="1"/>
                <w:szCs w:val="1"/>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8"/>
        </w:trPr>
        <w:tc>
          <w:tcPr>
            <w:tcW w:w="4840" w:type="dxa"/>
            <w:vAlign w:val="bottom"/>
            <w:vMerge w:val="continue"/>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w:t>
            </w:r>
          </w:p>
        </w:tc>
        <w:tc>
          <w:tcPr>
            <w:tcW w:w="260" w:type="dxa"/>
            <w:vAlign w:val="bottom"/>
            <w:gridSpan w:val="2"/>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11" w:lineRule="exact"/>
        <w:rPr>
          <w:sz w:val="20"/>
          <w:szCs w:val="20"/>
          <w:color w:val="auto"/>
        </w:rPr>
      </w:pPr>
    </w:p>
    <w:p>
      <w:pPr>
        <w:ind w:left="820" w:right="60" w:hanging="326"/>
        <w:spacing w:after="0" w:line="225" w:lineRule="auto"/>
        <w:tabs>
          <w:tab w:leader="none" w:pos="813"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Reflects the maximum number of stock units assuming achievement of all performance-, market- and time-vesting criteria and does not include those for non-employee directors. The weighted-average fair value of time-based RSUs and performance-based and market-based RSUs granted during the nine months ended September 30, 2019 was $34.17 and $34.56, respectively.</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left="820" w:hanging="326"/>
        <w:spacing w:after="0"/>
        <w:tabs>
          <w:tab w:leader="none" w:pos="820" w:val="left"/>
        </w:tabs>
        <w:numPr>
          <w:ilvl w:val="1"/>
          <w:numId w:val="33"/>
        </w:numPr>
        <w:rPr>
          <w:rFonts w:ascii="Arial" w:cs="Arial" w:eastAsia="Arial" w:hAnsi="Arial"/>
          <w:sz w:val="19"/>
          <w:szCs w:val="19"/>
          <w:color w:val="auto"/>
          <w:vertAlign w:val="superscript"/>
        </w:rPr>
      </w:pPr>
      <w:r>
        <w:rPr>
          <w:rFonts w:ascii="Arial" w:cs="Arial" w:eastAsia="Arial" w:hAnsi="Arial"/>
          <w:sz w:val="14"/>
          <w:szCs w:val="14"/>
          <w:color w:val="auto"/>
        </w:rPr>
        <w:t>The total fair value of RSUs vested during September 30, 2020 and 2019 was $19 million and $18 million, respectively.</w:t>
      </w:r>
    </w:p>
    <w:p>
      <w:pPr>
        <w:ind w:left="820" w:right="60" w:hanging="326"/>
        <w:spacing w:after="0" w:line="213" w:lineRule="auto"/>
        <w:tabs>
          <w:tab w:leader="none" w:pos="807" w:val="left"/>
        </w:tabs>
        <w:numPr>
          <w:ilvl w:val="1"/>
          <w:numId w:val="33"/>
        </w:numPr>
        <w:rPr>
          <w:rFonts w:ascii="Arial" w:cs="Arial" w:eastAsia="Arial" w:hAnsi="Arial"/>
          <w:sz w:val="19"/>
          <w:szCs w:val="19"/>
          <w:color w:val="auto"/>
          <w:vertAlign w:val="superscript"/>
        </w:rPr>
      </w:pPr>
      <w:r>
        <w:rPr>
          <w:rFonts w:ascii="Arial" w:cs="Arial" w:eastAsia="Arial" w:hAnsi="Arial"/>
          <w:sz w:val="14"/>
          <w:szCs w:val="14"/>
          <w:color w:val="auto"/>
        </w:rPr>
        <w:t>Aggregate unrecognized compensation expense related to time-based RSUs and performance-based and market-based RSUs amounted to $23 million and will be recognized over a weighted average vesting period of 1.3 years.</w:t>
      </w:r>
    </w:p>
    <w:p>
      <w:pPr>
        <w:spacing w:after="0" w:line="200" w:lineRule="exact"/>
        <w:rPr>
          <w:rFonts w:ascii="Arial" w:cs="Arial" w:eastAsia="Arial" w:hAnsi="Arial"/>
          <w:sz w:val="19"/>
          <w:szCs w:val="19"/>
          <w:color w:val="auto"/>
          <w:vertAlign w:val="superscript"/>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71" w:lineRule="exact"/>
        <w:rPr>
          <w:sz w:val="20"/>
          <w:szCs w:val="20"/>
          <w:color w:val="auto"/>
        </w:rPr>
      </w:pPr>
    </w:p>
    <w:p>
      <w:pPr>
        <w:ind w:left="500" w:right="120"/>
        <w:spacing w:after="0" w:line="256" w:lineRule="auto"/>
        <w:rPr>
          <w:sz w:val="20"/>
          <w:szCs w:val="20"/>
          <w:color w:val="auto"/>
        </w:rPr>
      </w:pPr>
      <w:r>
        <w:rPr>
          <w:rFonts w:ascii="Arial" w:cs="Arial" w:eastAsia="Arial" w:hAnsi="Arial"/>
          <w:sz w:val="18"/>
          <w:szCs w:val="18"/>
          <w:i w:val="1"/>
          <w:iCs w:val="1"/>
          <w:color w:val="auto"/>
        </w:rPr>
        <w:t xml:space="preserve">Currency Risk. </w:t>
      </w:r>
      <w:r>
        <w:rPr>
          <w:rFonts w:ascii="Arial" w:cs="Arial" w:eastAsia="Arial" w:hAnsi="Arial"/>
          <w:sz w:val="18"/>
          <w:szCs w:val="18"/>
          <w:color w:val="auto"/>
        </w:rPr>
        <w:t>The Company uses currency exchange contracts to manage its exposure to changes in currency exchange rates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certain of its non-U.S.-dollar denominated receivables and forecasted royalties, forecasted earnings of non-U.S. subsidiaries and forecasted non-U.S.-dollar denominated acquisitions. The Company primarily hedges a portion of its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The Company has designated its euro-denominated notes as a hedge of its investment in euro-denominated foreign operations.</w:t>
      </w:r>
    </w:p>
    <w:p>
      <w:pPr>
        <w:spacing w:after="0" w:line="124" w:lineRule="exact"/>
        <w:rPr>
          <w:sz w:val="20"/>
          <w:szCs w:val="20"/>
          <w:color w:val="auto"/>
        </w:rPr>
      </w:pPr>
    </w:p>
    <w:p>
      <w:pPr>
        <w:ind w:left="500" w:right="520"/>
        <w:spacing w:after="0" w:line="292" w:lineRule="auto"/>
        <w:rPr>
          <w:sz w:val="20"/>
          <w:szCs w:val="20"/>
          <w:color w:val="auto"/>
        </w:rPr>
      </w:pPr>
      <w:r>
        <w:rPr>
          <w:rFonts w:ascii="Arial" w:cs="Arial" w:eastAsia="Arial" w:hAnsi="Arial"/>
          <w:sz w:val="18"/>
          <w:szCs w:val="18"/>
          <w:color w:val="auto"/>
        </w:rPr>
        <w:t>The estimated net amount of existing gains or losses the Company expects to reclassify from accumulated other comprehensive income (loss) to earnings for cash flow and net investment hedges over the next 12 months is not material.</w:t>
      </w:r>
    </w:p>
    <w:p>
      <w:pPr>
        <w:spacing w:after="0" w:line="171" w:lineRule="exact"/>
        <w:rPr>
          <w:sz w:val="20"/>
          <w:szCs w:val="20"/>
          <w:color w:val="auto"/>
        </w:rPr>
      </w:pPr>
    </w:p>
    <w:p>
      <w:pPr>
        <w:ind w:left="500" w:right="20"/>
        <w:spacing w:after="0" w:line="255"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The Company uses various hedging strategies including interest rate swaps and interest rate caps to create what it</w:t>
      </w:r>
      <w:r>
        <w:rPr>
          <w:rFonts w:ascii="Arial" w:cs="Arial" w:eastAsia="Arial" w:hAnsi="Arial"/>
          <w:sz w:val="18"/>
          <w:szCs w:val="18"/>
          <w:i w:val="1"/>
          <w:iCs w:val="1"/>
          <w:color w:val="auto"/>
        </w:rPr>
        <w:t xml:space="preserve"> </w:t>
      </w:r>
      <w:r>
        <w:rPr>
          <w:rFonts w:ascii="Arial" w:cs="Arial" w:eastAsia="Arial" w:hAnsi="Arial"/>
          <w:sz w:val="18"/>
          <w:szCs w:val="18"/>
          <w:color w:val="auto"/>
        </w:rPr>
        <w:t>deems an appropriate mix of fixed and floating rate assets and liabilities. The Company uses interest rate swaps and interest rate caps to manage the risk related to its floating rate corporate debt and its floating rate vehicle-backed debt. The Company records the changes in the fair value of its cash flow hedges to other comprehensive income (loss), net of tax, and subsequently reclassifies these amounts into earnings in the period during which the hedged transaction affects earnings and is presented in the same income statement line item as the earnings effect of the hedged item. The Company records the gains or losses related to freestanding derivatives, which are not designated as a hedge for accounting purposes, currently in earnings and are presented in the same line of the income statement expected for the hedged item. The Company estimates that approximately $18 million of losses currently recorded in accumulated other comprehensive income (loss) will be recognized in earnings over the next 12 months.</w:t>
      </w:r>
    </w:p>
    <w:p>
      <w:pPr>
        <w:spacing w:after="0" w:line="208" w:lineRule="exact"/>
        <w:rPr>
          <w:sz w:val="20"/>
          <w:szCs w:val="20"/>
          <w:color w:val="auto"/>
        </w:rPr>
      </w:pPr>
    </w:p>
    <w:p>
      <w:pPr>
        <w:jc w:val="both"/>
        <w:ind w:left="500" w:right="20"/>
        <w:spacing w:after="0" w:line="271" w:lineRule="auto"/>
        <w:rPr>
          <w:sz w:val="20"/>
          <w:szCs w:val="20"/>
          <w:color w:val="auto"/>
        </w:rPr>
      </w:pPr>
      <w:r>
        <w:rPr>
          <w:rFonts w:ascii="Arial" w:cs="Arial" w:eastAsia="Arial" w:hAnsi="Arial"/>
          <w:sz w:val="18"/>
          <w:szCs w:val="18"/>
          <w:i w:val="1"/>
          <w:iCs w:val="1"/>
          <w:color w:val="auto"/>
        </w:rPr>
        <w:t xml:space="preserve">Commodity Risk. </w:t>
      </w:r>
      <w:r>
        <w:rPr>
          <w:rFonts w:ascii="Arial" w:cs="Arial" w:eastAsia="Arial" w:hAnsi="Arial"/>
          <w:sz w:val="18"/>
          <w:szCs w:val="18"/>
          <w:color w:val="auto"/>
        </w:rPr>
        <w:t>The Company periodically enters into derivative commodity contracts to manage its exposure to changes in the price</w:t>
      </w:r>
      <w:r>
        <w:rPr>
          <w:rFonts w:ascii="Arial" w:cs="Arial" w:eastAsia="Arial" w:hAnsi="Arial"/>
          <w:sz w:val="18"/>
          <w:szCs w:val="18"/>
          <w:i w:val="1"/>
          <w:iCs w:val="1"/>
          <w:color w:val="auto"/>
        </w:rPr>
        <w:t xml:space="preserve"> </w:t>
      </w:r>
      <w:r>
        <w:rPr>
          <w:rFonts w:ascii="Arial" w:cs="Arial" w:eastAsia="Arial" w:hAnsi="Arial"/>
          <w:sz w:val="18"/>
          <w:szCs w:val="18"/>
          <w:color w:val="auto"/>
        </w:rPr>
        <w:t>of gasoline. These instruments were designated as freestanding derivatives and the changes in fair value are recorded in earnings and are presented in the same line of the income statement expected for the hedged item.</w:t>
      </w:r>
    </w:p>
    <w:p>
      <w:pPr>
        <w:spacing w:after="0" w:line="190" w:lineRule="exact"/>
        <w:rPr>
          <w:sz w:val="20"/>
          <w:szCs w:val="20"/>
          <w:color w:val="auto"/>
        </w:rPr>
      </w:pPr>
    </w:p>
    <w:tbl>
      <w:tblPr>
        <w:tblLayout w:type="fixed"/>
        <w:tblInd w:w="500" w:type="dxa"/>
        <w:tblCellMar>
          <w:top w:w="0" w:type="dxa"/>
          <w:left w:w="0" w:type="dxa"/>
          <w:bottom w:w="0" w:type="dxa"/>
          <w:right w:w="0" w:type="dxa"/>
        </w:tblCellMar>
      </w:tblPr>
      <w:tr>
        <w:trPr>
          <w:trHeight w:val="243"/>
        </w:trPr>
        <w:tc>
          <w:tcPr>
            <w:tcW w:w="8520" w:type="dxa"/>
            <w:vAlign w:val="bottom"/>
          </w:tcPr>
          <w:p>
            <w:pPr>
              <w:spacing w:after="0"/>
              <w:rPr>
                <w:sz w:val="20"/>
                <w:szCs w:val="20"/>
                <w:color w:val="auto"/>
              </w:rPr>
            </w:pPr>
            <w:r>
              <w:rPr>
                <w:rFonts w:ascii="Arial" w:cs="Arial" w:eastAsia="Arial" w:hAnsi="Arial"/>
                <w:sz w:val="18"/>
                <w:szCs w:val="18"/>
                <w:color w:val="auto"/>
              </w:rPr>
              <w:t>The Company held derivative instruments with absolute notional values as follows:</w:t>
            </w: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520" w:type="dxa"/>
            <w:vAlign w:val="bottom"/>
          </w:tcPr>
          <w:p>
            <w:pPr>
              <w:spacing w:after="0"/>
              <w:rPr>
                <w:sz w:val="17"/>
                <w:szCs w:val="17"/>
                <w:color w:val="auto"/>
              </w:rPr>
            </w:pPr>
          </w:p>
        </w:tc>
        <w:tc>
          <w:tcPr>
            <w:tcW w:w="1640" w:type="dxa"/>
            <w:vAlign w:val="bottom"/>
            <w:gridSpan w:val="2"/>
          </w:tcPr>
          <w:p>
            <w:pPr>
              <w:jc w:val="right"/>
              <w:ind w:right="10"/>
              <w:spacing w:after="0" w:line="199" w:lineRule="exact"/>
              <w:rPr>
                <w:sz w:val="20"/>
                <w:szCs w:val="20"/>
                <w:color w:val="auto"/>
              </w:rPr>
            </w:pPr>
            <w:r>
              <w:rPr>
                <w:rFonts w:ascii="Arial" w:cs="Arial" w:eastAsia="Arial" w:hAnsi="Arial"/>
                <w:sz w:val="18"/>
                <w:szCs w:val="18"/>
                <w:b w:val="1"/>
                <w:bCs w:val="1"/>
                <w:color w:val="auto"/>
              </w:rPr>
              <w:t>As of September</w:t>
            </w:r>
          </w:p>
        </w:tc>
        <w:tc>
          <w:tcPr>
            <w:tcW w:w="0" w:type="dxa"/>
            <w:vAlign w:val="bottom"/>
          </w:tcPr>
          <w:p>
            <w:pPr>
              <w:spacing w:after="0"/>
              <w:rPr>
                <w:sz w:val="1"/>
                <w:szCs w:val="1"/>
                <w:color w:val="auto"/>
              </w:rPr>
            </w:pPr>
          </w:p>
        </w:tc>
      </w:tr>
      <w:tr>
        <w:trPr>
          <w:trHeight w:val="230"/>
        </w:trPr>
        <w:tc>
          <w:tcPr>
            <w:tcW w:w="8520" w:type="dxa"/>
            <w:vAlign w:val="bottom"/>
            <w:vMerge w:val="restart"/>
          </w:tcPr>
          <w:p>
            <w:pPr>
              <w:ind w:left="20"/>
              <w:spacing w:after="0"/>
              <w:rPr>
                <w:sz w:val="20"/>
                <w:szCs w:val="20"/>
                <w:color w:val="auto"/>
              </w:rPr>
            </w:pPr>
            <w:r>
              <w:rPr>
                <w:rFonts w:ascii="Arial" w:cs="Arial" w:eastAsia="Arial" w:hAnsi="Arial"/>
                <w:sz w:val="18"/>
                <w:szCs w:val="18"/>
                <w:color w:val="auto"/>
              </w:rPr>
              <w:t>Foreign exchange contracts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30, 2020</w:t>
            </w:r>
          </w:p>
        </w:tc>
        <w:tc>
          <w:tcPr>
            <w:tcW w:w="0" w:type="dxa"/>
            <w:vAlign w:val="bottom"/>
          </w:tcPr>
          <w:p>
            <w:pPr>
              <w:spacing w:after="0"/>
              <w:rPr>
                <w:sz w:val="1"/>
                <w:szCs w:val="1"/>
                <w:color w:val="auto"/>
              </w:rPr>
            </w:pPr>
          </w:p>
        </w:tc>
      </w:tr>
      <w:tr>
        <w:trPr>
          <w:trHeight w:val="211"/>
        </w:trPr>
        <w:tc>
          <w:tcPr>
            <w:tcW w:w="8520" w:type="dxa"/>
            <w:vAlign w:val="bottom"/>
            <w:vMerge w:val="continue"/>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32"/>
        </w:trPr>
        <w:tc>
          <w:tcPr>
            <w:tcW w:w="8520" w:type="dxa"/>
            <w:vAlign w:val="bottom"/>
          </w:tcPr>
          <w:p>
            <w:pPr>
              <w:ind w:left="20"/>
              <w:spacing w:after="0" w:line="232" w:lineRule="exact"/>
              <w:rPr>
                <w:sz w:val="20"/>
                <w:szCs w:val="20"/>
                <w:color w:val="auto"/>
              </w:rPr>
            </w:pPr>
            <w:r>
              <w:rPr>
                <w:rFonts w:ascii="Arial" w:cs="Arial" w:eastAsia="Arial" w:hAnsi="Arial"/>
                <w:sz w:val="18"/>
                <w:szCs w:val="18"/>
                <w:color w:val="auto"/>
              </w:rPr>
              <w:t xml:space="preserve">Interest rate caps </w:t>
            </w:r>
            <w:r>
              <w:rPr>
                <w:rFonts w:ascii="Arial" w:cs="Arial" w:eastAsia="Arial" w:hAnsi="Arial"/>
                <w:sz w:val="23"/>
                <w:szCs w:val="23"/>
                <w:color w:val="auto"/>
                <w:vertAlign w:val="superscript"/>
              </w:rPr>
              <w:t>(a)</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8,552</w:t>
            </w:r>
          </w:p>
        </w:tc>
        <w:tc>
          <w:tcPr>
            <w:tcW w:w="0" w:type="dxa"/>
            <w:vAlign w:val="bottom"/>
          </w:tcPr>
          <w:p>
            <w:pPr>
              <w:spacing w:after="0"/>
              <w:rPr>
                <w:sz w:val="1"/>
                <w:szCs w:val="1"/>
                <w:color w:val="auto"/>
              </w:rPr>
            </w:pP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392"/>
        </w:trPr>
        <w:tc>
          <w:tcPr>
            <w:tcW w:w="8520" w:type="dxa"/>
            <w:vAlign w:val="bottom"/>
          </w:tcPr>
          <w:p>
            <w:pPr>
              <w:ind w:left="20"/>
              <w:spacing w:after="0"/>
              <w:rPr>
                <w:sz w:val="20"/>
                <w:szCs w:val="20"/>
                <w:color w:val="auto"/>
              </w:rPr>
            </w:pPr>
            <w:r>
              <w:rPr>
                <w:rFonts w:ascii="Arial" w:cs="Arial" w:eastAsia="Arial" w:hAnsi="Arial"/>
                <w:sz w:val="18"/>
                <w:szCs w:val="18"/>
                <w:color w:val="auto"/>
              </w:rPr>
              <w:t>Commodity contracts (millions of gallons of unleaded gasoline)</w:t>
            </w:r>
          </w:p>
        </w:tc>
        <w:tc>
          <w:tcPr>
            <w:tcW w:w="3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6"/>
        </w:trPr>
        <w:tc>
          <w:tcPr>
            <w:tcW w:w="8520" w:type="dxa"/>
            <w:vAlign w:val="bottom"/>
          </w:tcPr>
          <w:p>
            <w:pPr>
              <w:spacing w:after="0"/>
              <w:rPr>
                <w:sz w:val="20"/>
                <w:szCs w:val="20"/>
                <w:color w:val="auto"/>
              </w:rPr>
            </w:pPr>
            <w:r>
              <w:rPr>
                <w:rFonts w:ascii="Arial" w:cs="Arial" w:eastAsia="Arial" w:hAnsi="Arial"/>
                <w:sz w:val="18"/>
                <w:szCs w:val="18"/>
                <w:color w:val="auto"/>
              </w:rPr>
              <w:t>__________</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820" w:hanging="326"/>
        <w:spacing w:after="0" w:line="219" w:lineRule="auto"/>
        <w:tabs>
          <w:tab w:leader="none" w:pos="813"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Represents $5.8 billion of interest rate caps sold, partially offset by approximately $2.8 billion of interest rate caps purchased. These amounts exclude $3.0 billion of interest rate caps purchased by the Company’s Avis Budget Rental Car Funding subsidiary as it is not consolidated by the Company.</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Estimated fair values (Level 2) of derivative instruments were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520" w:type="dxa"/>
        <w:tblCellMar>
          <w:top w:w="0" w:type="dxa"/>
          <w:left w:w="0" w:type="dxa"/>
          <w:bottom w:w="0" w:type="dxa"/>
          <w:right w:w="0" w:type="dxa"/>
        </w:tblCellMar>
      </w:tblPr>
      <w:tr>
        <w:trPr>
          <w:trHeight w:val="223"/>
        </w:trPr>
        <w:tc>
          <w:tcPr>
            <w:tcW w:w="4200" w:type="dxa"/>
            <w:vAlign w:val="bottom"/>
          </w:tcPr>
          <w:p>
            <w:pPr>
              <w:spacing w:after="0"/>
              <w:rPr>
                <w:sz w:val="19"/>
                <w:szCs w:val="19"/>
                <w:color w:val="auto"/>
              </w:rPr>
            </w:pPr>
          </w:p>
        </w:tc>
        <w:tc>
          <w:tcPr>
            <w:tcW w:w="264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As of September 30, 2020</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As of December 31, 2019</w:t>
            </w: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1140" w:type="dxa"/>
            <w:vAlign w:val="bottom"/>
          </w:tcPr>
          <w:p>
            <w:pPr>
              <w:jc w:val="center"/>
              <w:ind w:left="179"/>
              <w:spacing w:after="0" w:line="155" w:lineRule="exact"/>
              <w:rPr>
                <w:sz w:val="20"/>
                <w:szCs w:val="20"/>
                <w:color w:val="auto"/>
              </w:rPr>
            </w:pPr>
            <w:r>
              <w:rPr>
                <w:rFonts w:ascii="Arial" w:cs="Arial" w:eastAsia="Arial" w:hAnsi="Arial"/>
                <w:sz w:val="16"/>
                <w:szCs w:val="16"/>
                <w:b w:val="1"/>
                <w:bCs w:val="1"/>
                <w:color w:val="auto"/>
                <w:w w:val="98"/>
              </w:rPr>
              <w:t>Fair Value,</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left="179"/>
              <w:spacing w:after="0" w:line="155" w:lineRule="exact"/>
              <w:rPr>
                <w:sz w:val="20"/>
                <w:szCs w:val="20"/>
                <w:color w:val="auto"/>
              </w:rPr>
            </w:pPr>
            <w:r>
              <w:rPr>
                <w:rFonts w:ascii="Arial" w:cs="Arial" w:eastAsia="Arial" w:hAnsi="Arial"/>
                <w:sz w:val="16"/>
                <w:szCs w:val="16"/>
                <w:b w:val="1"/>
                <w:bCs w:val="1"/>
                <w:color w:val="auto"/>
              </w:rPr>
              <w:t>Fair Value,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3"/>
                <w:szCs w:val="13"/>
                <w:color w:val="auto"/>
              </w:rPr>
            </w:pPr>
          </w:p>
        </w:tc>
        <w:tc>
          <w:tcPr>
            <w:tcW w:w="1200" w:type="dxa"/>
            <w:vAlign w:val="bottom"/>
          </w:tcPr>
          <w:p>
            <w:pPr>
              <w:jc w:val="center"/>
              <w:ind w:right="119"/>
              <w:spacing w:after="0" w:line="155" w:lineRule="exact"/>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14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w w:val="99"/>
              </w:rPr>
              <w:t>Derivative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rPr>
              <w:t>Derivative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Derivative</w:t>
            </w:r>
          </w:p>
        </w:tc>
        <w:tc>
          <w:tcPr>
            <w:tcW w:w="200" w:type="dxa"/>
            <w:vAlign w:val="bottom"/>
          </w:tcPr>
          <w:p>
            <w:pPr>
              <w:spacing w:after="0"/>
              <w:rPr>
                <w:sz w:val="14"/>
                <w:szCs w:val="14"/>
                <w:color w:val="auto"/>
              </w:rPr>
            </w:pPr>
          </w:p>
        </w:tc>
        <w:tc>
          <w:tcPr>
            <w:tcW w:w="120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9"/>
              </w:rPr>
              <w:t>Derivative</w:t>
            </w:r>
          </w:p>
        </w:tc>
        <w:tc>
          <w:tcPr>
            <w:tcW w:w="0" w:type="dxa"/>
            <w:vAlign w:val="bottom"/>
          </w:tcPr>
          <w:p>
            <w:pPr>
              <w:spacing w:after="0"/>
              <w:rPr>
                <w:sz w:val="1"/>
                <w:szCs w:val="1"/>
                <w:color w:val="auto"/>
              </w:rPr>
            </w:pPr>
          </w:p>
        </w:tc>
      </w:tr>
      <w:tr>
        <w:trPr>
          <w:trHeight w:val="216"/>
        </w:trPr>
        <w:tc>
          <w:tcPr>
            <w:tcW w:w="4200" w:type="dxa"/>
            <w:vAlign w:val="bottom"/>
            <w:vMerge w:val="restart"/>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140" w:type="dxa"/>
            <w:vAlign w:val="bottom"/>
          </w:tcPr>
          <w:p>
            <w:pPr>
              <w:jc w:val="center"/>
              <w:ind w:left="179"/>
              <w:spacing w:after="0"/>
              <w:rPr>
                <w:sz w:val="20"/>
                <w:szCs w:val="20"/>
                <w:color w:val="auto"/>
              </w:rPr>
            </w:pPr>
            <w:r>
              <w:rPr>
                <w:rFonts w:ascii="Arial" w:cs="Arial" w:eastAsia="Arial" w:hAnsi="Arial"/>
                <w:sz w:val="16"/>
                <w:szCs w:val="16"/>
                <w:b w:val="1"/>
                <w:bCs w:val="1"/>
                <w:color w:val="auto"/>
                <w:w w:val="99"/>
              </w:rPr>
              <w:t>Assets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left="179"/>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1200" w:type="dxa"/>
            <w:vAlign w:val="bottom"/>
          </w:tcPr>
          <w:p>
            <w:pPr>
              <w:jc w:val="center"/>
              <w:ind w:right="11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191"/>
        </w:trPr>
        <w:tc>
          <w:tcPr>
            <w:tcW w:w="4200" w:type="dxa"/>
            <w:vAlign w:val="bottom"/>
            <w:vMerge w:val="continue"/>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4200" w:type="dxa"/>
            <w:vAlign w:val="bottom"/>
          </w:tcPr>
          <w:p>
            <w:pPr>
              <w:ind w:left="20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04"/>
        </w:trPr>
        <w:tc>
          <w:tcPr>
            <w:tcW w:w="420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0"/>
              <w:spacing w:after="0" w:line="216"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(b)</w:t>
            </w:r>
          </w:p>
        </w:tc>
        <w:tc>
          <w:tcPr>
            <w:tcW w:w="11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4200" w:type="dxa"/>
            <w:vAlign w:val="bottom"/>
          </w:tcPr>
          <w:p>
            <w:pPr>
              <w:ind w:left="200"/>
              <w:spacing w:after="0" w:line="216"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114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1"/>
        </w:trPr>
        <w:tc>
          <w:tcPr>
            <w:tcW w:w="4200" w:type="dxa"/>
            <w:vAlign w:val="bottom"/>
          </w:tcPr>
          <w:p>
            <w:pPr>
              <w:ind w:left="200"/>
              <w:spacing w:after="0" w:line="221"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(b)</w:t>
            </w:r>
          </w:p>
        </w:tc>
        <w:tc>
          <w:tcPr>
            <w:tcW w:w="114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200" w:type="dxa"/>
            <w:vAlign w:val="bottom"/>
          </w:tcPr>
          <w:p>
            <w:pPr>
              <w:ind w:left="200"/>
              <w:spacing w:after="0"/>
              <w:rPr>
                <w:sz w:val="20"/>
                <w:szCs w:val="20"/>
                <w:color w:val="auto"/>
              </w:rPr>
            </w:pPr>
            <w:r>
              <w:rPr>
                <w:rFonts w:ascii="Arial" w:cs="Arial" w:eastAsia="Arial" w:hAnsi="Arial"/>
                <w:sz w:val="16"/>
                <w:szCs w:val="16"/>
                <w:color w:val="auto"/>
              </w:rPr>
              <w:t>Total</w:t>
            </w:r>
          </w:p>
        </w:tc>
        <w:tc>
          <w:tcPr>
            <w:tcW w:w="114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28" w:lineRule="exact"/>
        <w:rPr>
          <w:sz w:val="20"/>
          <w:szCs w:val="20"/>
          <w:color w:val="auto"/>
        </w:rPr>
      </w:pPr>
    </w:p>
    <w:p>
      <w:pPr>
        <w:jc w:val="both"/>
        <w:ind w:left="500" w:right="40"/>
        <w:spacing w:after="0" w:line="235" w:lineRule="auto"/>
        <w:rPr>
          <w:sz w:val="20"/>
          <w:szCs w:val="20"/>
          <w:color w:val="auto"/>
        </w:rPr>
      </w:pPr>
      <w:r>
        <w:rPr>
          <w:rFonts w:ascii="Arial" w:cs="Arial" w:eastAsia="Arial" w:hAnsi="Arial"/>
          <w:sz w:val="14"/>
          <w:szCs w:val="14"/>
          <w:color w:val="auto"/>
        </w:rPr>
        <w:t>Amounts in this table exclude derivatives issued by Avis Budget Rental Car Funding, as it is not consolidated by the Company; however, certain amounts related to the derivatives held by Avis Budget Rental Car Funding are included within accumulated other comprehensive income (loss), as discussed in Note 14–Stockholders’ Equity.</w:t>
      </w:r>
    </w:p>
    <w:p>
      <w:pPr>
        <w:ind w:left="820" w:hanging="326"/>
        <w:spacing w:after="0" w:line="187" w:lineRule="auto"/>
        <w:tabs>
          <w:tab w:leader="none" w:pos="820"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Included in other non-current assets or other non-current liabilities.</w:t>
      </w:r>
    </w:p>
    <w:p>
      <w:pPr>
        <w:ind w:left="820" w:hanging="326"/>
        <w:spacing w:after="0" w:line="187" w:lineRule="auto"/>
        <w:tabs>
          <w:tab w:leader="none" w:pos="82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assets or other current liabilities.</w:t>
      </w:r>
    </w:p>
    <w:p>
      <w:pPr>
        <w:ind w:left="800" w:hanging="306"/>
        <w:spacing w:after="0" w:line="193" w:lineRule="auto"/>
        <w:tabs>
          <w:tab w:leader="none" w:pos="800"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Included in assets under vehicle programs or liabilities under vehicle programs.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derivatives recognized in the Company’s Consolidated Condensed Financial Statements were as follows:</w:t>
      </w:r>
    </w:p>
    <w:p>
      <w:pPr>
        <w:spacing w:after="0" w:line="37"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500" w:type="dxa"/>
            <w:vAlign w:val="bottom"/>
            <w:gridSpan w:val="4"/>
          </w:tcPr>
          <w:p>
            <w:pPr>
              <w:jc w:val="center"/>
              <w:ind w:left="259"/>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4"/>
          </w:tcPr>
          <w:p>
            <w:pPr>
              <w:jc w:val="center"/>
              <w:ind w:right="2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right="419"/>
              <w:spacing w:after="0"/>
              <w:rPr>
                <w:sz w:val="20"/>
                <w:szCs w:val="20"/>
                <w:color w:val="auto"/>
              </w:rPr>
            </w:pPr>
            <w:r>
              <w:rPr>
                <w:rFonts w:ascii="Arial" w:cs="Arial" w:eastAsia="Arial" w:hAnsi="Arial"/>
                <w:sz w:val="16"/>
                <w:szCs w:val="16"/>
                <w:b w:val="1"/>
                <w:bCs w:val="1"/>
                <w:color w:val="auto"/>
              </w:rPr>
              <w:t>September 30,</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center"/>
              <w:ind w:left="479"/>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vMerge w:val="restart"/>
          </w:tcPr>
          <w:p>
            <w:pPr>
              <w:spacing w:after="0"/>
              <w:rPr>
                <w:sz w:val="20"/>
                <w:szCs w:val="20"/>
                <w:color w:val="auto"/>
              </w:rPr>
            </w:pPr>
            <w:r>
              <w:rPr>
                <w:rFonts w:ascii="Arial" w:cs="Arial" w:eastAsia="Arial" w:hAnsi="Arial"/>
                <w:sz w:val="16"/>
                <w:szCs w:val="16"/>
                <w:b w:val="1"/>
                <w:bCs w:val="1"/>
                <w:color w:val="auto"/>
              </w:rPr>
              <w:t xml:space="preserve">Derivatives designated as hedging instruments </w:t>
            </w:r>
            <w:r>
              <w:rPr>
                <w:rFonts w:ascii="Arial" w:cs="Arial" w:eastAsia="Arial" w:hAnsi="Arial"/>
                <w:sz w:val="21"/>
                <w:szCs w:val="21"/>
                <w:b w:val="1"/>
                <w:bCs w:val="1"/>
                <w:color w:val="auto"/>
                <w:vertAlign w:val="superscript"/>
              </w:rPr>
              <w:t>(a)</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191"/>
        </w:trPr>
        <w:tc>
          <w:tcPr>
            <w:tcW w:w="426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(b)</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3"/>
        </w:trPr>
        <w:tc>
          <w:tcPr>
            <w:tcW w:w="4260" w:type="dxa"/>
            <w:vAlign w:val="bottom"/>
          </w:tcPr>
          <w:p>
            <w:pPr>
              <w:ind w:left="160"/>
              <w:spacing w:after="0" w:line="233" w:lineRule="exact"/>
              <w:rPr>
                <w:sz w:val="20"/>
                <w:szCs w:val="20"/>
                <w:color w:val="auto"/>
              </w:rPr>
            </w:pPr>
            <w:r>
              <w:rPr>
                <w:rFonts w:ascii="Arial" w:cs="Arial" w:eastAsia="Arial" w:hAnsi="Arial"/>
                <w:sz w:val="16"/>
                <w:szCs w:val="16"/>
                <w:color w:val="auto"/>
              </w:rPr>
              <w:t xml:space="preserve">Euro-denominated notes </w:t>
            </w:r>
            <w:r>
              <w:rPr>
                <w:rFonts w:ascii="Arial" w:cs="Arial" w:eastAsia="Arial" w:hAnsi="Arial"/>
                <w:sz w:val="21"/>
                <w:szCs w:val="21"/>
                <w:color w:val="auto"/>
                <w:vertAlign w:val="superscript"/>
              </w:rPr>
              <w:t>(c)</w:t>
            </w:r>
          </w:p>
        </w:tc>
        <w:tc>
          <w:tcPr>
            <w:tcW w:w="8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bl>
    <w:p>
      <w:pPr>
        <w:ind w:left="520"/>
        <w:spacing w:after="0" w:line="214" w:lineRule="auto"/>
        <w:rPr>
          <w:sz w:val="20"/>
          <w:szCs w:val="20"/>
          <w:color w:val="auto"/>
        </w:rPr>
      </w:pPr>
      <w:r>
        <w:rPr>
          <w:rFonts w:ascii="Arial" w:cs="Arial" w:eastAsia="Arial" w:hAnsi="Arial"/>
          <w:sz w:val="16"/>
          <w:szCs w:val="16"/>
          <w:b w:val="1"/>
          <w:bCs w:val="1"/>
          <w:color w:val="auto"/>
        </w:rPr>
        <w:t xml:space="preserve">Derivatives not designated as hedging instruments </w:t>
      </w:r>
      <w:r>
        <w:rPr>
          <w:rFonts w:ascii="Arial" w:cs="Arial" w:eastAsia="Arial" w:hAnsi="Arial"/>
          <w:sz w:val="21"/>
          <w:szCs w:val="21"/>
          <w:b w:val="1"/>
          <w:bCs w:val="1"/>
          <w:color w:val="auto"/>
          <w:vertAlign w:val="superscript"/>
        </w:rPr>
        <w:t>(d)</w:t>
      </w:r>
    </w:p>
    <w:tbl>
      <w:tblPr>
        <w:tblLayout w:type="fixed"/>
        <w:tblInd w:w="680" w:type="dxa"/>
        <w:tblCellMar>
          <w:top w:w="0" w:type="dxa"/>
          <w:left w:w="0" w:type="dxa"/>
          <w:bottom w:w="0" w:type="dxa"/>
          <w:right w:w="0" w:type="dxa"/>
        </w:tblCellMar>
      </w:tblPr>
      <w:tr>
        <w:trPr>
          <w:trHeight w:val="199"/>
        </w:trPr>
        <w:tc>
          <w:tcPr>
            <w:tcW w:w="4100" w:type="dxa"/>
            <w:vAlign w:val="bottom"/>
          </w:tcPr>
          <w:p>
            <w:pPr>
              <w:spacing w:after="0" w:line="200"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(e)</w:t>
            </w:r>
          </w:p>
        </w:tc>
        <w:tc>
          <w:tcPr>
            <w:tcW w:w="5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6"/>
        </w:trPr>
        <w:tc>
          <w:tcPr>
            <w:tcW w:w="4100" w:type="dxa"/>
            <w:vAlign w:val="bottom"/>
          </w:tcPr>
          <w:p>
            <w:pPr>
              <w:spacing w:after="0" w:line="216"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(f)</w:t>
            </w: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1"/>
        </w:trPr>
        <w:tc>
          <w:tcPr>
            <w:tcW w:w="4100" w:type="dxa"/>
            <w:vAlign w:val="bottom"/>
          </w:tcPr>
          <w:p>
            <w:pPr>
              <w:spacing w:after="0" w:line="221"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(g)</w:t>
            </w:r>
          </w:p>
        </w:tc>
        <w:tc>
          <w:tcPr>
            <w:tcW w:w="5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4100" w:type="dxa"/>
            <w:vAlign w:val="bottom"/>
          </w:tcPr>
          <w:p>
            <w:pPr>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1"/>
        </w:trPr>
        <w:tc>
          <w:tcPr>
            <w:tcW w:w="4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18" w:lineRule="auto"/>
        <w:tabs>
          <w:tab w:leader="none" w:pos="820"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Recognized, net of tax, as a component of other comprehensive income (loss) within stockholders’ equity.</w:t>
      </w:r>
    </w:p>
    <w:p>
      <w:pPr>
        <w:ind w:left="820" w:right="440" w:hanging="326"/>
        <w:spacing w:after="0" w:line="204" w:lineRule="auto"/>
        <w:tabs>
          <w:tab w:leader="none" w:pos="813"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Classified as a net unrealized gain (loss) on cash flow hedges in accumulated other comprehensive income (loss). Refer to Note 14–Stockholders’ Equity for amounts reclassified from accumulated other comprehensive income into earnings.</w:t>
      </w:r>
    </w:p>
    <w:p>
      <w:pPr>
        <w:spacing w:after="0" w:line="1" w:lineRule="exact"/>
        <w:rPr>
          <w:rFonts w:ascii="Arial" w:cs="Arial" w:eastAsia="Arial" w:hAnsi="Arial"/>
          <w:sz w:val="19"/>
          <w:szCs w:val="19"/>
          <w:color w:val="auto"/>
          <w:vertAlign w:val="superscript"/>
        </w:rPr>
      </w:pPr>
    </w:p>
    <w:p>
      <w:pPr>
        <w:ind w:left="800" w:hanging="306"/>
        <w:spacing w:after="0" w:line="187" w:lineRule="auto"/>
        <w:tabs>
          <w:tab w:leader="none" w:pos="80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Classified as a net investment hedge within currency translation adjustment in accumulated other comprehensive income (loss).</w:t>
      </w:r>
    </w:p>
    <w:p>
      <w:pPr>
        <w:ind w:left="820" w:hanging="326"/>
        <w:spacing w:after="0" w:line="187" w:lineRule="auto"/>
        <w:tabs>
          <w:tab w:leader="none" w:pos="82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ind w:left="820" w:hanging="326"/>
        <w:spacing w:after="0" w:line="215" w:lineRule="auto"/>
        <w:tabs>
          <w:tab w:leader="none" w:pos="813"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September 30, 2020, included a $10 million loss in interest expense and a $2 million loss in operating expense and for the nine months ended September 30, 2020, included a $18 million gain in interest expense and $4 million loss in operating expense. For the three months ended September 30, 2019, included $9 million gain in interest expense and a $1 million gain in operating expense and for the nine months ended September 30, 2019, included a</w:t>
      </w:r>
    </w:p>
    <w:p>
      <w:pPr>
        <w:spacing w:after="0" w:line="1" w:lineRule="exact"/>
        <w:rPr>
          <w:rFonts w:ascii="Arial" w:cs="Arial" w:eastAsia="Arial" w:hAnsi="Arial"/>
          <w:sz w:val="19"/>
          <w:szCs w:val="19"/>
          <w:color w:val="auto"/>
          <w:vertAlign w:val="superscript"/>
        </w:rPr>
      </w:pPr>
    </w:p>
    <w:p>
      <w:pPr>
        <w:ind w:left="820"/>
        <w:spacing w:after="0"/>
        <w:rPr>
          <w:rFonts w:ascii="Arial" w:cs="Arial" w:eastAsia="Arial" w:hAnsi="Arial"/>
          <w:sz w:val="19"/>
          <w:szCs w:val="19"/>
          <w:color w:val="auto"/>
          <w:vertAlign w:val="superscript"/>
        </w:rPr>
      </w:pPr>
      <w:r>
        <w:rPr>
          <w:rFonts w:ascii="Arial" w:cs="Arial" w:eastAsia="Arial" w:hAnsi="Arial"/>
          <w:sz w:val="14"/>
          <w:szCs w:val="14"/>
          <w:color w:val="auto"/>
        </w:rPr>
        <w:t>$20 million gain in interest expense and a $1 million gain in operating expense.</w:t>
      </w:r>
    </w:p>
    <w:p>
      <w:pPr>
        <w:spacing w:after="0" w:line="1" w:lineRule="exact"/>
        <w:rPr>
          <w:rFonts w:ascii="Arial" w:cs="Arial" w:eastAsia="Arial" w:hAnsi="Arial"/>
          <w:sz w:val="19"/>
          <w:szCs w:val="19"/>
          <w:color w:val="auto"/>
          <w:vertAlign w:val="superscript"/>
        </w:rPr>
      </w:pPr>
    </w:p>
    <w:p>
      <w:pPr>
        <w:ind w:left="820" w:hanging="326"/>
        <w:spacing w:after="0" w:line="187" w:lineRule="auto"/>
        <w:tabs>
          <w:tab w:leader="none" w:pos="82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Included primarily in vehicle interest, net.</w:t>
      </w:r>
    </w:p>
    <w:p>
      <w:pPr>
        <w:ind w:left="820" w:hanging="326"/>
        <w:spacing w:after="0" w:line="193" w:lineRule="auto"/>
        <w:tabs>
          <w:tab w:leader="none" w:pos="820"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Included in operating expense.</w:t>
      </w:r>
    </w:p>
    <w:p>
      <w:pPr>
        <w:spacing w:after="0" w:line="200" w:lineRule="exact"/>
        <w:rPr>
          <w:sz w:val="20"/>
          <w:szCs w:val="20"/>
          <w:color w:val="auto"/>
        </w:rPr>
      </w:pPr>
    </w:p>
    <w:p>
      <w:pPr>
        <w:spacing w:after="0" w:line="24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were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520" w:type="dxa"/>
        <w:tblCellMar>
          <w:top w:w="0" w:type="dxa"/>
          <w:left w:w="0" w:type="dxa"/>
          <w:bottom w:w="0" w:type="dxa"/>
          <w:right w:w="0" w:type="dxa"/>
        </w:tblCellMar>
      </w:tblPr>
      <w:tr>
        <w:trPr>
          <w:trHeight w:val="223"/>
        </w:trPr>
        <w:tc>
          <w:tcPr>
            <w:tcW w:w="4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80" w:type="dxa"/>
            <w:vAlign w:val="bottom"/>
            <w:gridSpan w:val="5"/>
          </w:tcPr>
          <w:p>
            <w:pPr>
              <w:ind w:left="240"/>
              <w:spacing w:after="0"/>
              <w:rPr>
                <w:sz w:val="20"/>
                <w:szCs w:val="20"/>
                <w:color w:val="auto"/>
              </w:rPr>
            </w:pPr>
            <w:r>
              <w:rPr>
                <w:rFonts w:ascii="Arial" w:cs="Arial" w:eastAsia="Arial" w:hAnsi="Arial"/>
                <w:sz w:val="16"/>
                <w:szCs w:val="16"/>
                <w:b w:val="1"/>
                <w:bCs w:val="1"/>
                <w:color w:val="auto"/>
              </w:rPr>
              <w:t>As of September 30, 2020</w:t>
            </w:r>
          </w:p>
        </w:tc>
        <w:tc>
          <w:tcPr>
            <w:tcW w:w="240" w:type="dxa"/>
            <w:vAlign w:val="bottom"/>
          </w:tcPr>
          <w:p>
            <w:pPr>
              <w:spacing w:after="0"/>
              <w:rPr>
                <w:sz w:val="19"/>
                <w:szCs w:val="19"/>
                <w:color w:val="auto"/>
              </w:rPr>
            </w:pPr>
          </w:p>
        </w:tc>
        <w:tc>
          <w:tcPr>
            <w:tcW w:w="268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As of December 31, 2019</w:t>
            </w: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39"/>
              <w:spacing w:after="0" w:line="155" w:lineRule="exact"/>
              <w:rPr>
                <w:sz w:val="20"/>
                <w:szCs w:val="20"/>
                <w:color w:val="auto"/>
              </w:rPr>
            </w:pPr>
            <w:r>
              <w:rPr>
                <w:rFonts w:ascii="Arial" w:cs="Arial" w:eastAsia="Arial" w:hAnsi="Arial"/>
                <w:sz w:val="16"/>
                <w:szCs w:val="16"/>
                <w:b w:val="1"/>
                <w:bCs w:val="1"/>
                <w:color w:val="auto"/>
              </w:rPr>
              <w:t>Estimated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19"/>
              <w:spacing w:after="0" w:line="155" w:lineRule="exact"/>
              <w:rPr>
                <w:sz w:val="20"/>
                <w:szCs w:val="20"/>
                <w:color w:val="auto"/>
              </w:rPr>
            </w:pPr>
            <w:r>
              <w:rPr>
                <w:rFonts w:ascii="Arial" w:cs="Arial" w:eastAsia="Arial" w:hAnsi="Arial"/>
                <w:sz w:val="16"/>
                <w:szCs w:val="16"/>
                <w:b w:val="1"/>
                <w:bCs w:val="1"/>
                <w:color w:val="auto"/>
                <w:w w:val="99"/>
              </w:rPr>
              <w:t>Estimated</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rPr>
              <w:t>Fair</w:t>
            </w:r>
          </w:p>
        </w:tc>
        <w:tc>
          <w:tcPr>
            <w:tcW w:w="2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6"/>
        </w:trPr>
        <w:tc>
          <w:tcPr>
            <w:tcW w:w="4200" w:type="dxa"/>
            <w:vAlign w:val="bottom"/>
            <w:vMerge w:val="restart"/>
          </w:tcPr>
          <w:p>
            <w:pPr>
              <w:spacing w:after="0"/>
              <w:rPr>
                <w:sz w:val="20"/>
                <w:szCs w:val="20"/>
                <w:color w:val="auto"/>
              </w:rPr>
            </w:pPr>
            <w:r>
              <w:rPr>
                <w:rFonts w:ascii="Arial" w:cs="Arial" w:eastAsia="Arial" w:hAnsi="Arial"/>
                <w:sz w:val="16"/>
                <w:szCs w:val="16"/>
                <w:b w:val="1"/>
                <w:bCs w:val="1"/>
                <w:color w:val="auto"/>
              </w:rPr>
              <w:t>Corporate debt</w:t>
            </w:r>
          </w:p>
        </w:tc>
        <w:tc>
          <w:tcPr>
            <w:tcW w:w="2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Amount</w:t>
            </w: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Value</w:t>
            </w:r>
          </w:p>
        </w:tc>
        <w:tc>
          <w:tcPr>
            <w:tcW w:w="2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8"/>
                <w:szCs w:val="18"/>
                <w:color w:val="auto"/>
              </w:rPr>
            </w:pPr>
          </w:p>
        </w:tc>
        <w:tc>
          <w:tcPr>
            <w:tcW w:w="120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191"/>
        </w:trPr>
        <w:tc>
          <w:tcPr>
            <w:tcW w:w="420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0"/>
              <w:spacing w:after="0"/>
              <w:rPr>
                <w:sz w:val="20"/>
                <w:szCs w:val="20"/>
                <w:color w:val="auto"/>
              </w:rPr>
            </w:pPr>
            <w:r>
              <w:rPr>
                <w:rFonts w:ascii="Arial" w:cs="Arial" w:eastAsia="Arial" w:hAnsi="Arial"/>
                <w:sz w:val="16"/>
                <w:szCs w:val="16"/>
                <w:color w:val="auto"/>
              </w:rPr>
              <w:t>Short-term debt and current portion of long-term debt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9"/>
        </w:trPr>
        <w:tc>
          <w:tcPr>
            <w:tcW w:w="4200" w:type="dxa"/>
            <w:vAlign w:val="bottom"/>
          </w:tcPr>
          <w:p>
            <w:pPr>
              <w:ind w:left="20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3,572</w:t>
            </w:r>
          </w:p>
        </w:tc>
        <w:tc>
          <w:tcPr>
            <w:tcW w:w="0" w:type="dxa"/>
            <w:vAlign w:val="bottom"/>
          </w:tcPr>
          <w:p>
            <w:pPr>
              <w:spacing w:after="0"/>
              <w:rPr>
                <w:sz w:val="1"/>
                <w:szCs w:val="1"/>
                <w:color w:val="auto"/>
              </w:rPr>
            </w:pPr>
          </w:p>
        </w:tc>
      </w:tr>
      <w:tr>
        <w:trPr>
          <w:trHeight w:val="375"/>
        </w:trPr>
        <w:tc>
          <w:tcPr>
            <w:tcW w:w="4200" w:type="dxa"/>
            <w:vAlign w:val="bottom"/>
          </w:tcPr>
          <w:p>
            <w:pPr>
              <w:spacing w:after="0"/>
              <w:rPr>
                <w:sz w:val="20"/>
                <w:szCs w:val="20"/>
                <w:color w:val="auto"/>
              </w:rPr>
            </w:pPr>
            <w:r>
              <w:rPr>
                <w:rFonts w:ascii="Arial" w:cs="Arial" w:eastAsia="Arial" w:hAnsi="Arial"/>
                <w:sz w:val="16"/>
                <w:szCs w:val="16"/>
                <w:b w:val="1"/>
                <w:bCs w:val="1"/>
                <w:color w:val="auto"/>
              </w:rPr>
              <w:t>Debt under vehicle programs</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200" w:type="dxa"/>
            <w:vAlign w:val="bottom"/>
          </w:tcPr>
          <w:p>
            <w:pPr>
              <w:ind w:left="200"/>
              <w:spacing w:after="0" w:line="167" w:lineRule="exact"/>
              <w:rPr>
                <w:sz w:val="20"/>
                <w:szCs w:val="20"/>
                <w:color w:val="auto"/>
              </w:rPr>
            </w:pPr>
            <w:r>
              <w:rPr>
                <w:rFonts w:ascii="Arial" w:cs="Arial" w:eastAsia="Arial" w:hAnsi="Arial"/>
                <w:sz w:val="16"/>
                <w:szCs w:val="16"/>
                <w:color w:val="auto"/>
              </w:rPr>
              <w:t>Vehicle-backed debt due to Avis Budget Rental Car</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6,105</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6,312</w:t>
            </w:r>
          </w:p>
        </w:tc>
        <w:tc>
          <w:tcPr>
            <w:tcW w:w="100" w:type="dxa"/>
            <w:vAlign w:val="bottom"/>
          </w:tcPr>
          <w:p>
            <w:pPr>
              <w:spacing w:after="0"/>
              <w:rPr>
                <w:sz w:val="14"/>
                <w:szCs w:val="14"/>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7,936</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8,077</w:t>
            </w:r>
          </w:p>
        </w:tc>
        <w:tc>
          <w:tcPr>
            <w:tcW w:w="0" w:type="dxa"/>
            <w:vAlign w:val="bottom"/>
          </w:tcPr>
          <w:p>
            <w:pPr>
              <w:spacing w:after="0"/>
              <w:rPr>
                <w:sz w:val="1"/>
                <w:szCs w:val="1"/>
                <w:color w:val="auto"/>
              </w:rPr>
            </w:pPr>
          </w:p>
        </w:tc>
      </w:tr>
      <w:tr>
        <w:trPr>
          <w:trHeight w:val="211"/>
        </w:trPr>
        <w:tc>
          <w:tcPr>
            <w:tcW w:w="4200" w:type="dxa"/>
            <w:vAlign w:val="bottom"/>
          </w:tcPr>
          <w:p>
            <w:pPr>
              <w:ind w:left="380"/>
              <w:spacing w:after="0"/>
              <w:rPr>
                <w:sz w:val="20"/>
                <w:szCs w:val="20"/>
                <w:color w:val="auto"/>
              </w:rPr>
            </w:pPr>
            <w:r>
              <w:rPr>
                <w:rFonts w:ascii="Arial" w:cs="Arial" w:eastAsia="Arial" w:hAnsi="Arial"/>
                <w:sz w:val="16"/>
                <w:szCs w:val="16"/>
                <w:color w:val="auto"/>
              </w:rPr>
              <w:t>Funding</w:t>
            </w:r>
          </w:p>
        </w:tc>
        <w:tc>
          <w:tcPr>
            <w:tcW w:w="2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0"/>
              <w:spacing w:after="0"/>
              <w:rPr>
                <w:sz w:val="20"/>
                <w:szCs w:val="20"/>
                <w:color w:val="auto"/>
              </w:rPr>
            </w:pPr>
            <w:r>
              <w:rPr>
                <w:rFonts w:ascii="Arial" w:cs="Arial" w:eastAsia="Arial" w:hAnsi="Arial"/>
                <w:sz w:val="16"/>
                <w:szCs w:val="16"/>
                <w:color w:val="auto"/>
              </w:rPr>
              <w:t>Vehicle-backed debt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3,142</w:t>
            </w:r>
          </w:p>
        </w:tc>
        <w:tc>
          <w:tcPr>
            <w:tcW w:w="0" w:type="dxa"/>
            <w:vAlign w:val="bottom"/>
          </w:tcPr>
          <w:p>
            <w:pPr>
              <w:spacing w:after="0"/>
              <w:rPr>
                <w:sz w:val="1"/>
                <w:szCs w:val="1"/>
                <w:color w:val="auto"/>
              </w:rPr>
            </w:pPr>
          </w:p>
        </w:tc>
      </w:tr>
      <w:tr>
        <w:trPr>
          <w:trHeight w:val="290"/>
        </w:trPr>
        <w:tc>
          <w:tcPr>
            <w:tcW w:w="4200" w:type="dxa"/>
            <w:vAlign w:val="bottom"/>
          </w:tcPr>
          <w:p>
            <w:pPr>
              <w:ind w:left="20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720" w:hanging="226"/>
        <w:spacing w:after="0" w:line="233" w:lineRule="auto"/>
        <w:tabs>
          <w:tab w:leader="none" w:pos="720" w:val="left"/>
        </w:tabs>
        <w:numPr>
          <w:ilvl w:val="1"/>
          <w:numId w:val="38"/>
        </w:numPr>
        <w:rPr>
          <w:rFonts w:ascii="Arial" w:cs="Arial" w:eastAsia="Arial" w:hAnsi="Arial"/>
          <w:sz w:val="19"/>
          <w:szCs w:val="19"/>
          <w:color w:val="auto"/>
          <w:vertAlign w:val="superscript"/>
        </w:rPr>
      </w:pPr>
      <w:r>
        <w:rPr>
          <w:rFonts w:ascii="Arial" w:cs="Arial" w:eastAsia="Arial" w:hAnsi="Arial"/>
          <w:sz w:val="14"/>
          <w:szCs w:val="14"/>
          <w:color w:val="auto"/>
        </w:rPr>
        <w:t>Derivatives in a liability position.</w:t>
      </w:r>
    </w:p>
    <w:p>
      <w:pPr>
        <w:spacing w:after="0" w:line="199" w:lineRule="exact"/>
        <w:rPr>
          <w:rFonts w:ascii="Arial" w:cs="Arial" w:eastAsia="Arial" w:hAnsi="Arial"/>
          <w:sz w:val="19"/>
          <w:szCs w:val="19"/>
          <w:color w:val="auto"/>
          <w:vertAlign w:val="superscript"/>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54" w:lineRule="exact"/>
        <w:rPr>
          <w:sz w:val="20"/>
          <w:szCs w:val="20"/>
          <w:color w:val="auto"/>
        </w:rPr>
      </w:pPr>
    </w:p>
    <w:p>
      <w:pPr>
        <w:ind w:left="500" w:right="420"/>
        <w:spacing w:after="0" w:line="264" w:lineRule="auto"/>
        <w:rPr>
          <w:sz w:val="20"/>
          <w:szCs w:val="20"/>
          <w:color w:val="auto"/>
        </w:rPr>
      </w:pPr>
      <w:r>
        <w:rPr>
          <w:rFonts w:ascii="Arial" w:cs="Arial" w:eastAsia="Arial" w:hAnsi="Arial"/>
          <w:sz w:val="18"/>
          <w:szCs w:val="18"/>
          <w:color w:val="auto"/>
        </w:rPr>
        <w:t>The Company’s chief operating decision-maker assesses performance and allocates resources based upon the separate financial information from each of the Company’s operating segments. In identifying its reportable segments, the Company considered the nature of services provided, the geographical areas in which the segments operated and other relevant factors. The Company aggregates certain of its operating segments into its reportable segments.</w:t>
      </w:r>
    </w:p>
    <w:p>
      <w:pPr>
        <w:spacing w:after="0" w:line="196"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Management evaluates the operating results of each of its reportable segments based upon revenues and “Adjusted EBITDA,” which the Company defines as income (loss)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legal matters, non-operational charges related to shareholder activist activity, gain on sale of equity method investment in China, COVID-19 charges and income taxes. Net charges for unprecedented personal-injury legal matters and gain on sale of equity method investment in China are recorded within operating expenses in the Company’s Consolidated Condensed Statement of Comprehensive Income. Non-operational charges related to shareholder activist activity include third party advisory, legal and other professional service fees and are recorded within selling, general and administrative expenses in the Company’s Consolidated Condensed Statement of Comprehensive Income. COVID-19 charges include unusual, direct and incremental costs due to the COVID-19 global pandemic such as minimum annual guaranteed rent in excess of concession fees for the period, overflow parking for idle vehicles and related shuttling costs, incremental cleaning supplies to sanitize vehicles and facilities, and losses associated with vehicles damaged in overflow parking lots, net of insurance proceeds, and are primarily recorded within operating expenses in the Company’s Consolidated Condensed Statement of Comprehensive Income. The Company has revised its definition of Adjusted EBITDA to exclude COVID-19 charges. The Company has not revised prior years' Adjusted EBITDA amounts because there were no other charges similar in nature to these. The Company’s presentation of Adjusted EBITDA may not be comparable to similarly-titled measures used by other companies.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44"/>
        </w:trPr>
        <w:tc>
          <w:tcPr>
            <w:tcW w:w="482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7"/>
        </w:trPr>
        <w:tc>
          <w:tcPr>
            <w:tcW w:w="4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color w:val="auto"/>
              </w:rPr>
              <w:t>Three Months Ended September 30,</w:t>
            </w: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2020</w:t>
            </w:r>
          </w:p>
        </w:tc>
        <w:tc>
          <w:tcPr>
            <w:tcW w:w="1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2019</w:t>
            </w: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8"/>
                <w:szCs w:val="18"/>
                <w:color w:val="auto"/>
              </w:rPr>
              <w:t>Revenues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right="150"/>
              <w:spacing w:after="0" w:line="169" w:lineRule="exact"/>
              <w:rPr>
                <w:sz w:val="20"/>
                <w:szCs w:val="20"/>
                <w:color w:val="auto"/>
              </w:rPr>
            </w:pPr>
            <w:r>
              <w:rPr>
                <w:rFonts w:ascii="Arial" w:cs="Arial" w:eastAsia="Arial" w:hAnsi="Arial"/>
                <w:sz w:val="18"/>
                <w:szCs w:val="18"/>
                <w:color w:val="auto"/>
                <w:w w:val="99"/>
              </w:rPr>
              <w:t>Adjusted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14"/>
                <w:szCs w:val="14"/>
                <w:color w:val="auto"/>
              </w:rPr>
            </w:pPr>
          </w:p>
        </w:tc>
        <w:tc>
          <w:tcPr>
            <w:tcW w:w="1160" w:type="dxa"/>
            <w:vAlign w:val="bottom"/>
          </w:tcPr>
          <w:p>
            <w:pPr>
              <w:jc w:val="center"/>
              <w:ind w:right="170"/>
              <w:spacing w:after="0" w:line="169" w:lineRule="exact"/>
              <w:rPr>
                <w:sz w:val="20"/>
                <w:szCs w:val="20"/>
                <w:color w:val="auto"/>
              </w:rPr>
            </w:pPr>
            <w:r>
              <w:rPr>
                <w:rFonts w:ascii="Arial" w:cs="Arial" w:eastAsia="Arial" w:hAnsi="Arial"/>
                <w:sz w:val="18"/>
                <w:szCs w:val="18"/>
                <w:color w:val="auto"/>
                <w:w w:val="99"/>
              </w:rPr>
              <w:t>Adjusted</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98"/>
              </w:rPr>
              <w:t>EBITDA</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color w:val="auto"/>
              </w:rPr>
              <w:t>EBITDA</w:t>
            </w:r>
          </w:p>
        </w:tc>
        <w:tc>
          <w:tcPr>
            <w:tcW w:w="0" w:type="dxa"/>
            <w:vAlign w:val="bottom"/>
          </w:tcPr>
          <w:p>
            <w:pPr>
              <w:spacing w:after="0"/>
              <w:rPr>
                <w:sz w:val="1"/>
                <w:szCs w:val="1"/>
                <w:color w:val="auto"/>
              </w:rPr>
            </w:pPr>
          </w:p>
        </w:tc>
      </w:tr>
      <w:tr>
        <w:trPr>
          <w:trHeight w:val="214"/>
        </w:trPr>
        <w:tc>
          <w:tcPr>
            <w:tcW w:w="4820" w:type="dxa"/>
            <w:vAlign w:val="bottom"/>
          </w:tcPr>
          <w:p>
            <w:pPr>
              <w:ind w:left="520"/>
              <w:spacing w:after="0"/>
              <w:rPr>
                <w:sz w:val="20"/>
                <w:szCs w:val="20"/>
                <w:color w:val="auto"/>
              </w:rPr>
            </w:pPr>
            <w:r>
              <w:rPr>
                <w:rFonts w:ascii="Arial" w:cs="Arial" w:eastAsia="Arial" w:hAnsi="Arial"/>
                <w:sz w:val="18"/>
                <w:szCs w:val="18"/>
                <w:color w:val="auto"/>
              </w:rPr>
              <w:t>Americas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7"/>
        </w:trPr>
        <w:tc>
          <w:tcPr>
            <w:tcW w:w="4820" w:type="dxa"/>
            <w:vAlign w:val="bottom"/>
          </w:tcPr>
          <w:p>
            <w:pPr>
              <w:ind w:left="52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1"/>
        </w:trPr>
        <w:tc>
          <w:tcPr>
            <w:tcW w:w="4820" w:type="dxa"/>
            <w:vAlign w:val="bottom"/>
          </w:tcPr>
          <w:p>
            <w:pPr>
              <w:ind w:left="520"/>
              <w:spacing w:after="0" w:line="241"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3"/>
                <w:szCs w:val="23"/>
                <w:color w:val="auto"/>
                <w:vertAlign w:val="superscript"/>
              </w:rPr>
              <w:t>(a)</w:t>
            </w:r>
          </w:p>
        </w:tc>
        <w:tc>
          <w:tcPr>
            <w:tcW w:w="2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4820" w:type="dxa"/>
            <w:vAlign w:val="bottom"/>
          </w:tcPr>
          <w:p>
            <w:pPr>
              <w:ind w:left="760"/>
              <w:spacing w:after="0"/>
              <w:rPr>
                <w:sz w:val="20"/>
                <w:szCs w:val="20"/>
                <w:color w:val="auto"/>
              </w:rPr>
            </w:pPr>
            <w:r>
              <w:rPr>
                <w:rFonts w:ascii="Arial" w:cs="Arial" w:eastAsia="Arial" w:hAnsi="Arial"/>
                <w:sz w:val="18"/>
                <w:szCs w:val="18"/>
                <w:color w:val="auto"/>
              </w:rPr>
              <w:t>Total Company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300" w:type="dxa"/>
            <w:vAlign w:val="bottom"/>
            <w:gridSpan w:val="4"/>
          </w:tcPr>
          <w:p>
            <w:pPr>
              <w:ind w:left="520"/>
              <w:spacing w:after="0"/>
              <w:rPr>
                <w:sz w:val="20"/>
                <w:szCs w:val="20"/>
                <w:color w:val="auto"/>
              </w:rPr>
            </w:pPr>
            <w:r>
              <w:rPr>
                <w:rFonts w:ascii="Arial" w:cs="Arial" w:eastAsia="Arial" w:hAnsi="Arial"/>
                <w:sz w:val="18"/>
                <w:szCs w:val="18"/>
                <w:color w:val="auto"/>
                <w:w w:val="99"/>
              </w:rPr>
              <w:t>Reconciliation of Adjusted EBITDA to income (loss) before income taxes</w:t>
            </w: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9"/>
              </w:rPr>
              <w:t>2020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9"/>
              </w:rPr>
              <w:t>2019</w:t>
            </w:r>
          </w:p>
        </w:tc>
        <w:tc>
          <w:tcPr>
            <w:tcW w:w="0" w:type="dxa"/>
            <w:vAlign w:val="bottom"/>
          </w:tcPr>
          <w:p>
            <w:pPr>
              <w:spacing w:after="0"/>
              <w:rPr>
                <w:sz w:val="1"/>
                <w:szCs w:val="1"/>
                <w:color w:val="auto"/>
              </w:rPr>
            </w:pPr>
          </w:p>
        </w:tc>
      </w:tr>
      <w:tr>
        <w:trPr>
          <w:trHeight w:val="214"/>
        </w:trPr>
        <w:tc>
          <w:tcPr>
            <w:tcW w:w="4820" w:type="dxa"/>
            <w:vAlign w:val="bottom"/>
          </w:tcPr>
          <w:p>
            <w:pPr>
              <w:ind w:left="520"/>
              <w:spacing w:after="0"/>
              <w:rPr>
                <w:sz w:val="20"/>
                <w:szCs w:val="20"/>
                <w:color w:val="auto"/>
              </w:rPr>
            </w:pPr>
            <w:r>
              <w:rPr>
                <w:rFonts w:ascii="Arial" w:cs="Arial" w:eastAsia="Arial" w:hAnsi="Arial"/>
                <w:sz w:val="18"/>
                <w:szCs w:val="18"/>
                <w:color w:val="auto"/>
              </w:rPr>
              <w:t>Adjusted EBITDA</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30"/>
        </w:trPr>
        <w:tc>
          <w:tcPr>
            <w:tcW w:w="6300" w:type="dxa"/>
            <w:vAlign w:val="bottom"/>
            <w:gridSpan w:val="4"/>
          </w:tcPr>
          <w:p>
            <w:pPr>
              <w:ind w:left="520"/>
              <w:spacing w:after="0"/>
              <w:rPr>
                <w:sz w:val="20"/>
                <w:szCs w:val="20"/>
                <w:color w:val="auto"/>
              </w:rPr>
            </w:pPr>
            <w:r>
              <w:rPr>
                <w:rFonts w:ascii="Arial" w:cs="Arial" w:eastAsia="Arial" w:hAnsi="Arial"/>
                <w:sz w:val="18"/>
                <w:szCs w:val="18"/>
                <w:color w:val="auto"/>
              </w:rPr>
              <w:t>Less:  Non-vehicle related depreciation and amortization</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5040" w:type="dxa"/>
            <w:vAlign w:val="bottom"/>
            <w:gridSpan w:val="2"/>
          </w:tcPr>
          <w:p>
            <w:pPr>
              <w:ind w:left="1200"/>
              <w:spacing w:after="0"/>
              <w:rPr>
                <w:sz w:val="20"/>
                <w:szCs w:val="20"/>
                <w:color w:val="auto"/>
              </w:rPr>
            </w:pPr>
            <w:r>
              <w:rPr>
                <w:rFonts w:ascii="Arial" w:cs="Arial" w:eastAsia="Arial" w:hAnsi="Arial"/>
                <w:sz w:val="18"/>
                <w:szCs w:val="18"/>
                <w:color w:val="auto"/>
              </w:rPr>
              <w:t>Interest expense related to corporate debt, net:</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30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4820" w:type="dxa"/>
            <w:vAlign w:val="bottom"/>
          </w:tcPr>
          <w:p>
            <w:pPr>
              <w:ind w:left="1300"/>
              <w:spacing w:after="0"/>
              <w:rPr>
                <w:sz w:val="20"/>
                <w:szCs w:val="20"/>
                <w:color w:val="auto"/>
              </w:rPr>
            </w:pPr>
            <w:r>
              <w:rPr>
                <w:rFonts w:ascii="Arial" w:cs="Arial" w:eastAsia="Arial" w:hAnsi="Arial"/>
                <w:sz w:val="18"/>
                <w:szCs w:val="18"/>
                <w:color w:val="auto"/>
              </w:rPr>
              <w:t>Early extinguishment of debt</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7"/>
        </w:trPr>
        <w:tc>
          <w:tcPr>
            <w:tcW w:w="4820" w:type="dxa"/>
            <w:vAlign w:val="bottom"/>
          </w:tcPr>
          <w:p>
            <w:pPr>
              <w:ind w:left="120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1"/>
        </w:trPr>
        <w:tc>
          <w:tcPr>
            <w:tcW w:w="4820" w:type="dxa"/>
            <w:vAlign w:val="bottom"/>
          </w:tcPr>
          <w:p>
            <w:pPr>
              <w:ind w:left="1200"/>
              <w:spacing w:after="0" w:line="241" w:lineRule="exact"/>
              <w:rPr>
                <w:sz w:val="20"/>
                <w:szCs w:val="20"/>
                <w:color w:val="auto"/>
              </w:rPr>
            </w:pPr>
            <w:r>
              <w:rPr>
                <w:rFonts w:ascii="Arial" w:cs="Arial" w:eastAsia="Arial" w:hAnsi="Arial"/>
                <w:sz w:val="18"/>
                <w:szCs w:val="18"/>
                <w:color w:val="auto"/>
              </w:rPr>
              <w:t xml:space="preserve">COVID-19 charges </w:t>
            </w:r>
            <w:r>
              <w:rPr>
                <w:rFonts w:ascii="Arial" w:cs="Arial" w:eastAsia="Arial" w:hAnsi="Arial"/>
                <w:sz w:val="23"/>
                <w:szCs w:val="23"/>
                <w:color w:val="auto"/>
                <w:vertAlign w:val="superscript"/>
              </w:rPr>
              <w:t>(b)</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tcPr>
          <w:p>
            <w:pPr>
              <w:ind w:left="5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198" w:lineRule="auto"/>
        <w:tabs>
          <w:tab w:leader="none" w:pos="820"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820" w:hanging="326"/>
        <w:spacing w:after="0" w:line="226" w:lineRule="auto"/>
        <w:tabs>
          <w:tab w:leader="none" w:pos="826"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For three months ended September 30, 2020 consists of $8 million within operating expenses, $1 million within selling, general and administrative expenses and $1 million within vehicle depreciation and lease charges, net. Primarily consisting of $18 million of incremental cleaning supplies to sanitize vehicles and facilities, and overflow parking for idle vehicles and related shuttling costs, $11 million of minimum annual guaranteed rent in excess of concession fees and ($19 million) associated with vehicles damaged in overflow parking lots, net of insurance proceeds.</w:t>
      </w:r>
    </w:p>
    <w:p>
      <w:pPr>
        <w:spacing w:after="0" w:line="243"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4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rPr>
              <w:t>Nine Months Ended September 30,</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center"/>
              <w:ind w:right="1010"/>
              <w:spacing w:after="0"/>
              <w:rPr>
                <w:sz w:val="20"/>
                <w:szCs w:val="20"/>
                <w:color w:val="auto"/>
              </w:rPr>
            </w:pPr>
            <w:r>
              <w:rPr>
                <w:rFonts w:ascii="Arial" w:cs="Arial" w:eastAsia="Arial" w:hAnsi="Arial"/>
                <w:sz w:val="18"/>
                <w:szCs w:val="18"/>
                <w:color w:val="auto"/>
                <w:w w:val="99"/>
              </w:rPr>
              <w:t>2020</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2019</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Revenues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50"/>
              <w:spacing w:after="0" w:line="169" w:lineRule="exact"/>
              <w:rPr>
                <w:sz w:val="20"/>
                <w:szCs w:val="20"/>
                <w:color w:val="auto"/>
              </w:rPr>
            </w:pPr>
            <w:r>
              <w:rPr>
                <w:rFonts w:ascii="Arial" w:cs="Arial" w:eastAsia="Arial" w:hAnsi="Arial"/>
                <w:sz w:val="18"/>
                <w:szCs w:val="18"/>
                <w:color w:val="auto"/>
                <w:w w:val="99"/>
              </w:rPr>
              <w:t>Adjusted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14"/>
                <w:szCs w:val="14"/>
                <w:color w:val="auto"/>
              </w:rPr>
            </w:pPr>
          </w:p>
        </w:tc>
        <w:tc>
          <w:tcPr>
            <w:tcW w:w="1140" w:type="dxa"/>
            <w:vAlign w:val="bottom"/>
          </w:tcPr>
          <w:p>
            <w:pPr>
              <w:jc w:val="center"/>
              <w:ind w:right="150"/>
              <w:spacing w:after="0" w:line="169" w:lineRule="exact"/>
              <w:rPr>
                <w:sz w:val="20"/>
                <w:szCs w:val="20"/>
                <w:color w:val="auto"/>
              </w:rPr>
            </w:pPr>
            <w:r>
              <w:rPr>
                <w:rFonts w:ascii="Arial" w:cs="Arial" w:eastAsia="Arial" w:hAnsi="Arial"/>
                <w:sz w:val="18"/>
                <w:szCs w:val="18"/>
                <w:color w:val="auto"/>
                <w:w w:val="99"/>
              </w:rPr>
              <w:t>Adjusted</w:t>
            </w:r>
          </w:p>
        </w:tc>
        <w:tc>
          <w:tcPr>
            <w:tcW w:w="0" w:type="dxa"/>
            <w:vAlign w:val="bottom"/>
          </w:tcPr>
          <w:p>
            <w:pPr>
              <w:spacing w:after="0"/>
              <w:rPr>
                <w:sz w:val="1"/>
                <w:szCs w:val="1"/>
                <w:color w:val="auto"/>
              </w:rPr>
            </w:pPr>
          </w:p>
        </w:tc>
      </w:tr>
      <w:tr>
        <w:trPr>
          <w:trHeight w:val="229"/>
        </w:trPr>
        <w:tc>
          <w:tcPr>
            <w:tcW w:w="4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color w:val="auto"/>
              </w:rPr>
              <w:t>EBITDA</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color w:val="auto"/>
              </w:rPr>
              <w:t>EBITDA</w:t>
            </w:r>
          </w:p>
        </w:tc>
        <w:tc>
          <w:tcPr>
            <w:tcW w:w="0" w:type="dxa"/>
            <w:vAlign w:val="bottom"/>
          </w:tcPr>
          <w:p>
            <w:pPr>
              <w:spacing w:after="0"/>
              <w:rPr>
                <w:sz w:val="1"/>
                <w:szCs w:val="1"/>
                <w:color w:val="auto"/>
              </w:rPr>
            </w:pPr>
          </w:p>
        </w:tc>
      </w:tr>
      <w:tr>
        <w:trPr>
          <w:trHeight w:val="214"/>
        </w:trPr>
        <w:tc>
          <w:tcPr>
            <w:tcW w:w="4600" w:type="dxa"/>
            <w:vAlign w:val="bottom"/>
          </w:tcPr>
          <w:p>
            <w:pPr>
              <w:spacing w:after="0"/>
              <w:rPr>
                <w:sz w:val="20"/>
                <w:szCs w:val="20"/>
                <w:color w:val="auto"/>
              </w:rPr>
            </w:pPr>
            <w:r>
              <w:rPr>
                <w:rFonts w:ascii="Arial" w:cs="Arial" w:eastAsia="Arial" w:hAnsi="Arial"/>
                <w:sz w:val="18"/>
                <w:szCs w:val="18"/>
                <w:color w:val="auto"/>
              </w:rPr>
              <w:t>Americas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2,936</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4,822</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27"/>
        </w:trPr>
        <w:tc>
          <w:tcPr>
            <w:tcW w:w="4600" w:type="dxa"/>
            <w:vAlign w:val="bottom"/>
          </w:tcPr>
          <w:p>
            <w:pPr>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41"/>
        </w:trPr>
        <w:tc>
          <w:tcPr>
            <w:tcW w:w="4600" w:type="dxa"/>
            <w:vAlign w:val="bottom"/>
          </w:tcPr>
          <w:p>
            <w:pPr>
              <w:spacing w:after="0" w:line="241"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3"/>
                <w:szCs w:val="23"/>
                <w:color w:val="auto"/>
                <w:vertAlign w:val="superscript"/>
              </w:rPr>
              <w:t>(a)</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4600" w:type="dxa"/>
            <w:vAlign w:val="bottom"/>
          </w:tcPr>
          <w:p>
            <w:pPr>
              <w:ind w:left="240"/>
              <w:spacing w:after="0"/>
              <w:rPr>
                <w:sz w:val="20"/>
                <w:szCs w:val="20"/>
                <w:color w:val="auto"/>
              </w:rPr>
            </w:pPr>
            <w:r>
              <w:rPr>
                <w:rFonts w:ascii="Arial" w:cs="Arial" w:eastAsia="Arial" w:hAnsi="Arial"/>
                <w:sz w:val="18"/>
                <w:szCs w:val="18"/>
                <w:color w:val="auto"/>
              </w:rPr>
              <w:t>Total Company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4,047</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020" w:type="dxa"/>
            <w:vAlign w:val="bottom"/>
            <w:gridSpan w:val="6"/>
          </w:tcPr>
          <w:p>
            <w:pPr>
              <w:spacing w:after="0"/>
              <w:rPr>
                <w:sz w:val="20"/>
                <w:szCs w:val="20"/>
                <w:color w:val="auto"/>
              </w:rPr>
            </w:pPr>
            <w:r>
              <w:rPr>
                <w:rFonts w:ascii="Arial" w:cs="Arial" w:eastAsia="Arial" w:hAnsi="Arial"/>
                <w:sz w:val="18"/>
                <w:szCs w:val="18"/>
                <w:color w:val="auto"/>
              </w:rPr>
              <w:t>Reconciliation of Adjusted EBITDA to income (loss) before income taxes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2020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ind w:right="170"/>
              <w:spacing w:after="0"/>
              <w:rPr>
                <w:sz w:val="20"/>
                <w:szCs w:val="20"/>
                <w:color w:val="auto"/>
              </w:rPr>
            </w:pPr>
            <w:r>
              <w:rPr>
                <w:rFonts w:ascii="Arial" w:cs="Arial" w:eastAsia="Arial" w:hAnsi="Arial"/>
                <w:sz w:val="18"/>
                <w:szCs w:val="18"/>
                <w:color w:val="auto"/>
                <w:w w:val="99"/>
              </w:rPr>
              <w:t>2019</w:t>
            </w:r>
          </w:p>
        </w:tc>
        <w:tc>
          <w:tcPr>
            <w:tcW w:w="0" w:type="dxa"/>
            <w:vAlign w:val="bottom"/>
          </w:tcPr>
          <w:p>
            <w:pPr>
              <w:spacing w:after="0"/>
              <w:rPr>
                <w:sz w:val="1"/>
                <w:szCs w:val="1"/>
                <w:color w:val="auto"/>
              </w:rPr>
            </w:pPr>
          </w:p>
        </w:tc>
      </w:tr>
      <w:tr>
        <w:trPr>
          <w:trHeight w:val="214"/>
        </w:trPr>
        <w:tc>
          <w:tcPr>
            <w:tcW w:w="4600" w:type="dxa"/>
            <w:vAlign w:val="bottom"/>
          </w:tcPr>
          <w:p>
            <w:pPr>
              <w:spacing w:after="0"/>
              <w:rPr>
                <w:sz w:val="20"/>
                <w:szCs w:val="20"/>
                <w:color w:val="auto"/>
              </w:rPr>
            </w:pPr>
            <w:r>
              <w:rPr>
                <w:rFonts w:ascii="Arial" w:cs="Arial" w:eastAsia="Arial" w:hAnsi="Arial"/>
                <w:sz w:val="18"/>
                <w:szCs w:val="18"/>
                <w:color w:val="auto"/>
              </w:rPr>
              <w:t>Adjusted EBITDA</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Less:  Non-vehicle related depreciation and amortization</w:t>
            </w: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4600" w:type="dxa"/>
            <w:vAlign w:val="bottom"/>
          </w:tcPr>
          <w:p>
            <w:pPr>
              <w:ind w:left="680"/>
              <w:spacing w:after="0"/>
              <w:rPr>
                <w:sz w:val="20"/>
                <w:szCs w:val="20"/>
                <w:color w:val="auto"/>
              </w:rPr>
            </w:pPr>
            <w:r>
              <w:rPr>
                <w:rFonts w:ascii="Arial" w:cs="Arial" w:eastAsia="Arial" w:hAnsi="Arial"/>
                <w:sz w:val="18"/>
                <w:szCs w:val="18"/>
                <w:color w:val="auto"/>
              </w:rPr>
              <w:t>Interest expense related to corporate debt, net:</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7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7"/>
        </w:trPr>
        <w:tc>
          <w:tcPr>
            <w:tcW w:w="4600" w:type="dxa"/>
            <w:vAlign w:val="bottom"/>
          </w:tcPr>
          <w:p>
            <w:pPr>
              <w:ind w:left="780"/>
              <w:spacing w:after="0"/>
              <w:rPr>
                <w:sz w:val="20"/>
                <w:szCs w:val="20"/>
                <w:color w:val="auto"/>
              </w:rPr>
            </w:pPr>
            <w:r>
              <w:rPr>
                <w:rFonts w:ascii="Arial" w:cs="Arial" w:eastAsia="Arial" w:hAnsi="Arial"/>
                <w:sz w:val="18"/>
                <w:szCs w:val="18"/>
                <w:color w:val="auto"/>
              </w:rPr>
              <w:t>Early extinguishment of debt</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2"/>
        </w:trPr>
        <w:tc>
          <w:tcPr>
            <w:tcW w:w="4600" w:type="dxa"/>
            <w:vAlign w:val="bottom"/>
          </w:tcPr>
          <w:p>
            <w:pPr>
              <w:ind w:left="680"/>
              <w:spacing w:after="0" w:line="232" w:lineRule="exact"/>
              <w:rPr>
                <w:sz w:val="20"/>
                <w:szCs w:val="20"/>
                <w:color w:val="auto"/>
              </w:rPr>
            </w:pPr>
            <w:r>
              <w:rPr>
                <w:rFonts w:ascii="Arial" w:cs="Arial" w:eastAsia="Arial" w:hAnsi="Arial"/>
                <w:sz w:val="18"/>
                <w:szCs w:val="18"/>
                <w:color w:val="auto"/>
              </w:rPr>
              <w:t xml:space="preserve">COVID-19 charges </w:t>
            </w:r>
            <w:r>
              <w:rPr>
                <w:rFonts w:ascii="Arial" w:cs="Arial" w:eastAsia="Arial" w:hAnsi="Arial"/>
                <w:sz w:val="23"/>
                <w:szCs w:val="23"/>
                <w:color w:val="auto"/>
                <w:vertAlign w:val="superscript"/>
              </w:rPr>
              <w:t>(b)</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tcPr>
          <w:p>
            <w:pPr>
              <w:ind w:left="680"/>
              <w:spacing w:after="0"/>
              <w:rPr>
                <w:sz w:val="20"/>
                <w:szCs w:val="20"/>
                <w:color w:val="auto"/>
              </w:rPr>
            </w:pPr>
            <w:r>
              <w:rPr>
                <w:rFonts w:ascii="Arial" w:cs="Arial" w:eastAsia="Arial" w:hAnsi="Arial"/>
                <w:sz w:val="18"/>
                <w:szCs w:val="18"/>
                <w:color w:val="auto"/>
              </w:rPr>
              <w:t>Restructuring and other related charges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85"/>
        </w:trPr>
        <w:tc>
          <w:tcPr>
            <w:tcW w:w="4600" w:type="dxa"/>
            <w:vAlign w:val="bottom"/>
          </w:tcPr>
          <w:p>
            <w:pPr>
              <w:ind w:left="680"/>
              <w:spacing w:after="0" w:line="185" w:lineRule="exact"/>
              <w:rPr>
                <w:sz w:val="20"/>
                <w:szCs w:val="20"/>
                <w:color w:val="auto"/>
              </w:rPr>
            </w:pPr>
            <w:r>
              <w:rPr>
                <w:rFonts w:ascii="Arial" w:cs="Arial" w:eastAsia="Arial" w:hAnsi="Arial"/>
                <w:sz w:val="18"/>
                <w:szCs w:val="18"/>
                <w:color w:val="auto"/>
              </w:rPr>
              <w:t>Non-operational charges related to shareholder</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4600" w:type="dxa"/>
            <w:vAlign w:val="bottom"/>
          </w:tcPr>
          <w:p>
            <w:pPr>
              <w:ind w:left="840"/>
              <w:spacing w:after="0" w:line="220" w:lineRule="exact"/>
              <w:rPr>
                <w:sz w:val="20"/>
                <w:szCs w:val="20"/>
                <w:color w:val="auto"/>
              </w:rPr>
            </w:pPr>
            <w:r>
              <w:rPr>
                <w:rFonts w:ascii="Arial" w:cs="Arial" w:eastAsia="Arial" w:hAnsi="Arial"/>
                <w:sz w:val="18"/>
                <w:szCs w:val="18"/>
                <w:color w:val="auto"/>
              </w:rPr>
              <w:t xml:space="preserve">activist activity </w:t>
            </w:r>
            <w:r>
              <w:rPr>
                <w:rFonts w:ascii="Arial" w:cs="Arial" w:eastAsia="Arial" w:hAnsi="Arial"/>
                <w:sz w:val="23"/>
                <w:szCs w:val="23"/>
                <w:color w:val="auto"/>
                <w:vertAlign w:val="superscript"/>
              </w:rPr>
              <w:t>(c)</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00" w:type="dxa"/>
            <w:vAlign w:val="bottom"/>
          </w:tcPr>
          <w:p>
            <w:pPr>
              <w:ind w:left="680"/>
              <w:spacing w:after="0"/>
              <w:rPr>
                <w:sz w:val="20"/>
                <w:szCs w:val="20"/>
                <w:color w:val="auto"/>
              </w:rPr>
            </w:pPr>
            <w:r>
              <w:rPr>
                <w:rFonts w:ascii="Arial" w:cs="Arial" w:eastAsia="Arial" w:hAnsi="Arial"/>
                <w:sz w:val="18"/>
                <w:szCs w:val="18"/>
                <w:color w:val="auto"/>
              </w:rPr>
              <w:t>Transaction-related costs, net</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1"/>
        </w:trPr>
        <w:tc>
          <w:tcPr>
            <w:tcW w:w="5720" w:type="dxa"/>
            <w:vAlign w:val="bottom"/>
            <w:gridSpan w:val="3"/>
          </w:tcPr>
          <w:p>
            <w:pPr>
              <w:ind w:left="1100"/>
              <w:spacing w:after="0" w:line="241" w:lineRule="exact"/>
              <w:rPr>
                <w:sz w:val="20"/>
                <w:szCs w:val="20"/>
                <w:color w:val="auto"/>
              </w:rPr>
            </w:pPr>
            <w:r>
              <w:rPr>
                <w:rFonts w:ascii="Arial" w:cs="Arial" w:eastAsia="Arial" w:hAnsi="Arial"/>
                <w:sz w:val="18"/>
                <w:szCs w:val="18"/>
                <w:color w:val="auto"/>
              </w:rPr>
              <w:t xml:space="preserve">Gain on sale of equity method investment in China </w:t>
            </w:r>
            <w:r>
              <w:rPr>
                <w:rFonts w:ascii="Arial" w:cs="Arial" w:eastAsia="Arial" w:hAnsi="Arial"/>
                <w:sz w:val="23"/>
                <w:szCs w:val="23"/>
                <w:color w:val="auto"/>
                <w:vertAlign w:val="superscript"/>
              </w:rPr>
              <w:t>(d)</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14" w:lineRule="auto"/>
        <w:tabs>
          <w:tab w:leader="none" w:pos="820"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sectPr>
          <w:pgSz w:w="11900" w:h="16838" w:orient="portrait"/>
          <w:cols w:equalWidth="0" w:num="1">
            <w:col w:w="11060"/>
          </w:cols>
          <w:pgMar w:left="320" w:top="115" w:right="51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15" w:right="51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20" w:right="40" w:hanging="326"/>
        <w:spacing w:after="0" w:line="227" w:lineRule="auto"/>
        <w:tabs>
          <w:tab w:leader="none" w:pos="826"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Nine months ended September 30, 2020 consists of $87 million within operating expenses, $2 million within selling, general and administrative expenses and $1 million within vehicle depreciation and lease charges, net. Primarily consisting of $41 million of minimum annual guaranteed rent in excess of concession fees, $35 million of incremental cleaning supplies to sanitize vehicles and facilities, and overflow parking for idle vehicles and related shuttling costs and $14 million of losses associated with vehicles damaged in overflow parking lots, net of insurance proceeds, .</w:t>
      </w:r>
    </w:p>
    <w:p>
      <w:pPr>
        <w:spacing w:after="0" w:line="2" w:lineRule="exact"/>
        <w:rPr>
          <w:rFonts w:ascii="Arial" w:cs="Arial" w:eastAsia="Arial" w:hAnsi="Arial"/>
          <w:sz w:val="19"/>
          <w:szCs w:val="19"/>
          <w:color w:val="auto"/>
          <w:vertAlign w:val="superscript"/>
        </w:rPr>
      </w:pPr>
    </w:p>
    <w:p>
      <w:pPr>
        <w:ind w:left="800" w:hanging="306"/>
        <w:spacing w:after="0" w:line="187" w:lineRule="auto"/>
        <w:tabs>
          <w:tab w:leader="none" w:pos="80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Reported within selling, general and administrative expenses.</w:t>
      </w:r>
    </w:p>
    <w:p>
      <w:pPr>
        <w:ind w:left="820" w:hanging="326"/>
        <w:spacing w:after="0" w:line="193" w:lineRule="auto"/>
        <w:tabs>
          <w:tab w:leader="none" w:pos="820"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Reported within operating expenses.</w:t>
      </w:r>
    </w:p>
    <w:p>
      <w:pPr>
        <w:spacing w:after="0" w:line="202" w:lineRule="exact"/>
        <w:rPr>
          <w:sz w:val="20"/>
          <w:szCs w:val="20"/>
          <w:color w:val="auto"/>
        </w:rPr>
      </w:pPr>
    </w:p>
    <w:p>
      <w:pPr>
        <w:ind w:left="500"/>
        <w:spacing w:after="0" w:line="260" w:lineRule="auto"/>
        <w:rPr>
          <w:sz w:val="20"/>
          <w:szCs w:val="20"/>
          <w:color w:val="auto"/>
        </w:rPr>
      </w:pPr>
      <w:r>
        <w:rPr>
          <w:rFonts w:ascii="Arial" w:cs="Arial" w:eastAsia="Arial" w:hAnsi="Arial"/>
          <w:sz w:val="18"/>
          <w:szCs w:val="18"/>
          <w:color w:val="auto"/>
        </w:rPr>
        <w:t>Since December 31, 2019, there have been no significant changes in segment assets exclusive of assets under vehicle programs. As of September 30, 2020 and December 31, 2019, Americas’ segment assets under vehicle programs were approximately $7.8 billion and $10.5 billion, respectively, and International segment assets under vehicle programs were approximately $ 2.2 billion and $3.3 billion, respectively. The changes in assets under vehicle programs is primarily due to the reduction of vehicles in response to the COVID-19 pandemic.</w:t>
      </w:r>
    </w:p>
    <w:p>
      <w:pPr>
        <w:spacing w:after="0" w:line="20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5" w:right="47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i w:val="1"/>
          <w:iCs w:val="1"/>
          <w:color w:val="auto"/>
        </w:rPr>
        <w:t>The following discussion should be read in conjunction with our Consolidated Condensed Financial Statements and accompanying Notes included in this Quarterly Report on Form 10-Q, and with our 2019 Form 10-K. Our actual results of operations may differ materially from those discussed in forward-looking statements as a result of various factors, including but not limited to those included in this Quarterly Report on Form 10-Q and those included in the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 Operations,” “Risk Factors” and other portions of our 2019 Form 10-K. Unless otherwise noted, all dollar amounts in tables are in millions.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5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We operate three of the most globally recognized brands in mobility solutions, Avis, Budget and Zipcar, together with several other brands well recognized in their respective markets. We are a leading vehicle rental operator in North America, Europe, Australasia and certain other regions we serve, with an average rental fleet during 2019 of nearly 660,000 vehicles. We also license the use of our trademarks to licensees in the areas in which we do not operate directly. We and our licensees operate our brands in approximately 180 countries throughout the world.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52" w:lineRule="exact"/>
        <w:rPr>
          <w:sz w:val="20"/>
          <w:szCs w:val="20"/>
          <w:color w:val="auto"/>
        </w:rPr>
      </w:pPr>
    </w:p>
    <w:p>
      <w:pPr>
        <w:jc w:val="both"/>
        <w:ind w:right="80"/>
        <w:spacing w:after="0" w:line="284" w:lineRule="auto"/>
        <w:rPr>
          <w:sz w:val="20"/>
          <w:szCs w:val="20"/>
          <w:color w:val="auto"/>
        </w:rPr>
      </w:pPr>
      <w:r>
        <w:rPr>
          <w:rFonts w:ascii="Arial" w:cs="Arial" w:eastAsia="Arial" w:hAnsi="Arial"/>
          <w:sz w:val="17"/>
          <w:szCs w:val="17"/>
          <w:color w:val="auto"/>
        </w:rPr>
        <w:t xml:space="preserve">We categorize our operations into two reportable business segments: </w:t>
      </w:r>
      <w:r>
        <w:rPr>
          <w:rFonts w:ascii="Arial" w:cs="Arial" w:eastAsia="Arial" w:hAnsi="Arial"/>
          <w:sz w:val="17"/>
          <w:szCs w:val="17"/>
          <w:i w:val="1"/>
          <w:iCs w:val="1"/>
          <w:color w:val="auto"/>
        </w:rPr>
        <w:t>Americas</w:t>
      </w:r>
      <w:r>
        <w:rPr>
          <w:rFonts w:ascii="Arial" w:cs="Arial" w:eastAsia="Arial" w:hAnsi="Arial"/>
          <w:sz w:val="17"/>
          <w:szCs w:val="17"/>
          <w:color w:val="auto"/>
        </w:rPr>
        <w:t xml:space="preserve">, consisting primarily of our vehicle rental operations in North America, South America, Central America and the Caribbean, car sharing operations in certain of these markets, and licensees in the areas in which we do not operate directly; and </w:t>
      </w:r>
      <w:r>
        <w:rPr>
          <w:rFonts w:ascii="Arial" w:cs="Arial" w:eastAsia="Arial" w:hAnsi="Arial"/>
          <w:sz w:val="17"/>
          <w:szCs w:val="17"/>
          <w:i w:val="1"/>
          <w:iCs w:val="1"/>
          <w:color w:val="auto"/>
        </w:rPr>
        <w:t>International</w:t>
      </w:r>
      <w:r>
        <w:rPr>
          <w:rFonts w:ascii="Arial" w:cs="Arial" w:eastAsia="Arial" w:hAnsi="Arial"/>
          <w:sz w:val="17"/>
          <w:szCs w:val="17"/>
          <w:color w:val="auto"/>
        </w:rPr>
        <w:t>, consisting primarily of our vehicle rental operations in Europe, the Middle East, Africa, Asia and Australasia, car sharing operations in certain of these markets, and licensees in the areas in which we do not operate directly.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52"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The spread of the novel coronavirus (“COVID-19”) and the impact on travel demand and the global economy are having significant negative impacts on all aspects of our business.</w:t>
      </w:r>
    </w:p>
    <w:p>
      <w:pPr>
        <w:spacing w:after="0" w:line="17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Significant events affecting travel, have historically had an impact on vehicle rental volumes, with the full extent of the impact generally determined by the length of time the event influences travel decisions. COVID-19 and the resulting economic conditions have had, and we believe will continue to have, a significant negative impact on our operations and vehicle rental volumes and consequently our financial results, and such negative impact may continue well beyond the containment of this outbreak. In particular:</w:t>
      </w:r>
    </w:p>
    <w:p>
      <w:pPr>
        <w:spacing w:after="0" w:line="196" w:lineRule="exact"/>
        <w:rPr>
          <w:sz w:val="20"/>
          <w:szCs w:val="20"/>
          <w:color w:val="auto"/>
        </w:rPr>
      </w:pPr>
    </w:p>
    <w:p>
      <w:pPr>
        <w:ind w:left="660" w:right="180" w:hanging="328"/>
        <w:spacing w:after="0" w:line="264"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Reservation volume thus far in 2020 is significantly behind prior year on a comparable basis as a result of the effects of COVID-19, which impacted our peak summer season. We are not able to predict the impact that the COVID-19 pandemic may have on the seasonality of our business and cannot predict the travel volume for the holidays, particularly if the pandemic's effects increase as the winter season approaches.</w:t>
      </w:r>
    </w:p>
    <w:p>
      <w:pPr>
        <w:spacing w:after="0" w:line="196" w:lineRule="exact"/>
        <w:rPr>
          <w:rFonts w:ascii="Arial" w:cs="Arial" w:eastAsia="Arial" w:hAnsi="Arial"/>
          <w:sz w:val="18"/>
          <w:szCs w:val="18"/>
          <w:color w:val="auto"/>
        </w:rPr>
      </w:pPr>
    </w:p>
    <w:p>
      <w:pPr>
        <w:ind w:left="660" w:right="60" w:hanging="328"/>
        <w:spacing w:after="0" w:line="25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used vehicle market was significantly disrupted in the first half of the second quarter, impacting our ability to dispose of used vehicles as a result of COVID-19. Beginning in the second half of the second quarter and continuing throughout the third quarter, the used car market improved significantly. If there are further disruptions due to COVID-19, we may experience a reduction in residual values for risk vehicles in our fleet which could cause us to sustain a substantial loss on the ultimate sale of such vehicles or require us to depreciate those vehicles at a more accelerated rate than we have anticipated. If our ability to sell vehicles in the used vehicle market becomes severely limited again, we may have difficulty meeting collateral requirements due under our asset-backed financing facilities.</w:t>
      </w:r>
    </w:p>
    <w:p>
      <w:pPr>
        <w:spacing w:after="0" w:line="203"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April 2020, Moody’s and S&amp;P Global (the “Rating Agencies”) downgraded our long-term corporate debt rating. If we were to experience a further downgrade, this could negatively impact our ability to respond to adverse changes in general economic, industry and competitive conditions, as well as changes in government regulation and changes to our business.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0" w:hanging="328"/>
        <w:spacing w:after="0" w:line="284" w:lineRule="auto"/>
        <w:tabs>
          <w:tab w:leader="none" w:pos="655" w:val="left"/>
        </w:tabs>
        <w:numPr>
          <w:ilvl w:val="0"/>
          <w:numId w:val="44"/>
        </w:numPr>
        <w:rPr>
          <w:rFonts w:ascii="Arial" w:cs="Arial" w:eastAsia="Arial" w:hAnsi="Arial"/>
          <w:sz w:val="17"/>
          <w:szCs w:val="17"/>
          <w:color w:val="auto"/>
        </w:rPr>
      </w:pPr>
      <w:r>
        <w:rPr>
          <w:rFonts w:ascii="Arial" w:cs="Arial" w:eastAsia="Arial" w:hAnsi="Arial"/>
          <w:sz w:val="17"/>
          <w:szCs w:val="17"/>
          <w:color w:val="auto"/>
        </w:rPr>
        <w:t>As a result of decreased rental volume, we have parked our vehicles in overflow parking lots. In April 2020, we experienced a fire at an overflow parking lot near Southwest Florida International Airport. As a result, we have lost vehicles with an estimated carrying value of approximately $50 million. We realized a loss of approximately $10 million related to this incident, which has been treated as COVID-19 charges and excluded from Adjusted EBITDA. We could experience similar casualty losses in other overflow parking lots.</w:t>
      </w:r>
    </w:p>
    <w:p>
      <w:pPr>
        <w:spacing w:after="0" w:line="181" w:lineRule="exact"/>
        <w:rPr>
          <w:rFonts w:ascii="Arial" w:cs="Arial" w:eastAsia="Arial" w:hAnsi="Arial"/>
          <w:sz w:val="17"/>
          <w:szCs w:val="17"/>
          <w:color w:val="auto"/>
        </w:rPr>
      </w:pPr>
    </w:p>
    <w:p>
      <w:pPr>
        <w:ind w:left="660" w:right="160" w:hanging="328"/>
        <w:spacing w:after="0" w:line="256"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have taken cost removal and mitigation actions by eliminating all non-essential capital and operating expenditures and we are continuing to negotiate with partners and suppliers for further reductions. Expenses for the first nine months of 2020 reflect the reduction or furlough of a large part of our global workforce, reduction of base compensation at the level of vice presidents and above, frozen merit increases, elimination of our 401(k) match for highly compensated employees, and cancellation of future hiring. We aggressively reduced the size of our global fleet beginning in March and ended September with 30% fewer units than the prior year. Our vehicle dispositions will occur through both traditional methods and by utilizing our alternative distribution strategy by selling directly to dealers and consumers. Finally, we have negotiated a significant number of new vehicle cancellations to improve utilization and shrink the fleet size.</w:t>
      </w:r>
    </w:p>
    <w:p>
      <w:pPr>
        <w:spacing w:after="0" w:line="205"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momentum from the second quarter carried into the third quarter, during which we generated revenues of $1,534 million, net income of $45 million and Adjusted EBITDA of $ 220 million. These results were driven by ongoing cost removal and mitigation actions of another approximately $1 billion in savings for the quarter and improved residual values, which resulted from a strong used car market. Our per-unit fleet costs per month, excluding exchange rate effects, decreased to $163, or 35%, compared to third quarter 2019. Rental volumes improved by 60% compared to the previous quarter. Our utilization was 60.6% showing our ability to align our fleet with demand, which is a 25.5 point improvement compared to the previous quarter, and ended September 2020 at 63.1%. Although our revenues are significantly down compared to the prior year, we have taken positive actions to weather the crisis. We continue to look for ways to capitalize on the changes prompted by the pandemic and to expand our business in a post-COVID-19 environment. Although we have seen significant improvement, these trends could be hindered if a another wave of the virus were to impact the economy.</w:t>
      </w:r>
    </w:p>
    <w:p>
      <w:pPr>
        <w:spacing w:after="0" w:line="20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have never previously experienced such a decrease in demand, and as a result, our ability to be predictive regarding the impact of such a decrease is uncertain. In addition, the duration of the global pandemic is uncertain. As a consequence, we cannot estimate the impact on our business, financial condition or forecast financial or operational results with reasonable certainty. Our results of operations, financial condition, and cash flows were impacted during the three and nine months ended September 30, 2020, by the ongoing COVID-19 pandemic. The trends and results for the three and nine months ended September 30, 2020 may not be indicative of results that may be expected in the future due to uncertainty regarding the extent and duration of the COVID-19 pandemic.</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w:t>
      </w:r>
    </w:p>
    <w:p>
      <w:pPr>
        <w:spacing w:after="0" w:line="2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measure performance principally using the following key metrics: (i) rental days, which represent the total number of days (or portion thereof) a vehicle was rented, (ii) revenue per day, which represents revenues divided by rental days, (iii) vehicle utilization, which represents rental days divided by available rental days, with available rental days defined as average rental fleet times the number of days in the period, and (iv) per-unit fleet costs, which represent vehicle depreciation, lease charges and gain or loss on vehicle sales, divided by average rental fleet. Our rental days, revenue per day and vehicle utilization metrics are all calculated based on the actual rental of the vehicle during a 24-hour period. We believe that this methodology provides us with the most relevant metrics in order to manage the business. Our calculation may not be comparable to the calculation of similarly-titled metrics by other companies. We present currency exchange rate effects to provide a method of assessing how our business performed excluding the effects of foreign currency rate fluctuations. Currency exchange rate effects are calculated by translating the current-year results at the prior-period average exchange rate plus any related gains and losses on currency hedges.</w:t>
      </w:r>
    </w:p>
    <w:p>
      <w:pPr>
        <w:spacing w:after="0" w:line="204"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revenues and “Adjusted EBITDA,” which we define as income from continuing operations before non-vehicle related</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depreciation and amortization, any impairment charges, restructuring and other related charges, early extinguishment of debt costs, non-vehicle related interest, transaction-related costs, net, charges for unprecedented personal-injury legal matters, non-operational charges related to shareholder activist activity, gain on sale of equity method investment in China, COVID-19 charges and income taxes. Net charges for unprecedented personal-injury legal matters and gain on sale of equity method investment in China are recorded within operating expenses in our consolidated condensed results of operations. Non-operational charges related to shareholder activist activity include third party advisory, legal and other professional service fees and are recorded within selling, general and administrative expenses in our consolidated condensed results of operations. COVID-19 charges include unusual, direct and incremental costs due to the COVID-19 global pandemic such as minimum annual guaranteed rent in excess of concession fees for the period, overflow parking for idle vehicles and related shuttling costs, incremental cleaning supplies to sanitize vehicles and facilities, and losses associated with vehicles damaged in overflow parking lots, net of insurance proceeds, and are primarily recorded within operating expenses in our consolidated condensed results of operations. We have revised our definition of Adjusted EBITDA to exclude COVID-19 charges. We did not revise prior years' Adjusted EBITDA amounts because there were no other charges similar in nature to these. 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2020:</w:t>
      </w:r>
    </w:p>
    <w:p>
      <w:pPr>
        <w:spacing w:after="0" w:line="252" w:lineRule="exact"/>
        <w:rPr>
          <w:sz w:val="20"/>
          <w:szCs w:val="20"/>
          <w:color w:val="auto"/>
        </w:rPr>
      </w:pPr>
    </w:p>
    <w:p>
      <w:pPr>
        <w:ind w:left="660" w:right="60" w:hanging="328"/>
        <w:spacing w:after="0" w:line="292"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revenues totaled $4.0 billion and decreased 42% compared to the similar period in 2019, primarily due to reduced rental volume due to impacts directly related to COVID-19.</w:t>
      </w:r>
    </w:p>
    <w:p>
      <w:pPr>
        <w:spacing w:after="0" w:line="171" w:lineRule="exact"/>
        <w:rPr>
          <w:rFonts w:ascii="Arial" w:cs="Arial" w:eastAsia="Arial" w:hAnsi="Arial"/>
          <w:sz w:val="18"/>
          <w:szCs w:val="18"/>
          <w:color w:val="auto"/>
        </w:rPr>
      </w:pPr>
    </w:p>
    <w:p>
      <w:pPr>
        <w:ind w:left="660" w:right="120" w:hanging="328"/>
        <w:spacing w:after="0" w:line="27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net loss was $594 million and our Adjusted EBITDA loss was $249 million, representing losses of $754 million and $894 million year-over-year, respectively, primarily due to impacts directly related to COVID-19, partially offset by an 18% decrease in per-unit fleet costs.</w:t>
      </w:r>
    </w:p>
    <w:p>
      <w:pPr>
        <w:spacing w:after="0" w:line="189" w:lineRule="exact"/>
        <w:rPr>
          <w:rFonts w:ascii="Arial" w:cs="Arial" w:eastAsia="Arial" w:hAnsi="Arial"/>
          <w:sz w:val="18"/>
          <w:szCs w:val="18"/>
          <w:color w:val="auto"/>
        </w:rPr>
      </w:pPr>
    </w:p>
    <w:p>
      <w:pPr>
        <w:ind w:left="660" w:right="60" w:hanging="328"/>
        <w:spacing w:after="0" w:line="292"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repurchased $113 million of our common stock at an average price of $22.49, reducing our shares outstanding by approximately 5.0 million shares, or 7%.</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acquired various licensees in the United States and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44"/>
        </w:trPr>
        <w:tc>
          <w:tcPr>
            <w:tcW w:w="586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8"/>
        </w:trPr>
        <w:tc>
          <w:tcPr>
            <w:tcW w:w="744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Three Months Ended September 30, 2020 vs. Three Months Ended September 30, 2019</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6060" w:type="dxa"/>
            <w:vAlign w:val="bottom"/>
            <w:gridSpan w:val="2"/>
          </w:tcPr>
          <w:p>
            <w:pPr>
              <w:spacing w:after="0"/>
              <w:rPr>
                <w:sz w:val="20"/>
                <w:szCs w:val="20"/>
                <w:color w:val="auto"/>
              </w:rPr>
            </w:pPr>
            <w:r>
              <w:rPr>
                <w:rFonts w:ascii="Arial" w:cs="Arial" w:eastAsia="Arial" w:hAnsi="Arial"/>
                <w:sz w:val="18"/>
                <w:szCs w:val="18"/>
                <w:color w:val="auto"/>
              </w:rPr>
              <w:t>Our consolidated condensed results of operations comprised the following:</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5"/>
          </w:tcPr>
          <w:p>
            <w:pPr>
              <w:jc w:val="center"/>
              <w:ind w:right="340"/>
              <w:spacing w:after="0" w:line="199" w:lineRule="exact"/>
              <w:rPr>
                <w:sz w:val="20"/>
                <w:szCs w:val="20"/>
                <w:color w:val="auto"/>
              </w:rPr>
            </w:pPr>
            <w:r>
              <w:rPr>
                <w:rFonts w:ascii="Arial" w:cs="Arial" w:eastAsia="Arial" w:hAnsi="Arial"/>
                <w:sz w:val="18"/>
                <w:szCs w:val="18"/>
                <w:b w:val="1"/>
                <w:bCs w:val="1"/>
                <w:color w:val="auto"/>
                <w:w w:val="99"/>
              </w:rPr>
              <w:t>Three Months Ended</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9"/>
              </w:rPr>
              <w:t>September 30,</w:t>
            </w:r>
          </w:p>
        </w:tc>
        <w:tc>
          <w:tcPr>
            <w:tcW w:w="180" w:type="dxa"/>
            <w:vAlign w:val="bottom"/>
          </w:tcPr>
          <w:p>
            <w:pPr>
              <w:spacing w:after="0"/>
              <w:rPr>
                <w:sz w:val="19"/>
                <w:szCs w:val="19"/>
                <w:color w:val="auto"/>
              </w:rPr>
            </w:pPr>
          </w:p>
        </w:tc>
        <w:tc>
          <w:tcPr>
            <w:tcW w:w="11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9"/>
                <w:szCs w:val="19"/>
                <w:color w:val="auto"/>
              </w:rPr>
            </w:pPr>
          </w:p>
        </w:tc>
        <w:tc>
          <w:tcPr>
            <w:tcW w:w="14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5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vMerge w:val="continue"/>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362"/>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29"/>
        </w:trPr>
        <w:tc>
          <w:tcPr>
            <w:tcW w:w="5860" w:type="dxa"/>
            <w:vAlign w:val="bottom"/>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30"/>
        </w:trPr>
        <w:tc>
          <w:tcPr>
            <w:tcW w:w="586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29"/>
        </w:trPr>
        <w:tc>
          <w:tcPr>
            <w:tcW w:w="5860" w:type="dxa"/>
            <w:vAlign w:val="bottom"/>
          </w:tcPr>
          <w:p>
            <w:pPr>
              <w:ind w:left="240"/>
              <w:spacing w:after="0"/>
              <w:rPr>
                <w:sz w:val="20"/>
                <w:szCs w:val="20"/>
                <w:color w:val="auto"/>
              </w:rPr>
            </w:pPr>
            <w:r>
              <w:rPr>
                <w:rFonts w:ascii="Arial" w:cs="Arial" w:eastAsia="Arial" w:hAnsi="Arial"/>
                <w:sz w:val="18"/>
                <w:szCs w:val="18"/>
                <w:color w:val="auto"/>
              </w:rPr>
              <w:t>Vehicle interest, net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5860" w:type="dxa"/>
            <w:vAlign w:val="bottom"/>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0"/>
        </w:trPr>
        <w:tc>
          <w:tcPr>
            <w:tcW w:w="5860" w:type="dxa"/>
            <w:vAlign w:val="bottom"/>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0"/>
        </w:trPr>
        <w:tc>
          <w:tcPr>
            <w:tcW w:w="5860" w:type="dxa"/>
            <w:vAlign w:val="bottom"/>
          </w:tcPr>
          <w:p>
            <w:pPr>
              <w:ind w:left="340"/>
              <w:spacing w:after="0"/>
              <w:rPr>
                <w:sz w:val="20"/>
                <w:szCs w:val="20"/>
                <w:color w:val="auto"/>
              </w:rPr>
            </w:pPr>
            <w:r>
              <w:rPr>
                <w:rFonts w:ascii="Arial" w:cs="Arial" w:eastAsia="Arial" w:hAnsi="Arial"/>
                <w:sz w:val="18"/>
                <w:szCs w:val="18"/>
                <w:color w:val="auto"/>
              </w:rPr>
              <w:t>Early extinguishment of debt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39"/>
        </w:trPr>
        <w:tc>
          <w:tcPr>
            <w:tcW w:w="5860" w:type="dxa"/>
            <w:vAlign w:val="bottom"/>
          </w:tcPr>
          <w:p>
            <w:pPr>
              <w:ind w:left="24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362"/>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39"/>
        </w:trPr>
        <w:tc>
          <w:tcPr>
            <w:tcW w:w="58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372"/>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1"/>
        </w:trPr>
        <w:tc>
          <w:tcPr>
            <w:tcW w:w="58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5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860" w:type="dxa"/>
            <w:vAlign w:val="bottom"/>
          </w:tcPr>
          <w:p>
            <w:pPr>
              <w:spacing w:after="0"/>
              <w:rPr>
                <w:sz w:val="20"/>
                <w:szCs w:val="20"/>
                <w:color w:val="auto"/>
              </w:rPr>
            </w:pPr>
            <w:r>
              <w:rPr>
                <w:rFonts w:ascii="Arial" w:cs="Arial" w:eastAsia="Arial" w:hAnsi="Arial"/>
                <w:sz w:val="14"/>
                <w:szCs w:val="14"/>
                <w:color w:val="auto"/>
              </w:rPr>
              <w:t>n/m  Not meaningful.</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Revenues decreased during the three months ended September 30, 2020 compared to the similar period in 2019, primarily due to a 42% decrease in volume and a 5% decrease in revenue per day excluding exchange rate movements as a result of the impact of COVID-19, partially offset by a $15 million positive impact from currency exchange rate movements. Total expenses decreased during the three months ended September 30, 2020, compared to the similar period in 2019, primarily due to strategic cost reduction initiatives and reduced operational activities as a result of the impact of COVID-19.</w:t>
      </w:r>
    </w:p>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Operating expenses increased to 53.8% of revenue during the three months ended September 30, 2020 compared to 46.9% during the similar period in 2019, primarily due to impacts directly related to COVID-19. Vehicle depreciation and lease charges decreased to 16.7% of revenue during the three months ended September 30, 2020 compared to 20.0% during the similar period in 2019, primarily due to 35% lower per-unit fleet costs per month, excluding exchange rate effects. Selling, general and administrative costs decreased to 10.8% of revenue during the three months ended September 30, 2020 compared to 12.7% during the similar period in 2019, primarily due to strategic cost reduction initiatives to right size the business. Vehicle interest costs increased to 5.1% of revenue during the three months ended September 30, 2020 compared to 3.3% during the similar period in 2019, primarily due to impacts directly related to COVID-19.</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effective tax rates were a provision of 15% and 42% for the three months ended September 30, 2020 and 2019, respectively. As a result of these items, our net income decreased by $144 million compared to the similar period in 2019. For the three months ended September 30, 2020 and 2019, the Company reported income of $0.63 and $2.50 per diluted share, respectively.</w:t>
      </w:r>
    </w:p>
    <w:p>
      <w:pPr>
        <w:spacing w:after="0" w:line="190" w:lineRule="exact"/>
        <w:rPr>
          <w:sz w:val="20"/>
          <w:szCs w:val="20"/>
          <w:color w:val="auto"/>
        </w:rPr>
      </w:pPr>
    </w:p>
    <w:p>
      <w:pPr>
        <w:ind w:right="640"/>
        <w:spacing w:after="0" w:line="292" w:lineRule="auto"/>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income to Adjusted EBITDA:</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44"/>
        </w:trPr>
        <w:tc>
          <w:tcPr>
            <w:tcW w:w="5060" w:type="dxa"/>
            <w:vAlign w:val="bottom"/>
            <w:gridSpan w:val="2"/>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6"/>
        </w:trPr>
        <w:tc>
          <w:tcPr>
            <w:tcW w:w="5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rPr>
              <w:t>Adjusted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4"/>
                <w:szCs w:val="14"/>
                <w:color w:val="auto"/>
              </w:rPr>
            </w:pPr>
          </w:p>
        </w:tc>
        <w:tc>
          <w:tcPr>
            <w:tcW w:w="1220" w:type="dxa"/>
            <w:vAlign w:val="bottom"/>
          </w:tcPr>
          <w:p>
            <w:pPr>
              <w:jc w:val="center"/>
              <w:ind w:right="170"/>
              <w:spacing w:after="0" w:line="169" w:lineRule="exact"/>
              <w:rPr>
                <w:sz w:val="20"/>
                <w:szCs w:val="20"/>
                <w:color w:val="auto"/>
              </w:rPr>
            </w:pPr>
            <w:r>
              <w:rPr>
                <w:rFonts w:ascii="Arial" w:cs="Arial" w:eastAsia="Arial" w:hAnsi="Arial"/>
                <w:sz w:val="18"/>
                <w:szCs w:val="18"/>
                <w:b w:val="1"/>
                <w:bCs w:val="1"/>
                <w:color w:val="auto"/>
                <w:w w:val="98"/>
              </w:rPr>
              <w:t>Adjusted</w:t>
            </w:r>
          </w:p>
        </w:tc>
        <w:tc>
          <w:tcPr>
            <w:tcW w:w="0" w:type="dxa"/>
            <w:vAlign w:val="bottom"/>
          </w:tcPr>
          <w:p>
            <w:pPr>
              <w:spacing w:after="0"/>
              <w:rPr>
                <w:sz w:val="1"/>
                <w:szCs w:val="1"/>
                <w:color w:val="auto"/>
              </w:rPr>
            </w:pPr>
          </w:p>
        </w:tc>
      </w:tr>
      <w:tr>
        <w:trPr>
          <w:trHeight w:val="230"/>
        </w:trPr>
        <w:tc>
          <w:tcPr>
            <w:tcW w:w="5060" w:type="dxa"/>
            <w:vAlign w:val="bottom"/>
            <w:gridSpan w:val="2"/>
            <w:vMerge w:val="restart"/>
          </w:tcPr>
          <w:p>
            <w:pPr>
              <w:ind w:left="20"/>
              <w:spacing w:after="0"/>
              <w:rPr>
                <w:sz w:val="20"/>
                <w:szCs w:val="20"/>
                <w:color w:val="auto"/>
              </w:rPr>
            </w:pPr>
            <w:r>
              <w:rPr>
                <w:rFonts w:ascii="Arial" w:cs="Arial" w:eastAsia="Arial" w:hAnsi="Arial"/>
                <w:sz w:val="18"/>
                <w:szCs w:val="18"/>
                <w:color w:val="auto"/>
              </w:rPr>
              <w:t>Americas</w:t>
            </w:r>
          </w:p>
        </w:tc>
        <w:tc>
          <w:tcPr>
            <w:tcW w:w="2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EBITDA</w:t>
            </w:r>
          </w:p>
        </w:tc>
        <w:tc>
          <w:tcPr>
            <w:tcW w:w="2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rPr>
              <w:t>EBITDA</w:t>
            </w:r>
          </w:p>
        </w:tc>
        <w:tc>
          <w:tcPr>
            <w:tcW w:w="0" w:type="dxa"/>
            <w:vAlign w:val="bottom"/>
          </w:tcPr>
          <w:p>
            <w:pPr>
              <w:spacing w:after="0"/>
              <w:rPr>
                <w:sz w:val="1"/>
                <w:szCs w:val="1"/>
                <w:color w:val="auto"/>
              </w:rPr>
            </w:pPr>
          </w:p>
        </w:tc>
      </w:tr>
      <w:tr>
        <w:trPr>
          <w:trHeight w:val="214"/>
        </w:trPr>
        <w:tc>
          <w:tcPr>
            <w:tcW w:w="5060" w:type="dxa"/>
            <w:vAlign w:val="bottom"/>
            <w:gridSpan w:val="2"/>
            <w:vMerge w:val="continue"/>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1,868</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9"/>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9"/>
                <w:szCs w:val="9"/>
                <w:color w:val="auto"/>
              </w:rPr>
              <w:t>(a)</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5060" w:type="dxa"/>
            <w:vAlign w:val="bottom"/>
            <w:gridSpan w:val="2"/>
          </w:tcPr>
          <w:p>
            <w:pPr>
              <w:ind w:left="300"/>
              <w:spacing w:after="0"/>
              <w:rPr>
                <w:sz w:val="20"/>
                <w:szCs w:val="20"/>
                <w:color w:val="auto"/>
              </w:rPr>
            </w:pPr>
            <w:r>
              <w:rPr>
                <w:rFonts w:ascii="Arial" w:cs="Arial" w:eastAsia="Arial" w:hAnsi="Arial"/>
                <w:sz w:val="18"/>
                <w:szCs w:val="18"/>
                <w:color w:val="auto"/>
              </w:rPr>
              <w:t>Total Company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5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Reconciliation to Adjusted EBITDA</w:t>
            </w:r>
          </w:p>
        </w:tc>
        <w:tc>
          <w:tcPr>
            <w:tcW w:w="0" w:type="dxa"/>
            <w:vAlign w:val="bottom"/>
          </w:tcPr>
          <w:p>
            <w:pPr>
              <w:spacing w:after="0"/>
              <w:rPr>
                <w:sz w:val="1"/>
                <w:szCs w:val="1"/>
                <w:color w:val="auto"/>
              </w:rPr>
            </w:pPr>
          </w:p>
        </w:tc>
      </w:tr>
      <w:tr>
        <w:trPr>
          <w:trHeight w:val="223"/>
        </w:trPr>
        <w:tc>
          <w:tcPr>
            <w:tcW w:w="5060" w:type="dxa"/>
            <w:vAlign w:val="bottom"/>
            <w:gridSpan w:val="2"/>
            <w:vMerge w:val="restart"/>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14"/>
        </w:trPr>
        <w:tc>
          <w:tcPr>
            <w:tcW w:w="5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9"/>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6"/>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369"/>
        </w:trPr>
        <w:tc>
          <w:tcPr>
            <w:tcW w:w="580" w:type="dxa"/>
            <w:vAlign w:val="bottom"/>
          </w:tcPr>
          <w:p>
            <w:pPr>
              <w:ind w:left="20"/>
              <w:spacing w:after="0"/>
              <w:rPr>
                <w:sz w:val="20"/>
                <w:szCs w:val="20"/>
                <w:color w:val="auto"/>
              </w:rPr>
            </w:pPr>
            <w:r>
              <w:rPr>
                <w:rFonts w:ascii="Arial" w:cs="Arial" w:eastAsia="Arial" w:hAnsi="Arial"/>
                <w:sz w:val="18"/>
                <w:szCs w:val="18"/>
                <w:color w:val="auto"/>
              </w:rPr>
              <w:t>Add:</w:t>
            </w:r>
          </w:p>
        </w:tc>
        <w:tc>
          <w:tcPr>
            <w:tcW w:w="4480" w:type="dxa"/>
            <w:vAlign w:val="bottom"/>
          </w:tcPr>
          <w:p>
            <w:pPr>
              <w:ind w:left="180"/>
              <w:spacing w:after="0"/>
              <w:rPr>
                <w:sz w:val="20"/>
                <w:szCs w:val="20"/>
                <w:color w:val="auto"/>
              </w:rPr>
            </w:pPr>
            <w:r>
              <w:rPr>
                <w:rFonts w:ascii="Arial" w:cs="Arial" w:eastAsia="Arial" w:hAnsi="Arial"/>
                <w:sz w:val="18"/>
                <w:szCs w:val="18"/>
                <w:color w:val="auto"/>
              </w:rPr>
              <w:t>Non-vehicle related depreciation and amortization</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Interest expense related to corporate debt, net:</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8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 xml:space="preserve">COVID-19 charges </w:t>
            </w:r>
            <w:r>
              <w:rPr>
                <w:rFonts w:ascii="Arial" w:cs="Arial" w:eastAsia="Arial" w:hAnsi="Arial"/>
                <w:sz w:val="9"/>
                <w:szCs w:val="9"/>
                <w:color w:val="auto"/>
              </w:rPr>
              <w:t>(b)</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ind w:left="320" w:hanging="312"/>
        <w:spacing w:after="0" w:line="208" w:lineRule="auto"/>
        <w:tabs>
          <w:tab w:leader="none" w:pos="320"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340" w:right="20" w:hanging="332"/>
        <w:spacing w:after="0" w:line="226" w:lineRule="auto"/>
        <w:tabs>
          <w:tab w:leader="none" w:pos="346"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For three months ended September 30, 2020, consists of $8 million within operating expenses, $1 million within selling, general and administrative expenses and $1 million within vehicle depreciation and lease charges, net in our consolidated condensed results of operations. Primarily consisting of $18 million of incremental cleaning supplies to sanitize vehicles and facilities, and overflow parking for idle vehicles and related shuttling costs, $11 million of minimum annual guaranteed rent in excess of concession fees and $(19) million associated with vehicles damaged in overflow parking lots, net of insurance proceeds.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22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7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5"/>
          </w:tcPr>
          <w:p>
            <w:pPr>
              <w:jc w:val="center"/>
              <w:ind w:right="360"/>
              <w:spacing w:after="0" w:line="190" w:lineRule="exact"/>
              <w:rPr>
                <w:sz w:val="20"/>
                <w:szCs w:val="20"/>
                <w:color w:val="auto"/>
              </w:rPr>
            </w:pPr>
            <w:r>
              <w:rPr>
                <w:rFonts w:ascii="Arial" w:cs="Arial" w:eastAsia="Arial" w:hAnsi="Arial"/>
                <w:sz w:val="18"/>
                <w:szCs w:val="18"/>
                <w:b w:val="1"/>
                <w:bCs w:val="1"/>
                <w:color w:val="auto"/>
                <w:w w:val="99"/>
              </w:rPr>
              <w:t>Three Months Ended</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September 30,</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2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4"/>
        </w:trPr>
        <w:tc>
          <w:tcPr>
            <w:tcW w:w="7220" w:type="dxa"/>
            <w:vAlign w:val="bottom"/>
            <w:vMerge w:val="continue"/>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1,868</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43"/>
        </w:trPr>
        <w:tc>
          <w:tcPr>
            <w:tcW w:w="72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Revenues decreased 40% during the three months ended September 30, 2020 compared to the similar period in 2019, primarily due to a 39% decrease in volume and 3% lower revenue per day as a result of the impacts of COVID-19.</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Operating expenses increased to 51.0% of revenue during the three months ended September 30, 2020 compared to 46.9% during the similar period in 2019, primarily due to impacts directly related to COVID-19. Vehicle depreciation and lease charges decreased to 14.8% of revenue during the three months ended September 30, 2020 compared to 20.1% during the similar period in 2019, primarily due to 43% lower per-unit fleet costs. Selling, general and administrative costs decreased to 8.3% of revenue during the three months ended September 30, 2020 compared to 11.8% during the similar period in 2019, primarily due to strategic cost reduction initiatives to right size the business. Vehicle interest costs increased to 5.8% of revenue during the three months ended September 30, 2020 compared to 4.0% during the similar period in 2019, primarily due to impacts directly related to COVID-19.</w:t>
      </w:r>
    </w:p>
    <w:p>
      <w:pPr>
        <w:spacing w:after="0" w:line="203"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Adjusted EBITDA was $99 million lower during the three months ended September 30, 2020 compared to the similar period in 2019, primarily due to lower revenues directly related to COVID-19, partially offset by a decrease in per-unit fleet costs.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44"/>
        </w:trPr>
        <w:tc>
          <w:tcPr>
            <w:tcW w:w="724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8"/>
        </w:trPr>
        <w:tc>
          <w:tcPr>
            <w:tcW w:w="724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jc w:val="center"/>
              <w:ind w:right="340"/>
              <w:spacing w:after="0" w:line="190" w:lineRule="exact"/>
              <w:rPr>
                <w:sz w:val="20"/>
                <w:szCs w:val="20"/>
                <w:color w:val="auto"/>
              </w:rPr>
            </w:pPr>
            <w:r>
              <w:rPr>
                <w:rFonts w:ascii="Arial" w:cs="Arial" w:eastAsia="Arial" w:hAnsi="Arial"/>
                <w:sz w:val="18"/>
                <w:szCs w:val="18"/>
                <w:b w:val="1"/>
                <w:bCs w:val="1"/>
                <w:color w:val="auto"/>
                <w:w w:val="99"/>
              </w:rPr>
              <w:t>Three Months Ended</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9"/>
              </w:rPr>
              <w:t>September 30,</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4"/>
        </w:trPr>
        <w:tc>
          <w:tcPr>
            <w:tcW w:w="7240" w:type="dxa"/>
            <w:vAlign w:val="bottom"/>
            <w:vMerge w:val="continue"/>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Revenues decreased 53% during the three months ended September 30, 2020, compared to the similar period in 2019, primarily due to a 47% decrease in volume and a 14% decrease in revenue per day excluding exchange rate movements as a result of the impacts of COVID-19, partially offset by $17 million positive impact from currency exchange rate movements.</w:t>
      </w:r>
    </w:p>
    <w:p>
      <w:pPr>
        <w:spacing w:after="0" w:line="1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Operating expenses increased to 61.5% of revenue during the three months ended September 30, 2020 compared to 46.8% during the similar period in 2019. Vehicle depreciation and lease charges increased to 21.6% of revenue during the three months ended September 30, 2020 compared to 19.8% during the similar period in 2019. Selling, general and administrative costs increased to 15.1% of revenue during the three months ended September 30, 2020 compared to 12.5% during the similar period in 2019. Vehicle interest costs increased to 3.0% of revenue during the three months ended September 30, 2020 compared to 1.8% during the similar period in 2019. During the three months ended September 30, 2020, all expenses increased as a percentage of revenue as a result of the impact of COVID-19, partially offset by strategic cost reduction initiatives to right size the business.</w:t>
      </w:r>
    </w:p>
    <w:p>
      <w:pPr>
        <w:spacing w:after="0" w:line="203" w:lineRule="exact"/>
        <w:rPr>
          <w:sz w:val="20"/>
          <w:szCs w:val="20"/>
          <w:color w:val="auto"/>
        </w:rPr>
      </w:pPr>
    </w:p>
    <w:p>
      <w:pPr>
        <w:ind w:right="560"/>
        <w:spacing w:after="0" w:line="292" w:lineRule="auto"/>
        <w:rPr>
          <w:sz w:val="20"/>
          <w:szCs w:val="20"/>
          <w:color w:val="auto"/>
        </w:rPr>
      </w:pPr>
      <w:r>
        <w:rPr>
          <w:rFonts w:ascii="Arial" w:cs="Arial" w:eastAsia="Arial" w:hAnsi="Arial"/>
          <w:sz w:val="18"/>
          <w:szCs w:val="18"/>
          <w:color w:val="auto"/>
        </w:rPr>
        <w:t>Adjusted EBITDA was $163 million lower in third quarter 2020 compared to the similar period in 2019, primarily due to lower revenues directly related to COVID-19, partially offset by a 16% decrease in per-unit fleet costs excluding exchange rate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44"/>
        </w:trPr>
        <w:tc>
          <w:tcPr>
            <w:tcW w:w="586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8"/>
        </w:trPr>
        <w:tc>
          <w:tcPr>
            <w:tcW w:w="736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Nine Months Ended September 30, 2020 vs. Nine Months Ended September 30, 2019</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6100" w:type="dxa"/>
            <w:vAlign w:val="bottom"/>
            <w:gridSpan w:val="2"/>
          </w:tcPr>
          <w:p>
            <w:pPr>
              <w:spacing w:after="0"/>
              <w:rPr>
                <w:sz w:val="20"/>
                <w:szCs w:val="20"/>
                <w:color w:val="auto"/>
              </w:rPr>
            </w:pPr>
            <w:r>
              <w:rPr>
                <w:rFonts w:ascii="Arial" w:cs="Arial" w:eastAsia="Arial" w:hAnsi="Arial"/>
                <w:sz w:val="18"/>
                <w:szCs w:val="18"/>
                <w:color w:val="auto"/>
              </w:rPr>
              <w:t>Our consolidated condensed results of operations comprised the following:</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5"/>
          </w:tcPr>
          <w:p>
            <w:pPr>
              <w:jc w:val="center"/>
              <w:ind w:right="400"/>
              <w:spacing w:after="0" w:line="199" w:lineRule="exact"/>
              <w:rPr>
                <w:sz w:val="20"/>
                <w:szCs w:val="20"/>
                <w:color w:val="auto"/>
              </w:rPr>
            </w:pPr>
            <w:r>
              <w:rPr>
                <w:rFonts w:ascii="Arial" w:cs="Arial" w:eastAsia="Arial" w:hAnsi="Arial"/>
                <w:sz w:val="18"/>
                <w:szCs w:val="18"/>
                <w:b w:val="1"/>
                <w:bCs w:val="1"/>
                <w:color w:val="auto"/>
                <w:w w:val="99"/>
              </w:rPr>
              <w:t>Nine Months Ended</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September 30,</w:t>
            </w:r>
          </w:p>
        </w:tc>
        <w:tc>
          <w:tcPr>
            <w:tcW w:w="180" w:type="dxa"/>
            <w:vAlign w:val="bottom"/>
          </w:tcPr>
          <w:p>
            <w:pPr>
              <w:spacing w:after="0"/>
              <w:rPr>
                <w:sz w:val="19"/>
                <w:szCs w:val="19"/>
                <w:color w:val="auto"/>
              </w:rPr>
            </w:pPr>
          </w:p>
        </w:tc>
        <w:tc>
          <w:tcPr>
            <w:tcW w:w="11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9"/>
                <w:szCs w:val="19"/>
                <w:color w:val="auto"/>
              </w:rPr>
            </w:pPr>
          </w:p>
        </w:tc>
        <w:tc>
          <w:tcPr>
            <w:tcW w:w="14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5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vMerge w:val="continue"/>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362"/>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9"/>
        </w:trPr>
        <w:tc>
          <w:tcPr>
            <w:tcW w:w="5860" w:type="dxa"/>
            <w:vAlign w:val="bottom"/>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0"/>
        </w:trPr>
        <w:tc>
          <w:tcPr>
            <w:tcW w:w="586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29"/>
        </w:trPr>
        <w:tc>
          <w:tcPr>
            <w:tcW w:w="5860" w:type="dxa"/>
            <w:vAlign w:val="bottom"/>
          </w:tcPr>
          <w:p>
            <w:pPr>
              <w:ind w:left="240"/>
              <w:spacing w:after="0"/>
              <w:rPr>
                <w:sz w:val="20"/>
                <w:szCs w:val="20"/>
                <w:color w:val="auto"/>
              </w:rPr>
            </w:pPr>
            <w:r>
              <w:rPr>
                <w:rFonts w:ascii="Arial" w:cs="Arial" w:eastAsia="Arial" w:hAnsi="Arial"/>
                <w:sz w:val="18"/>
                <w:szCs w:val="18"/>
                <w:color w:val="auto"/>
              </w:rPr>
              <w:t>Vehicle interest,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0"/>
        </w:trPr>
        <w:tc>
          <w:tcPr>
            <w:tcW w:w="5860" w:type="dxa"/>
            <w:vAlign w:val="bottom"/>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5860" w:type="dxa"/>
            <w:vAlign w:val="bottom"/>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0"/>
        </w:trPr>
        <w:tc>
          <w:tcPr>
            <w:tcW w:w="5860" w:type="dxa"/>
            <w:vAlign w:val="bottom"/>
          </w:tcPr>
          <w:p>
            <w:pPr>
              <w:ind w:left="340"/>
              <w:spacing w:after="0"/>
              <w:rPr>
                <w:sz w:val="20"/>
                <w:szCs w:val="20"/>
                <w:color w:val="auto"/>
              </w:rPr>
            </w:pPr>
            <w:r>
              <w:rPr>
                <w:rFonts w:ascii="Arial" w:cs="Arial" w:eastAsia="Arial" w:hAnsi="Arial"/>
                <w:sz w:val="18"/>
                <w:szCs w:val="18"/>
                <w:color w:val="auto"/>
              </w:rPr>
              <w:t>Early extinguishment of debt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5860" w:type="dxa"/>
            <w:vAlign w:val="bottom"/>
          </w:tcPr>
          <w:p>
            <w:pPr>
              <w:ind w:left="240"/>
              <w:spacing w:after="0"/>
              <w:rPr>
                <w:sz w:val="20"/>
                <w:szCs w:val="20"/>
                <w:color w:val="auto"/>
              </w:rPr>
            </w:pPr>
            <w:r>
              <w:rPr>
                <w:rFonts w:ascii="Arial" w:cs="Arial" w:eastAsia="Arial" w:hAnsi="Arial"/>
                <w:sz w:val="18"/>
                <w:szCs w:val="18"/>
                <w:color w:val="auto"/>
              </w:rPr>
              <w:t>Restructuring and other related charges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39"/>
        </w:trPr>
        <w:tc>
          <w:tcPr>
            <w:tcW w:w="5860" w:type="dxa"/>
            <w:vAlign w:val="bottom"/>
          </w:tcPr>
          <w:p>
            <w:pPr>
              <w:ind w:left="240"/>
              <w:spacing w:after="0"/>
              <w:rPr>
                <w:sz w:val="20"/>
                <w:szCs w:val="20"/>
                <w:color w:val="auto"/>
              </w:rPr>
            </w:pPr>
            <w:r>
              <w:rPr>
                <w:rFonts w:ascii="Arial" w:cs="Arial" w:eastAsia="Arial" w:hAnsi="Arial"/>
                <w:sz w:val="18"/>
                <w:szCs w:val="18"/>
                <w:color w:val="auto"/>
              </w:rPr>
              <w:t>Transaction-related costs, net</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6,737</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362"/>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9"/>
        </w:trPr>
        <w:tc>
          <w:tcPr>
            <w:tcW w:w="586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372"/>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5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860" w:type="dxa"/>
            <w:vAlign w:val="bottom"/>
          </w:tcPr>
          <w:p>
            <w:pPr>
              <w:spacing w:after="0"/>
              <w:rPr>
                <w:sz w:val="20"/>
                <w:szCs w:val="20"/>
                <w:color w:val="auto"/>
              </w:rPr>
            </w:pPr>
            <w:r>
              <w:rPr>
                <w:rFonts w:ascii="Arial" w:cs="Arial" w:eastAsia="Arial" w:hAnsi="Arial"/>
                <w:sz w:val="18"/>
                <w:szCs w:val="18"/>
                <w:color w:val="auto"/>
              </w:rPr>
              <w:t>n/m  Not meaningful.</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Revenues decreased during the nine months ended September 30, 2020 compared to the similar period in 2019, primarily as a result of a 38% decrease in volume and a 7% decrease in revenue per day excluding exchange rate movements as a result of the impact of COVID-19, and a $13 million negative impact from currency exchange rate movements. Total expenses decreased during the nine months ended September 30, 2020 compared to the similar period in 2019, primarily due to strategic cost reduction initiatives and reduced operational activities as a result of the impact of COVID-19.</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Operating expenses increased to 61.9% of revenue during the nine months ended September 30, 2020 compared to 50.4% during the similar period in 2019. Vehicle depreciation and lease charges increased to 26.9% of revenue during the nine months ended September 30, 2020 compared to 22.5% during the similar period in 2019. Selling, general and administrative costs increased to 13.6% of revenue during the nine months ended September 30, 2020 compared to 13.5% during the similar period in 2019. Vehicle interest costs increased to 6.1% of revenue during the nine months ended September 30, 2020 compared to 3.7% during the similar period in 2019. During the nine months ended September 30, 2020, all expenses increased as a percentage of revenue as a result of the impact of COVID-19, partially offset by strategic cost reduction initiatives to right size the business.</w:t>
      </w:r>
    </w:p>
    <w:p>
      <w:pPr>
        <w:spacing w:after="0" w:line="203" w:lineRule="exact"/>
        <w:rPr>
          <w:sz w:val="20"/>
          <w:szCs w:val="20"/>
          <w:color w:val="auto"/>
        </w:rPr>
      </w:pPr>
    </w:p>
    <w:p>
      <w:pPr>
        <w:jc w:val="both"/>
        <w:ind w:right="180"/>
        <w:spacing w:after="0" w:line="271" w:lineRule="auto"/>
        <w:rPr>
          <w:sz w:val="20"/>
          <w:szCs w:val="20"/>
          <w:color w:val="auto"/>
        </w:rPr>
      </w:pPr>
      <w:r>
        <w:rPr>
          <w:rFonts w:ascii="Arial" w:cs="Arial" w:eastAsia="Arial" w:hAnsi="Arial"/>
          <w:sz w:val="18"/>
          <w:szCs w:val="18"/>
          <w:color w:val="auto"/>
        </w:rPr>
        <w:t>Our effective tax rates were a benefit of 28% and provision of 41% for the nine months ended September 30, 2020 and 2019, respectively. As a result of these items, our net loss increased by $754 million. For the nine months ended September 30, 2020 and 2019, the Company reported a loss of $8.40 and earnings of $2.10 per diluted share,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income (loss) to Adjusted EBITDA: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b w:val="1"/>
                <w:bCs w:val="1"/>
                <w:color w:val="auto"/>
              </w:rPr>
              <w:t>Nine Months Ended September 30,</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4"/>
                <w:szCs w:val="14"/>
                <w:color w:val="auto"/>
              </w:rPr>
            </w:pPr>
          </w:p>
        </w:tc>
        <w:tc>
          <w:tcPr>
            <w:tcW w:w="122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rPr>
              <w:t>Adjusted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4"/>
                <w:szCs w:val="14"/>
                <w:color w:val="auto"/>
              </w:rPr>
            </w:pPr>
          </w:p>
        </w:tc>
        <w:tc>
          <w:tcPr>
            <w:tcW w:w="1220" w:type="dxa"/>
            <w:vAlign w:val="bottom"/>
          </w:tcPr>
          <w:p>
            <w:pPr>
              <w:jc w:val="center"/>
              <w:ind w:right="170"/>
              <w:spacing w:after="0" w:line="169" w:lineRule="exact"/>
              <w:rPr>
                <w:sz w:val="20"/>
                <w:szCs w:val="20"/>
                <w:color w:val="auto"/>
              </w:rPr>
            </w:pPr>
            <w:r>
              <w:rPr>
                <w:rFonts w:ascii="Arial" w:cs="Arial" w:eastAsia="Arial" w:hAnsi="Arial"/>
                <w:sz w:val="18"/>
                <w:szCs w:val="18"/>
                <w:b w:val="1"/>
                <w:bCs w:val="1"/>
                <w:color w:val="auto"/>
                <w:w w:val="98"/>
              </w:rPr>
              <w:t>Adjusted</w:t>
            </w:r>
          </w:p>
        </w:tc>
        <w:tc>
          <w:tcPr>
            <w:tcW w:w="0" w:type="dxa"/>
            <w:vAlign w:val="bottom"/>
          </w:tcPr>
          <w:p>
            <w:pPr>
              <w:spacing w:after="0"/>
              <w:rPr>
                <w:sz w:val="1"/>
                <w:szCs w:val="1"/>
                <w:color w:val="auto"/>
              </w:rPr>
            </w:pPr>
          </w:p>
        </w:tc>
      </w:tr>
      <w:tr>
        <w:trPr>
          <w:trHeight w:val="229"/>
        </w:trPr>
        <w:tc>
          <w:tcPr>
            <w:tcW w:w="5060" w:type="dxa"/>
            <w:vAlign w:val="bottom"/>
            <w:gridSpan w:val="2"/>
            <w:vMerge w:val="restart"/>
          </w:tcPr>
          <w:p>
            <w:pPr>
              <w:ind w:left="20"/>
              <w:spacing w:after="0"/>
              <w:rPr>
                <w:sz w:val="20"/>
                <w:szCs w:val="20"/>
                <w:color w:val="auto"/>
              </w:rPr>
            </w:pPr>
            <w:r>
              <w:rPr>
                <w:rFonts w:ascii="Arial" w:cs="Arial" w:eastAsia="Arial" w:hAnsi="Arial"/>
                <w:sz w:val="18"/>
                <w:szCs w:val="18"/>
                <w:color w:val="auto"/>
              </w:rPr>
              <w:t>Americas</w:t>
            </w:r>
          </w:p>
        </w:tc>
        <w:tc>
          <w:tcPr>
            <w:tcW w:w="20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EBITDA</w:t>
            </w:r>
          </w:p>
        </w:tc>
        <w:tc>
          <w:tcPr>
            <w:tcW w:w="2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rPr>
              <w:t>EBITDA</w:t>
            </w:r>
          </w:p>
        </w:tc>
        <w:tc>
          <w:tcPr>
            <w:tcW w:w="0" w:type="dxa"/>
            <w:vAlign w:val="bottom"/>
          </w:tcPr>
          <w:p>
            <w:pPr>
              <w:spacing w:after="0"/>
              <w:rPr>
                <w:sz w:val="1"/>
                <w:szCs w:val="1"/>
                <w:color w:val="auto"/>
              </w:rPr>
            </w:pPr>
          </w:p>
        </w:tc>
      </w:tr>
      <w:tr>
        <w:trPr>
          <w:trHeight w:val="214"/>
        </w:trPr>
        <w:tc>
          <w:tcPr>
            <w:tcW w:w="5060" w:type="dxa"/>
            <w:vAlign w:val="bottom"/>
            <w:gridSpan w:val="2"/>
            <w:vMerge w:val="continue"/>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2,936</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4,822</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27"/>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41"/>
        </w:trPr>
        <w:tc>
          <w:tcPr>
            <w:tcW w:w="5060" w:type="dxa"/>
            <w:vAlign w:val="bottom"/>
            <w:gridSpan w:val="2"/>
          </w:tcPr>
          <w:p>
            <w:pPr>
              <w:ind w:left="20"/>
              <w:spacing w:after="0" w:line="241"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3"/>
                <w:szCs w:val="23"/>
                <w:color w:val="auto"/>
                <w:vertAlign w:val="superscript"/>
              </w:rPr>
              <w:t>(a)</w:t>
            </w:r>
          </w:p>
        </w:tc>
        <w:tc>
          <w:tcPr>
            <w:tcW w:w="20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5060" w:type="dxa"/>
            <w:vAlign w:val="bottom"/>
            <w:gridSpan w:val="2"/>
          </w:tcPr>
          <w:p>
            <w:pPr>
              <w:ind w:left="300"/>
              <w:spacing w:after="0"/>
              <w:rPr>
                <w:sz w:val="20"/>
                <w:szCs w:val="20"/>
                <w:color w:val="auto"/>
              </w:rPr>
            </w:pPr>
            <w:r>
              <w:rPr>
                <w:rFonts w:ascii="Arial" w:cs="Arial" w:eastAsia="Arial" w:hAnsi="Arial"/>
                <w:sz w:val="18"/>
                <w:szCs w:val="18"/>
                <w:color w:val="auto"/>
              </w:rPr>
              <w:t>Total Company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5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Reconciliation to Adjusted EBITDA</w:t>
            </w:r>
          </w:p>
        </w:tc>
        <w:tc>
          <w:tcPr>
            <w:tcW w:w="0" w:type="dxa"/>
            <w:vAlign w:val="bottom"/>
          </w:tcPr>
          <w:p>
            <w:pPr>
              <w:spacing w:after="0"/>
              <w:rPr>
                <w:sz w:val="1"/>
                <w:szCs w:val="1"/>
                <w:color w:val="auto"/>
              </w:rPr>
            </w:pPr>
          </w:p>
        </w:tc>
      </w:tr>
      <w:tr>
        <w:trPr>
          <w:trHeight w:val="223"/>
        </w:trPr>
        <w:tc>
          <w:tcPr>
            <w:tcW w:w="5060" w:type="dxa"/>
            <w:vAlign w:val="bottom"/>
            <w:gridSpan w:val="2"/>
            <w:vMerge w:val="restart"/>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14"/>
        </w:trPr>
        <w:tc>
          <w:tcPr>
            <w:tcW w:w="5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9"/>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6"/>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369"/>
        </w:trPr>
        <w:tc>
          <w:tcPr>
            <w:tcW w:w="580" w:type="dxa"/>
            <w:vAlign w:val="bottom"/>
          </w:tcPr>
          <w:p>
            <w:pPr>
              <w:ind w:left="20"/>
              <w:spacing w:after="0"/>
              <w:rPr>
                <w:sz w:val="20"/>
                <w:szCs w:val="20"/>
                <w:color w:val="auto"/>
              </w:rPr>
            </w:pPr>
            <w:r>
              <w:rPr>
                <w:rFonts w:ascii="Arial" w:cs="Arial" w:eastAsia="Arial" w:hAnsi="Arial"/>
                <w:sz w:val="18"/>
                <w:szCs w:val="18"/>
                <w:color w:val="auto"/>
              </w:rPr>
              <w:t>Add:</w:t>
            </w:r>
          </w:p>
        </w:tc>
        <w:tc>
          <w:tcPr>
            <w:tcW w:w="4480" w:type="dxa"/>
            <w:vAlign w:val="bottom"/>
          </w:tcPr>
          <w:p>
            <w:pPr>
              <w:ind w:left="180"/>
              <w:spacing w:after="0"/>
              <w:rPr>
                <w:sz w:val="20"/>
                <w:szCs w:val="20"/>
                <w:color w:val="auto"/>
              </w:rPr>
            </w:pPr>
            <w:r>
              <w:rPr>
                <w:rFonts w:ascii="Arial" w:cs="Arial" w:eastAsia="Arial" w:hAnsi="Arial"/>
                <w:sz w:val="18"/>
                <w:szCs w:val="18"/>
                <w:color w:val="auto"/>
              </w:rPr>
              <w:t>Non-vehicle related depreciation and amortization</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Interest expense related to corporate debt, net:</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8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448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4480" w:type="dxa"/>
            <w:vAlign w:val="bottom"/>
          </w:tcPr>
          <w:p>
            <w:pPr>
              <w:ind w:left="180"/>
              <w:spacing w:after="0" w:line="232" w:lineRule="exact"/>
              <w:rPr>
                <w:sz w:val="20"/>
                <w:szCs w:val="20"/>
                <w:color w:val="auto"/>
              </w:rPr>
            </w:pPr>
            <w:r>
              <w:rPr>
                <w:rFonts w:ascii="Arial" w:cs="Arial" w:eastAsia="Arial" w:hAnsi="Arial"/>
                <w:sz w:val="18"/>
                <w:szCs w:val="18"/>
                <w:color w:val="auto"/>
              </w:rPr>
              <w:t xml:space="preserve">COVID-19 charges </w:t>
            </w:r>
            <w:r>
              <w:rPr>
                <w:rFonts w:ascii="Arial" w:cs="Arial" w:eastAsia="Arial" w:hAnsi="Arial"/>
                <w:sz w:val="23"/>
                <w:szCs w:val="23"/>
                <w:color w:val="auto"/>
                <w:vertAlign w:val="superscript"/>
              </w:rPr>
              <w:t>(b)</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040" w:type="dxa"/>
            <w:vAlign w:val="bottom"/>
            <w:gridSpan w:val="4"/>
          </w:tcPr>
          <w:p>
            <w:pPr>
              <w:ind w:left="180"/>
              <w:spacing w:after="0" w:line="230" w:lineRule="exact"/>
              <w:rPr>
                <w:sz w:val="20"/>
                <w:szCs w:val="20"/>
                <w:color w:val="auto"/>
              </w:rPr>
            </w:pPr>
            <w:r>
              <w:rPr>
                <w:rFonts w:ascii="Arial" w:cs="Arial" w:eastAsia="Arial" w:hAnsi="Arial"/>
                <w:sz w:val="18"/>
                <w:szCs w:val="18"/>
                <w:color w:val="auto"/>
              </w:rPr>
              <w:t xml:space="preserve">Non-operational charges related to shareholder activist activity </w:t>
            </w:r>
            <w:r>
              <w:rPr>
                <w:rFonts w:ascii="Arial" w:cs="Arial" w:eastAsia="Arial" w:hAnsi="Arial"/>
                <w:sz w:val="23"/>
                <w:szCs w:val="23"/>
                <w:color w:val="auto"/>
                <w:vertAlign w:val="superscript"/>
              </w:rPr>
              <w:t>(c)</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23"/>
                <w:szCs w:val="23"/>
                <w:color w:val="auto"/>
                <w:vertAlign w:val="superscript"/>
              </w:rPr>
              <w:t>(d)</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4480" w:type="dxa"/>
            <w:vAlign w:val="bottom"/>
          </w:tcPr>
          <w:p>
            <w:pPr>
              <w:ind w:left="180"/>
              <w:spacing w:after="0" w:line="241" w:lineRule="exact"/>
              <w:rPr>
                <w:sz w:val="20"/>
                <w:szCs w:val="20"/>
                <w:color w:val="auto"/>
              </w:rPr>
            </w:pPr>
            <w:r>
              <w:rPr>
                <w:rFonts w:ascii="Arial" w:cs="Arial" w:eastAsia="Arial" w:hAnsi="Arial"/>
                <w:sz w:val="18"/>
                <w:szCs w:val="18"/>
                <w:color w:val="auto"/>
              </w:rPr>
              <w:t xml:space="preserve">Gain on sale of equity method investment in China </w:t>
            </w:r>
            <w:r>
              <w:rPr>
                <w:rFonts w:ascii="Arial" w:cs="Arial" w:eastAsia="Arial" w:hAnsi="Arial"/>
                <w:sz w:val="23"/>
                <w:szCs w:val="23"/>
                <w:color w:val="auto"/>
                <w:vertAlign w:val="superscript"/>
              </w:rPr>
              <w:t>(e)</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_________</w:t>
            </w: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50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20" w:hanging="312"/>
        <w:spacing w:after="0" w:line="187" w:lineRule="auto"/>
        <w:tabs>
          <w:tab w:leader="none" w:pos="320" w:val="left"/>
        </w:tabs>
        <w:numPr>
          <w:ilvl w:val="0"/>
          <w:numId w:val="47"/>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340" w:right="200" w:hanging="332"/>
        <w:spacing w:after="0" w:line="221" w:lineRule="auto"/>
        <w:tabs>
          <w:tab w:leader="none" w:pos="346" w:val="left"/>
        </w:tabs>
        <w:numPr>
          <w:ilvl w:val="0"/>
          <w:numId w:val="47"/>
        </w:numPr>
        <w:rPr>
          <w:rFonts w:ascii="Arial" w:cs="Arial" w:eastAsia="Arial" w:hAnsi="Arial"/>
          <w:sz w:val="19"/>
          <w:szCs w:val="19"/>
          <w:color w:val="auto"/>
          <w:vertAlign w:val="superscript"/>
        </w:rPr>
      </w:pPr>
      <w:r>
        <w:rPr>
          <w:rFonts w:ascii="Arial" w:cs="Arial" w:eastAsia="Arial" w:hAnsi="Arial"/>
          <w:sz w:val="14"/>
          <w:szCs w:val="14"/>
          <w:color w:val="auto"/>
        </w:rPr>
        <w:t>For the nine months ended September 30, 2020, consists of $87 million within operating expenses, $2 million within selling, general and administrative expenses and $1 million within vehicle depreciation and lease charges, net in our consolidated condensed results of operations. Primarily consisting of $41 million of minimum annual guaranteed rent in excess of concession fees, $35 million of incremental cleaning supplies to sanitize vehicles and facilities, and overflow parking for idle vehicles and related shuttling costs and $14 million of losses associated with vehicles damaged in overflow parking lots, net of insurance proceeds.</w:t>
      </w:r>
    </w:p>
    <w:p>
      <w:pPr>
        <w:spacing w:after="0" w:line="2" w:lineRule="exact"/>
        <w:rPr>
          <w:rFonts w:ascii="Arial" w:cs="Arial" w:eastAsia="Arial" w:hAnsi="Arial"/>
          <w:sz w:val="19"/>
          <w:szCs w:val="19"/>
          <w:color w:val="auto"/>
          <w:vertAlign w:val="superscript"/>
        </w:rPr>
      </w:pPr>
    </w:p>
    <w:p>
      <w:pPr>
        <w:ind w:left="320" w:hanging="312"/>
        <w:spacing w:after="0" w:line="187" w:lineRule="auto"/>
        <w:tabs>
          <w:tab w:leader="none" w:pos="32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Reported within selling, general and administrative in our consolidated condensed results of operations.</w:t>
      </w:r>
    </w:p>
    <w:p>
      <w:pPr>
        <w:ind w:left="320" w:hanging="312"/>
        <w:spacing w:after="0" w:line="187" w:lineRule="auto"/>
        <w:tabs>
          <w:tab w:leader="none" w:pos="32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Primarily comprised of acquisition- and integration-related expenses.</w:t>
      </w:r>
    </w:p>
    <w:p>
      <w:pPr>
        <w:ind w:left="320" w:hanging="312"/>
        <w:spacing w:after="0" w:line="193" w:lineRule="auto"/>
        <w:tabs>
          <w:tab w:leader="none" w:pos="320" w:val="left"/>
        </w:tabs>
        <w:numPr>
          <w:ilvl w:val="0"/>
          <w:numId w:val="47"/>
        </w:numPr>
        <w:rPr>
          <w:rFonts w:ascii="Arial" w:cs="Arial" w:eastAsia="Arial" w:hAnsi="Arial"/>
          <w:sz w:val="19"/>
          <w:szCs w:val="19"/>
          <w:color w:val="auto"/>
          <w:vertAlign w:val="superscript"/>
        </w:rPr>
      </w:pPr>
      <w:r>
        <w:rPr>
          <w:rFonts w:ascii="Arial" w:cs="Arial" w:eastAsia="Arial" w:hAnsi="Arial"/>
          <w:sz w:val="14"/>
          <w:szCs w:val="14"/>
          <w:color w:val="auto"/>
        </w:rPr>
        <w:t>Reported within operating expenses in our consolidated condensed results of operations (see Note 1 to our Consolidated Condensed Financial Statements).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22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7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jc w:val="center"/>
              <w:ind w:right="420"/>
              <w:spacing w:after="0" w:line="190" w:lineRule="exact"/>
              <w:rPr>
                <w:sz w:val="20"/>
                <w:szCs w:val="20"/>
                <w:color w:val="auto"/>
              </w:rPr>
            </w:pPr>
            <w:r>
              <w:rPr>
                <w:rFonts w:ascii="Arial" w:cs="Arial" w:eastAsia="Arial" w:hAnsi="Arial"/>
                <w:sz w:val="18"/>
                <w:szCs w:val="18"/>
                <w:b w:val="1"/>
                <w:bCs w:val="1"/>
                <w:color w:val="auto"/>
                <w:w w:val="99"/>
              </w:rPr>
              <w:t>Nine Months Ended</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September 30,</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2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4"/>
        </w:trPr>
        <w:tc>
          <w:tcPr>
            <w:tcW w:w="7220" w:type="dxa"/>
            <w:vAlign w:val="bottom"/>
            <w:vMerge w:val="continue"/>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2,936</w:t>
            </w:r>
          </w:p>
        </w:tc>
        <w:tc>
          <w:tcPr>
            <w:tcW w:w="10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4,822</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43"/>
        </w:trPr>
        <w:tc>
          <w:tcPr>
            <w:tcW w:w="72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Revenues decreased 39% during the nine months ended September 30, 2020 compared to the similar period in 2019, primarily due to a 36% decrease in volume and 5% decrease in revenue per day as a result of the impact of COVID-19.</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Operating expenses increased to 59.5% of revenue during the nine months ended September 30, 2020 compared to 49.6% during the similar period in 2019, primarily due to impacts directly related to COVID-19, partially offset by strategic cost reduction initiatives to right size the business. Vehicle depreciation and lease charges increased to 26.1% of revenue during the nine months ended September 30, 2020 compared to 23.3% during the similar period in 2019, primarily due to impacts directly related to COVID-19, partially offset by 23% lower per-unit fleet costs. Selling, general and administrative costs decreased to 11.1% of revenue during the nine months ended September 30, 2020 compared to 12.1% during the similar period in 2019, primarily due to strategic cost reduction initiatives to right size the business. Vehicle interest costs increased to 7.1% of revenue during the nine months ended September 30, 2020 compared to 4.5% during the similar period in 2019, primarily due to impacts directly related to COVID-19, partially offset by strategic cost reduction initiatives to right size the business.</w:t>
      </w:r>
    </w:p>
    <w:p>
      <w:pPr>
        <w:spacing w:after="0" w:line="205"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Adjusted EBITDA was $549 million lower during the nine months ended September 30, 2020 compared to the similar period in 2019, due to lower revenues directly related to COVID-19.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22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7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jc w:val="center"/>
              <w:ind w:right="420"/>
              <w:spacing w:after="0" w:line="190" w:lineRule="exact"/>
              <w:rPr>
                <w:sz w:val="20"/>
                <w:szCs w:val="20"/>
                <w:color w:val="auto"/>
              </w:rPr>
            </w:pPr>
            <w:r>
              <w:rPr>
                <w:rFonts w:ascii="Arial" w:cs="Arial" w:eastAsia="Arial" w:hAnsi="Arial"/>
                <w:sz w:val="18"/>
                <w:szCs w:val="18"/>
                <w:b w:val="1"/>
                <w:bCs w:val="1"/>
                <w:color w:val="auto"/>
                <w:w w:val="99"/>
              </w:rPr>
              <w:t>Nine Months Ended</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September 30,</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2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4"/>
        </w:trPr>
        <w:tc>
          <w:tcPr>
            <w:tcW w:w="7220" w:type="dxa"/>
            <w:vAlign w:val="bottom"/>
            <w:vMerge w:val="continue"/>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2,188</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43"/>
        </w:trPr>
        <w:tc>
          <w:tcPr>
            <w:tcW w:w="72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Revenues decreased 49% during the nine months ended September 30, 2020 compared to the similar period in 2019, primarily due to a 41% decrease in volume and a 13% decrease in revenue per day excluding exchange rate movements as a result of the impact of COVID-19, and an $11 million negative impact from currency exchange rate movements.</w:t>
      </w:r>
    </w:p>
    <w:p>
      <w:pPr>
        <w:spacing w:after="0" w:line="1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Operating expenses increased to 68.2% of revenue during the nine months ended September 30, 2020 compared to 52.1% during the similar period in 2019. Vehicle depreciation and lease charges increased to 29.0% of revenue during the nine months ended September 30, 2020 compared to 20.9% during the similar period in 2019. Selling, general and administrative costs increased to 16.6% of revenue during the nine months ended September 30, 2020 compared to 14.5% during the similar period in 2019. Vehicle interest costs increased to 3.5% of revenue during the nine months ended September 30, 2020 compared to 2.1% during the similar period in 2019. During the nine months ended September 30, 2020, all expenses increased as a percentage of revenue as a result of the impact of COVID-19, partially offset by strategic cost reduction initiatives to right size the business.</w:t>
      </w:r>
    </w:p>
    <w:p>
      <w:pPr>
        <w:spacing w:after="0" w:line="203" w:lineRule="exact"/>
        <w:rPr>
          <w:sz w:val="20"/>
          <w:szCs w:val="20"/>
          <w:color w:val="auto"/>
        </w:rPr>
      </w:pPr>
    </w:p>
    <w:p>
      <w:pPr>
        <w:ind w:right="700"/>
        <w:spacing w:after="0" w:line="292" w:lineRule="auto"/>
        <w:rPr>
          <w:sz w:val="20"/>
          <w:szCs w:val="20"/>
          <w:color w:val="auto"/>
        </w:rPr>
      </w:pPr>
      <w:r>
        <w:rPr>
          <w:rFonts w:ascii="Arial" w:cs="Arial" w:eastAsia="Arial" w:hAnsi="Arial"/>
          <w:sz w:val="18"/>
          <w:szCs w:val="18"/>
          <w:color w:val="auto"/>
        </w:rPr>
        <w:t>Adjusted EBITDA was $361 million lower during the nine months ended September 30, 2020 compared to the similar period in 2019, primarily due to lower revenues directly related to COVID-19.</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7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w:t>
      </w:r>
    </w:p>
    <w:p>
      <w:pPr>
        <w:spacing w:after="0" w:line="3"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We believe it is appropriate to segregate the financial data of our vehicle programs because, ultimately, the source of repayment of such debt is the realization of such assets.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60" w:type="dxa"/>
            <w:vAlign w:val="bottom"/>
          </w:tcPr>
          <w:p>
            <w:pPr>
              <w:spacing w:after="0"/>
              <w:rPr>
                <w:sz w:val="20"/>
                <w:szCs w:val="20"/>
                <w:color w:val="auto"/>
              </w:rPr>
            </w:pPr>
            <w:r>
              <w:rPr>
                <w:rFonts w:ascii="Arial" w:cs="Arial" w:eastAsia="Arial" w:hAnsi="Arial"/>
                <w:sz w:val="18"/>
                <w:szCs w:val="18"/>
                <w:b w:val="1"/>
                <w:bCs w:val="1"/>
                <w:color w:val="auto"/>
              </w:rPr>
              <w:t>FINANCIAL CONDITION</w:t>
            </w: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60"/>
              <w:spacing w:after="0" w:line="190" w:lineRule="exact"/>
              <w:rPr>
                <w:sz w:val="20"/>
                <w:szCs w:val="20"/>
                <w:color w:val="auto"/>
              </w:rPr>
            </w:pPr>
            <w:r>
              <w:rPr>
                <w:rFonts w:ascii="Arial" w:cs="Arial" w:eastAsia="Arial" w:hAnsi="Arial"/>
                <w:sz w:val="18"/>
                <w:szCs w:val="18"/>
                <w:b w:val="1"/>
                <w:bCs w:val="1"/>
                <w:color w:val="auto"/>
              </w:rPr>
              <w:t>September 30,</w:t>
            </w:r>
          </w:p>
        </w:tc>
        <w:tc>
          <w:tcPr>
            <w:tcW w:w="17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December 31, 2019</w:t>
            </w:r>
          </w:p>
        </w:tc>
        <w:tc>
          <w:tcPr>
            <w:tcW w:w="300" w:type="dxa"/>
            <w:vAlign w:val="bottom"/>
          </w:tcPr>
          <w:p>
            <w:pPr>
              <w:spacing w:after="0"/>
              <w:rPr>
                <w:sz w:val="16"/>
                <w:szCs w:val="16"/>
                <w:color w:val="auto"/>
              </w:rPr>
            </w:pPr>
          </w:p>
        </w:tc>
        <w:tc>
          <w:tcPr>
            <w:tcW w:w="13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30"/>
        </w:trPr>
        <w:tc>
          <w:tcPr>
            <w:tcW w:w="5160" w:type="dxa"/>
            <w:vAlign w:val="bottom"/>
            <w:vMerge w:val="restart"/>
          </w:tcPr>
          <w:p>
            <w:pPr>
              <w:ind w:left="20"/>
              <w:spacing w:after="0"/>
              <w:rPr>
                <w:sz w:val="20"/>
                <w:szCs w:val="20"/>
                <w:color w:val="auto"/>
              </w:rPr>
            </w:pPr>
            <w:r>
              <w:rPr>
                <w:rFonts w:ascii="Arial" w:cs="Arial" w:eastAsia="Arial" w:hAnsi="Arial"/>
                <w:sz w:val="18"/>
                <w:szCs w:val="18"/>
                <w:color w:val="auto"/>
              </w:rPr>
              <w:t>Total assets exclusive of assets under vehicle programs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78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1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9,553</w:t>
            </w: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9,311</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9,241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Assets under vehicle programs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10,043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Liabilities under vehicle programs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10,431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918"/>
        </w:trPr>
        <w:tc>
          <w:tcPr>
            <w:tcW w:w="5160" w:type="dxa"/>
            <w:vAlign w:val="bottom"/>
          </w:tcPr>
          <w:p>
            <w:pPr>
              <w:spacing w:after="0"/>
              <w:rPr>
                <w:sz w:val="24"/>
                <w:szCs w:val="24"/>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1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decreases in assets under vehicle programs and liabilities under vehicle programs are principally related to the reduction of our vehicle rental fleet to right size our business in response to the COVID-19 pandemic. The decrease in stockholders’ equity is primarily due to our comprehensive loss and share repurchases.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4" w:lineRule="exact"/>
        <w:rPr>
          <w:sz w:val="20"/>
          <w:szCs w:val="20"/>
          <w:color w:val="auto"/>
        </w:rPr>
      </w:pPr>
    </w:p>
    <w:p>
      <w:pPr>
        <w:ind w:right="380"/>
        <w:spacing w:after="0" w:line="292"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January 2020, our Avis Budget Rental Car Funding subsidiary issued approximately $700 million in asset-backed notes with an expected final payment date of August 2025, and a weighted average interest rate of 2.42%. The proceeds from these borrowings were used to fund the repayment of maturing vehicle-backed debt and the acquisition of rental cars in the United States. In May 2020, we issued $500 million of 10½% Senior Secured Notes due May 2025, at 97% of face value. We used the proceeds from this offering for general corporate purposes. In August 2020, we issued $350 million of additional 5¾% Senior Notes due July 2027, at 92% of face value. We used the proceeds from this offering to redeem the outstanding $100 million in aggregate principal amount of our 5½% Senior Notes due 2023, with the remainder being used for general corporate purposes. In August 2020, our Avis Budget Rental Car Funding subsidiary issued approximately $650 million in asset-backed notes with an expected final payment date of February 2026, and a weighted average rate of 2.28%. We have no meaningful corporate debt maturities until 2023.</w:t>
      </w:r>
    </w:p>
    <w:p>
      <w:pPr>
        <w:spacing w:after="0" w:line="208"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During the first quarter of 2020, we repurchased approximately 5.0 million shares of our outstanding common stock for approximately $113 million at an average price of $22.49.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0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1"/>
        </w:trPr>
        <w:tc>
          <w:tcPr>
            <w:tcW w:w="6700" w:type="dxa"/>
            <w:vAlign w:val="bottom"/>
          </w:tcPr>
          <w:p>
            <w:pPr>
              <w:spacing w:after="0"/>
              <w:rPr>
                <w:sz w:val="20"/>
                <w:szCs w:val="20"/>
                <w:color w:val="auto"/>
              </w:rPr>
            </w:pPr>
            <w:r>
              <w:rPr>
                <w:rFonts w:ascii="Arial" w:cs="Arial" w:eastAsia="Arial" w:hAnsi="Arial"/>
                <w:sz w:val="18"/>
                <w:szCs w:val="18"/>
                <w:color w:val="auto"/>
              </w:rPr>
              <w:t>The following table summarizes our cash flows: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7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160" w:type="dxa"/>
            <w:vAlign w:val="bottom"/>
            <w:tcBorders>
              <w:bottom w:val="single" w:sz="8" w:color="auto"/>
            </w:tcBorders>
            <w:gridSpan w:val="7"/>
          </w:tcPr>
          <w:p>
            <w:pPr>
              <w:jc w:val="right"/>
              <w:ind w:right="67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6700" w:type="dxa"/>
            <w:vAlign w:val="bottom"/>
            <w:vMerge w:val="restart"/>
          </w:tcPr>
          <w:p>
            <w:pPr>
              <w:ind w:left="20"/>
              <w:spacing w:after="0"/>
              <w:rPr>
                <w:sz w:val="20"/>
                <w:szCs w:val="20"/>
                <w:color w:val="auto"/>
              </w:rPr>
            </w:pPr>
            <w:r>
              <w:rPr>
                <w:rFonts w:ascii="Arial" w:cs="Arial" w:eastAsia="Arial" w:hAnsi="Arial"/>
                <w:sz w:val="18"/>
                <w:szCs w:val="18"/>
                <w:color w:val="auto"/>
              </w:rPr>
              <w:t>Cash provided by (used in):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0"/>
        </w:trPr>
        <w:tc>
          <w:tcPr>
            <w:tcW w:w="67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1,931</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30"/>
        </w:trPr>
        <w:tc>
          <w:tcPr>
            <w:tcW w:w="6700" w:type="dxa"/>
            <w:vAlign w:val="bottom"/>
          </w:tcPr>
          <w:p>
            <w:pPr>
              <w:ind w:left="4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5,521</w:t>
            </w:r>
          </w:p>
        </w:tc>
        <w:tc>
          <w:tcPr>
            <w:tcW w:w="0" w:type="dxa"/>
            <w:vAlign w:val="bottom"/>
          </w:tcPr>
          <w:p>
            <w:pPr>
              <w:spacing w:after="0"/>
              <w:rPr>
                <w:sz w:val="1"/>
                <w:szCs w:val="1"/>
                <w:color w:val="auto"/>
              </w:rPr>
            </w:pPr>
          </w:p>
        </w:tc>
      </w:tr>
      <w:tr>
        <w:trPr>
          <w:trHeight w:val="230"/>
        </w:trPr>
        <w:tc>
          <w:tcPr>
            <w:tcW w:w="670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185"/>
        </w:trPr>
        <w:tc>
          <w:tcPr>
            <w:tcW w:w="6700" w:type="dxa"/>
            <w:vAlign w:val="bottom"/>
          </w:tcPr>
          <w:p>
            <w:pPr>
              <w:ind w:left="20"/>
              <w:spacing w:after="0" w:line="185" w:lineRule="exact"/>
              <w:rPr>
                <w:sz w:val="20"/>
                <w:szCs w:val="20"/>
                <w:color w:val="auto"/>
              </w:rPr>
            </w:pPr>
            <w:r>
              <w:rPr>
                <w:rFonts w:ascii="Arial" w:cs="Arial" w:eastAsia="Arial" w:hAnsi="Arial"/>
                <w:sz w:val="18"/>
                <w:szCs w:val="18"/>
                <w:color w:val="auto"/>
              </w:rPr>
              <w:t>Effect of changes in exchange rates on cash and cash equivalents, program and</w:t>
            </w:r>
          </w:p>
        </w:tc>
        <w:tc>
          <w:tcPr>
            <w:tcW w:w="3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70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 program and restricted cash</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39"/>
        </w:trPr>
        <w:tc>
          <w:tcPr>
            <w:tcW w:w="6700" w:type="dxa"/>
            <w:vAlign w:val="bottom"/>
          </w:tcPr>
          <w:p>
            <w:pPr>
              <w:ind w:left="2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Cash and cash equivalents, program and restricted cash,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The decrease in cash provided by operating activities during the nine months ended September 30, 2020 compared with the same period in 2019 is principally due to the increase in our net loss.</w:t>
      </w:r>
    </w:p>
    <w:p>
      <w:pPr>
        <w:spacing w:after="0" w:line="171"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The increase in cash provided by investing activities during the nine months ended September 30, 2020 compared with the same period in 2019 is primarily due to reduced net investment in vehicles.</w:t>
      </w:r>
    </w:p>
    <w:p>
      <w:pPr>
        <w:spacing w:after="0" w:line="171"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The increase in cash used in financing activities during the nine months ended September 30, 2020 compared with the same period in 2019 is primarily due to a decrease in net borrowings under vehicle programs partially offset by an increase in net corporate borrowings.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AND FINANCING ARRANGEMENTS</w:t>
      </w:r>
    </w:p>
    <w:p>
      <w:pPr>
        <w:spacing w:after="0" w:line="254"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At September 30, 2020, we had approximately $12.5 billion of indebtedness, including corporate indebtedness of approximately $4.2 billion and debt under vehicle programs of approximately $8.3 billion. For information</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regarding our debt and borrowing arrangements, see Notes 1, 11 and 12 to our Consolidated Condensed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5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primary liquidity needs include the procurement of rental vehicles to be used in our operations, servicing of corporate and vehicle-related debt and the payment of operating expenses. The present intention of management is to reinvest the undistributed earnings of our foreign subsidiaries indefinitely into our foreign operations. Our primary sources of funding are operating revenue, cash received upon the sale of vehicles, borrowings under our vehicle-backed borrowing arrangements and our senior revolving credit facility, and other financing activities.</w:t>
      </w:r>
    </w:p>
    <w:p>
      <w:pPr>
        <w:spacing w:after="0" w:line="1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liquidity position has been impacted by COVID-19 as a result of significant volume declines and we expect the impact of COVID-19 on the U.S. and worldwide economies to continue to affect our volumes even after the outbreak is contained. Our liquidity could be further negatively affected by any financial market disruptions or the absence of a recovery or worsening of the U.S. and worldwide economies, which may result in unfavorable conditions in the mobility industry, in the asset-backed financing market and in the credit markets generally. We believe these factors have affected and could further affect the debt ratings assigned to us by credit rating agencies and the cost of our borrowings. Additionally, a worsening or prolonged downturn in the worldwide economy or a disruption in the credit markets could further impact our liquidity due to (i) decreased demand and pricing for vehicles in the used-vehicle market, (ii) increased costs associated with, and/or reduced capacity or increased collateral needs under, our financings, (iii) the adverse impact of vehicle manufacturers being unable or unwilling to honor their obligations to repurchase or guarantee the depreciation on the related program vehicles and (iv) disruption in our ability to obtain financing due to negative credit events specific to us or affecting the overall debt market.</w:t>
      </w:r>
    </w:p>
    <w:p>
      <w:pPr>
        <w:spacing w:after="0" w:line="2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of September 30, 2020, we had access to $1.6 billion of available cash and cash equivalents and available borrowings under our revolving credit facility of approximately $0.8 billion, providing us with access to an approximate $2.4 billion of total liquidity. See Note 1 to our Consolidated Condensed Financial Statements for detailed information on liquidity and management’s plans.</w:t>
      </w:r>
    </w:p>
    <w:p>
      <w:pPr>
        <w:spacing w:after="0" w:line="190"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new liquidity covenant, the consolidated first lien leverage ratio requirement after the end of the waiver period on June 30, 2021 and other covenants associated with our senior credit facilities and other borrowings. As of September 30, 2020, we were in compliance with the financial covenants governing our indebtedness. For additional information regarding our liquidity risks, see Part I, Item 1A, “Risk Factors” of our 2019 Form 10-K as well as “Risk Factors” section in this quarterly report.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4"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Our future contractual obligations have not changed significantly from the amounts reported within our 2019 Form 10-K with the exception of our commitment to purchase vehicles, which decreased by approximately $4.3 billion from December 31, 2019, to approximately $3.4 billion at September 30, 2020 due to the COVID-19 impact on our business. Changes to our obligations related to corporate indebtedness and debt under vehicle programs are presented above within the section titled “Liquidity and Capital Resources—Debt and Financing Arrangements” and also within Notes 11 and 12 to our Consolidated Condensed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5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we are required to make estimates and assumptions that affect the amounts reported therein. Several of the estimates and assumptions that we are required to make pertain to matters that are inherently uncertain as they relate to future events. Presented within the section titled “Critical Accounting Policies” of our 2019 Form 10-K are the accounting policies (related to goodwill and other indefinite-lived intangible assets, vehicles, income taxes and public liability, property damage and other insurance liabilities) that we believe require subjective and/or complex judgments that could potentially affect 2020 reported results. There have been no significant changes to those accounting policies or our assessment of which accounting policies we would consider to be critical accounting policies.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i w:val="1"/>
          <w:iCs w:val="1"/>
          <w:color w:val="auto"/>
        </w:rPr>
        <w:t>Goodwill and Other Indefinite-lived Intangible Assets</w:t>
      </w:r>
      <w:r>
        <w:rPr>
          <w:rFonts w:ascii="Arial" w:cs="Arial" w:eastAsia="Arial" w:hAnsi="Arial"/>
          <w:sz w:val="18"/>
          <w:szCs w:val="18"/>
          <w:color w:val="auto"/>
        </w:rPr>
        <w:t>. We perform our annual goodwill and other indefinite-lived intangible assets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in the fourth quarter of each year at the reporting unit level, or more frequently if events or circumstances indicate that the carrying amount of goodwill and other indefinite-lived intangible assets may be impaired.</w:t>
      </w:r>
    </w:p>
    <w:p>
      <w:pPr>
        <w:spacing w:after="0" w:line="190"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As a result of the impacts of COVID-19 on our business, we reviewed the carrying value of our goodwill and other indefinite-lived intangibles assets for impairment during the quarter ended June 30, 2020. For our Europe, Middle East and Africa (“EMEA”) reporting unit, the percentage by which the estimated fair value exceeded the carrying value was approximately 24% and the amount of goodwill allocated to our reporting unit was $464 million at the date of our review. When determining fair value, we utilize various assumptions, including the fair market trading price of our common stock and management’s projections of future cash flows. A change in these underlying assumptions will cause a change in the results of the tests and, as such could cause the fair value to be less than the respective carrying amount. Our goodwill and other indefinite-lived intangible assets are allocated among our reporting units.</w:t>
      </w:r>
    </w:p>
    <w:p>
      <w:pPr>
        <w:spacing w:after="0" w:line="20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the quarter ended September 30, 2020, we continued to observe impacts of COVID-19 on our business. We evaluated qualitative factors and determined that an interim impairment test was not required this quarter as we believe it is more likely than not that the fair value of our goodwill and other indefinite-lived intangible assets exceeds the carrying value.</w:t>
      </w:r>
    </w:p>
    <w:p>
      <w:pPr>
        <w:spacing w:after="0" w:line="19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Further deterioration in the general economic conditions in the travel industry may result in an impairment charge to earnings in future quarters. We will continue to closely monitor actual results versus our expectations as well as any significant changes in events or conditions, including the impact of COVID-19 on our business and the travel industry, and the resulting impact to our assumptions about future estimated cash flows, the weighted average cost of capital and market multiples. If our expectations of the operating results, both in magnitude or timing, do not materialize, or if our weighed average cost of capital increases or if market multiples decline, we may be required to record goodwill and indefinite-lived intangible asset impairment charges, which may be material.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52"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For detailed information regarding new accounting standards and their impact on our business, see Note 1 to our Consolidated Condensed Financial Statements.</w:t>
      </w:r>
    </w:p>
    <w:p>
      <w:pPr>
        <w:spacing w:after="0" w:line="16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September 30, 2020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gasoline. We anticipate that such commodity risk will remain a market risk exposure for the foreseeable future. We determined that a 10% change in the price of unleaded gasoline would not have a material impact on our earnings for the period ended September 30, 2020. For additional information regarding our long-term borrowings and financial instruments, see Notes 11, 12 and 16 to our Consolidated Condensed Financial Statements.</w:t>
      </w:r>
    </w:p>
    <w:p>
      <w:pPr>
        <w:spacing w:after="0" w:line="20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4" w:lineRule="exact"/>
        <w:rPr>
          <w:sz w:val="20"/>
          <w:szCs w:val="20"/>
          <w:color w:val="auto"/>
        </w:rPr>
      </w:pPr>
    </w:p>
    <w:p>
      <w:pPr>
        <w:ind w:left="340" w:hanging="332"/>
        <w:spacing w:after="0" w:line="260" w:lineRule="auto"/>
        <w:tabs>
          <w:tab w:leader="none" w:pos="33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September 30, 2020.</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hanging="332"/>
        <w:spacing w:after="0" w:line="271" w:lineRule="auto"/>
        <w:tabs>
          <w:tab w:leader="none" w:pos="33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fiscal quarter to which this report relates, there has been no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internal control over financial reporting (as such term is defined in Rules 13a-15(f) and 15d-15(f) under the Exchange Act) that has materially affected, or is reasonably likely to materially affect, the Company’s internal control over financial reporting.</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4" w:lineRule="exact"/>
        <w:rPr>
          <w:sz w:val="20"/>
          <w:szCs w:val="20"/>
          <w:color w:val="auto"/>
        </w:rPr>
      </w:pPr>
    </w:p>
    <w:p>
      <w:pPr>
        <w:jc w:val="both"/>
        <w:ind w:right="220"/>
        <w:spacing w:after="0" w:line="271" w:lineRule="auto"/>
        <w:rPr>
          <w:sz w:val="20"/>
          <w:szCs w:val="20"/>
          <w:color w:val="auto"/>
        </w:rPr>
      </w:pPr>
      <w:r>
        <w:rPr>
          <w:rFonts w:ascii="Arial" w:cs="Arial" w:eastAsia="Arial" w:hAnsi="Arial"/>
          <w:sz w:val="18"/>
          <w:szCs w:val="18"/>
          <w:color w:val="auto"/>
        </w:rPr>
        <w:t>During the quarter ended September 30, 2020, the Company had no material developments to report with respect to its legal proceedings. For additional information regarding the Company’s legal proceedings, see Note 13 to our Consolidated Condensed Financial Statements and refer to the Company’s 2019 Form 10-K.</w:t>
      </w:r>
    </w:p>
    <w:p>
      <w:pPr>
        <w:spacing w:after="0" w:line="200" w:lineRule="exact"/>
        <w:rPr>
          <w:sz w:val="20"/>
          <w:szCs w:val="20"/>
          <w:color w:val="auto"/>
        </w:rPr>
      </w:pPr>
    </w:p>
    <w:p>
      <w:pPr>
        <w:spacing w:after="0" w:line="23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4"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The following risk factors are provided to update the risk factors of the Company previously disclosed in periodic reports filed with the SEC, including its 2019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has disrupted, and may continue to disrupt, our business and financial performance.</w:t>
      </w:r>
    </w:p>
    <w:p>
      <w:pPr>
        <w:spacing w:after="0" w:line="22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 outbreak of COVID-19 in multiple countries and regions across the globe, including in North America, Europe and Australasia, has adversely impacted the global economy and demand for our business. Governmental authorities have taken and continue to take measures to address the outbreak, including restrictions on travel and other orders, including partial shelter-in-place orders. The pandemic is a highly fluid and rapidly evolving situation and we cannot anticipate with any certainty the length, scope or severity of such restrictions in each of the jurisdictions that we operate.</w:t>
      </w:r>
    </w:p>
    <w:p>
      <w:pPr>
        <w:spacing w:after="0" w:line="20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full impact that COVID-19 will have on our business cannot be predicted at this time due to numerous uncertainties, including the duration and severity of the outbreak, including another wave caused by additional periods of increases or spikes in the number of cases and travel restrictions, the effectiveness of actions taken to contain the disease, the length of time it takes for rental volume and pricing to return and normal economic and operating conditions to resume, and other factors. This impact could include, but is not limited to, those discussed below:</w:t>
      </w:r>
    </w:p>
    <w:p>
      <w:pPr>
        <w:spacing w:after="0" w:line="202" w:lineRule="exact"/>
        <w:rPr>
          <w:sz w:val="20"/>
          <w:szCs w:val="20"/>
          <w:color w:val="auto"/>
        </w:rPr>
      </w:pPr>
    </w:p>
    <w:p>
      <w:pPr>
        <w:ind w:left="980" w:right="20" w:hanging="324"/>
        <w:spacing w:after="0" w:line="256"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changes in our revenues and customer demand: </w:t>
      </w:r>
      <w:r>
        <w:rPr>
          <w:rFonts w:ascii="Arial" w:cs="Arial" w:eastAsia="Arial" w:hAnsi="Arial"/>
          <w:sz w:val="18"/>
          <w:szCs w:val="18"/>
          <w:color w:val="auto"/>
        </w:rPr>
        <w:t>Our revenues and profitability have been materially impacted during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three quarters of 2020 compared to the prior year periods, and we expect they will continue to be materially adversely affected. Although we believe that renting a vehicle will continue to be a safe, clean and attractive transport alternative, we cannot predict whether and when volumes will increase to historical levels and how long our revenues and customer demand will be affected by the COVID-19 pandemic. As we typically generate approximately 64% of our revenues from on-airport locations, our business is highly dependent on travel and both commercial demand and leisure demand. In addition, our truck rental business is significantly affected by the housing, light commercial and consumer sectors, all of which have been adversely impacted by the COVID-19 pandemic, and we cannot predict the pace of recovery in those sectors.</w:t>
      </w:r>
    </w:p>
    <w:p>
      <w:pPr>
        <w:spacing w:after="0" w:line="204" w:lineRule="exact"/>
        <w:rPr>
          <w:rFonts w:ascii="Arial" w:cs="Arial" w:eastAsia="Arial" w:hAnsi="Arial"/>
          <w:sz w:val="18"/>
          <w:szCs w:val="18"/>
          <w:color w:val="auto"/>
        </w:rPr>
      </w:pPr>
    </w:p>
    <w:p>
      <w:pPr>
        <w:ind w:left="980" w:right="120" w:hanging="324"/>
        <w:spacing w:after="0" w:line="260"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our expenses: </w:t>
      </w:r>
      <w:r>
        <w:rPr>
          <w:rFonts w:ascii="Arial" w:cs="Arial" w:eastAsia="Arial" w:hAnsi="Arial"/>
          <w:sz w:val="18"/>
          <w:szCs w:val="18"/>
          <w:color w:val="auto"/>
        </w:rPr>
        <w:t>To date we have incurred, and expect to continue to incur, increased costs related to COVID-19,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procurement of overflow parking for our idle vehicles and costs associated with sanitizing our vehicles and facilities. In addition, the industry may be subject to enhanced health and hygiene requirements in attempts to address future outbreaks, which may increase our costs and take a significant amount of time to implement across our global operations. These additional costs may be required by regulators or expected by consumers even after the immediate effects of COVID-19 subside.</w:t>
      </w:r>
    </w:p>
    <w:p>
      <w:pPr>
        <w:spacing w:after="0" w:line="201" w:lineRule="exact"/>
        <w:rPr>
          <w:rFonts w:ascii="Arial" w:cs="Arial" w:eastAsia="Arial" w:hAnsi="Arial"/>
          <w:sz w:val="18"/>
          <w:szCs w:val="18"/>
          <w:color w:val="auto"/>
        </w:rPr>
      </w:pPr>
    </w:p>
    <w:p>
      <w:pPr>
        <w:ind w:left="980" w:hanging="324"/>
        <w:spacing w:after="0" w:line="260"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our workforce: </w:t>
      </w:r>
      <w:r>
        <w:rPr>
          <w:rFonts w:ascii="Arial" w:cs="Arial" w:eastAsia="Arial" w:hAnsi="Arial"/>
          <w:sz w:val="18"/>
          <w:szCs w:val="18"/>
          <w:color w:val="auto"/>
        </w:rPr>
        <w:t>The COVID-19 outbreak has also caused us to reduce and furlough employees in order to aim to right size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for vehicle rental demand by reducing operating costs. These actions could create risks, including but not limited to, our ability to manage the size of our workforce given uncertain future demand. Further, we may incur additional costs as a result of negotiations with labor unions that represent our employees or severance payments in the event our workforce is further reduced, and we could experience labor disputes or disruptions as we continue to implement our mitigation plans.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980" w:right="20" w:hanging="324"/>
        <w:spacing w:after="0" w:line="264" w:lineRule="auto"/>
        <w:tabs>
          <w:tab w:leader="none" w:pos="97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our relationship with, and the financial and operational capacities of, vehicle manufacturers and other suppliers: </w:t>
      </w:r>
      <w:r>
        <w:rPr>
          <w:rFonts w:ascii="Arial" w:cs="Arial" w:eastAsia="Arial" w:hAnsi="Arial"/>
          <w:sz w:val="18"/>
          <w:szCs w:val="18"/>
          <w:color w:val="auto"/>
        </w:rPr>
        <w:t>We could face</w:t>
      </w:r>
      <w:r>
        <w:rPr>
          <w:rFonts w:ascii="Arial" w:cs="Arial" w:eastAsia="Arial" w:hAnsi="Arial"/>
          <w:sz w:val="18"/>
          <w:szCs w:val="18"/>
          <w:i w:val="1"/>
          <w:iCs w:val="1"/>
          <w:color w:val="auto"/>
        </w:rPr>
        <w:t xml:space="preserve"> </w:t>
      </w:r>
      <w:r>
        <w:rPr>
          <w:rFonts w:ascii="Arial" w:cs="Arial" w:eastAsia="Arial" w:hAnsi="Arial"/>
          <w:sz w:val="18"/>
          <w:szCs w:val="18"/>
          <w:color w:val="auto"/>
        </w:rPr>
        <w:t>disruptions in the supply of vehicles from vehicle manufacturers, whether due to outbreaks of COVID-19 at their manufacturing facilities, measures they take in response to COVID-19 or otherwise. We may also face delays in receiving delivery of vehicles or other supplies that may make it difficult to meet consumer demand.</w:t>
      </w:r>
    </w:p>
    <w:p>
      <w:pPr>
        <w:spacing w:after="0" w:line="196" w:lineRule="exact"/>
        <w:rPr>
          <w:rFonts w:ascii="Arial" w:cs="Arial" w:eastAsia="Arial" w:hAnsi="Arial"/>
          <w:sz w:val="18"/>
          <w:szCs w:val="18"/>
          <w:color w:val="auto"/>
        </w:rPr>
      </w:pPr>
    </w:p>
    <w:p>
      <w:pPr>
        <w:ind w:left="980" w:right="100" w:hanging="324"/>
        <w:spacing w:after="0" w:line="271" w:lineRule="auto"/>
        <w:tabs>
          <w:tab w:leader="none" w:pos="97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the used car market: </w:t>
      </w:r>
      <w:r>
        <w:rPr>
          <w:rFonts w:ascii="Arial" w:cs="Arial" w:eastAsia="Arial" w:hAnsi="Arial"/>
          <w:sz w:val="18"/>
          <w:szCs w:val="18"/>
          <w:color w:val="auto"/>
        </w:rPr>
        <w:t>We depend on the used car market to sell vehicles and enable us to refresh our fleet. The used car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has faced and may again experience lower demand due to the slowdown in overall global economic activity due to COVID-19, unemployment rates, depressed consumer demand and related factors.</w:t>
      </w:r>
    </w:p>
    <w:p>
      <w:pPr>
        <w:spacing w:after="0" w:line="191" w:lineRule="exact"/>
        <w:rPr>
          <w:rFonts w:ascii="Arial" w:cs="Arial" w:eastAsia="Arial" w:hAnsi="Arial"/>
          <w:sz w:val="18"/>
          <w:szCs w:val="18"/>
          <w:color w:val="auto"/>
        </w:rPr>
      </w:pPr>
    </w:p>
    <w:p>
      <w:pPr>
        <w:ind w:left="980" w:right="40" w:hanging="324"/>
        <w:spacing w:after="0" w:line="255" w:lineRule="auto"/>
        <w:tabs>
          <w:tab w:leader="none" w:pos="97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risks associated with our indebtedness (including available borrowing capacity and ability to refinance indebtedness on favorable terms, as well as our ability to meet the quarterly-tested leverage covenant contained in the credit agreement governing our senior credit facilities at the end of the covenant relief period on June 30, 2021, among other things) and the adequacy of our cash flow and earnings and other conditions which may affect our liquidity: </w:t>
      </w:r>
      <w:r>
        <w:rPr>
          <w:rFonts w:ascii="Arial" w:cs="Arial" w:eastAsia="Arial" w:hAnsi="Arial"/>
          <w:sz w:val="18"/>
          <w:szCs w:val="18"/>
          <w:color w:val="auto"/>
        </w:rPr>
        <w:t>We have taken a number of actions in anticipation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and in response to, COVID-19 that have increased our long-term debt. As we manage through the effects of the pandemic, our level of indebtedness may further increase. A default under our senior secured credit facility would enable the lenders to terminate their commitments thereunder and could trigger a cross-default, acceleration or other consequences under our other indebtedness or financial instruments. There is no guarantee that debt financings will be available in the future to fund our obligations or will be available on terms consistent with our expectations.</w:t>
      </w: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business is generally subject to and impacted by, international, national and local economic conditions and travel demands. We do not expect economic and operating conditions for our business to improve until consumers are once again willing and able to travel without restrictions. This may not occur until well after the broader global economy begins to improve. Additionally, our business is also dependent on consumer sentiment and discretionary spending patterns. To date there have been significant increases in unemployment in the United States and other regions due to the adoption of social distancing and other policies to slow the spread of the virus, which are likely to continue to have a significant negative impact on consumer discretionary spending, including in the mobility industry. Even when economic and operating conditions for our business improve, we cannot predict the long-term effects of the pandemic on our business or the mobility industry as a whole. If the mobility industry is fundamentally changed by the COVID-19 outbreak in ways that are detrimental to our operating model, our business may continue to be adversely affected even as the broader global economy recovers.</w:t>
      </w:r>
    </w:p>
    <w:p>
      <w:pPr>
        <w:spacing w:after="0" w:line="208"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We believe that business disruption relating to the COVID-19 pandemic will continue to negatively impact the global economy and may materially affect our businesses as outlined above, all of which would adversely impact our business and results of operations. To the extent that the COVID-19 outbreak continues to adversely affect our business and financial performance, including for the reasons outlined above, it may also have the effect of heightening many of the other risks identified below and in the “Risk Factors” section of our 2019 Form 10-K, such as those relating to our substantial amount of outstanding indebtedness.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any or all of our estimated cost savings, which may have a negative effect on our results of operations.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identified several areas that present opportunities for cost savings and efficiencies to potentially improve our results of operations while our business is being impacted by the COVID-19 crisis, including initiatives related to reductions in fleet, staffing and compensation expense. The potential cost savings that have been estimated based on these opportunities are based on a number of assumptions and expectations which, if achieved, would improve our profitability and cash flows from operating activities. However, there can be no assurance that the expected results will be achieved. These and any future spend reductions, if any, may also negatively impact our other initiatives or our efforts to grow our business in a recovery, which may negatively impact our future results of operations and increase the burden on existing management, systems and resources. In addition, these cost savings may be negated or offset by unexpected or increased costs, including as a result of price declines in the used car market or the increased cost of insurance, among other things, which could impact the contribution of our fleet reduction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00"/>
        <w:spacing w:after="0" w:line="301" w:lineRule="auto"/>
        <w:rPr>
          <w:sz w:val="20"/>
          <w:szCs w:val="20"/>
          <w:color w:val="auto"/>
        </w:rPr>
      </w:pPr>
      <w:r>
        <w:rPr>
          <w:rFonts w:ascii="Arial" w:cs="Arial" w:eastAsia="Arial" w:hAnsi="Arial"/>
          <w:sz w:val="18"/>
          <w:szCs w:val="18"/>
          <w:b w:val="1"/>
          <w:bCs w:val="1"/>
          <w:i w:val="1"/>
          <w:iCs w:val="1"/>
          <w:color w:val="auto"/>
        </w:rPr>
        <w:t>We are dependent on a functioning used vehicle market and highly exposed to residual value risk in the event that vehicle prices decline, which may both be exacerbated by COVID-19.</w:t>
      </w:r>
    </w:p>
    <w:p>
      <w:pPr>
        <w:spacing w:after="0" w:line="1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dispose of a significant number of vehicles in the used car market, including at wholesale automotive auctions, through sales to vehicle dealers, and directly to consumers. The COVID-19 crisis effectively closed temporarily many of the automotive auctions and vehicle dealerships across the globe, as well as retail locations that we operate directly. While such channels have reopened, they could be caused to shut down again in the future. Additionally, unprecedented increases in unemployment rates may severely impact vehicle demand from consumers and increase the number of loan and lease defaults, leading to repossessions which are typically sold by lenders in the wholesale market. Further, car manufacturers may increase incentives to stimulate new vehicle sales, which may depress used vehicle values. In the event our revenue declines do not significantly improve, we would attempt to further reduce the size of our global vehicle fleet. In such event, our competitors may likely also be attempting to sell vehicles. This confluence of events may lead to sharp and sustained declines in vehicle residual values, which may require increased compliance payments pursuant to our ABS securitization facility. In the event of extreme declines in residual values, the sale of vehicle inventory might result in no incremental recovery of our equity capital or even the requirement to fund additional capital to dispose of vehicles, or to choose to continue to keep idle vehicle fleet until demand or market values recover, which cannot be assured. The foregoing factors could have a material adverse impact on our business, financial position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for future periods may be impacted by impairment charges for goodwill and intangible assets.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carry a significant amount of goodwill and identifiable intangible assets on our consolidated balance sheets. Goodwill is the excess of purchase price over the fair value of the net assets of acquired businesses. We assess goodwill and indefinite-lived intangible assets for impairment each year, or more frequently if circumstances suggest an impairment may have occurred. We have determined in the past and may again determine in the future that a significant impairment has occurred in the value of our goodwill. Additionally, we have a significant amount of identifiable intangible assets and fixed assets that could also be subject to impairment. If we determine that a significant impairment has occurred in the value of our unamortized intangible assets or fixed assets, we could be required to write off a portion of our assets, which could adversely affect our consolidated financial condition or our reported results of operations.</w:t>
      </w:r>
    </w:p>
    <w:p>
      <w:pPr>
        <w:spacing w:after="0" w:line="20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262626"/>
        </w:rPr>
        <w:t>The Company</w:t>
      </w:r>
      <w:r>
        <w:rPr>
          <w:rFonts w:ascii="Arial" w:cs="Arial" w:eastAsia="Arial" w:hAnsi="Arial"/>
          <w:sz w:val="18"/>
          <w:szCs w:val="18"/>
          <w:color w:val="000000"/>
        </w:rPr>
        <w:t>’</w:t>
      </w:r>
      <w:r>
        <w:rPr>
          <w:rFonts w:ascii="Arial" w:cs="Arial" w:eastAsia="Arial" w:hAnsi="Arial"/>
          <w:sz w:val="18"/>
          <w:szCs w:val="18"/>
          <w:color w:val="262626"/>
        </w:rPr>
        <w:t>s Board of Directors has authorized the repurchase of up to $1.8 billion of its common stock under a plan originally approved in 2013 and subsequently expanded, most recently in August 2019</w:t>
      </w:r>
      <w:r>
        <w:rPr>
          <w:rFonts w:ascii="Arial" w:cs="Arial" w:eastAsia="Arial" w:hAnsi="Arial"/>
          <w:sz w:val="18"/>
          <w:szCs w:val="18"/>
          <w:color w:val="000000"/>
        </w:rPr>
        <w:t>.</w:t>
      </w:r>
      <w:r>
        <w:rPr>
          <w:rFonts w:ascii="Arial" w:cs="Arial" w:eastAsia="Arial" w:hAnsi="Arial"/>
          <w:sz w:val="18"/>
          <w:szCs w:val="18"/>
          <w:color w:val="262626"/>
        </w:rPr>
        <w:t xml:space="preserve"> The Company</w:t>
      </w:r>
      <w:r>
        <w:rPr>
          <w:rFonts w:ascii="Arial" w:cs="Arial" w:eastAsia="Arial" w:hAnsi="Arial"/>
          <w:sz w:val="18"/>
          <w:szCs w:val="18"/>
          <w:color w:val="000000"/>
        </w:rPr>
        <w:t>’</w:t>
      </w:r>
      <w:r>
        <w:rPr>
          <w:rFonts w:ascii="Arial" w:cs="Arial" w:eastAsia="Arial" w:hAnsi="Arial"/>
          <w:sz w:val="18"/>
          <w:szCs w:val="18"/>
          <w:color w:val="262626"/>
        </w:rPr>
        <w:t>s stock repurchases may occur through open market purchases or trading plans pursuant to Rule 10b5-1 of the Securities Exchange Act of 1934. The amount and timing of specific repurchases are subject to market conditions, applicable legal requirements and other factors. The repurchase program may be suspended, modified or discontinued at any time without prior notice. The repurchase program has no set expiration or termination date. During the three months ended September 30, 2020, no common stock repurchases were made under the plan and 10,718 shares were withheld by the Company to satisfy employees’ income tax liabilities attributable to the vesting of restricted stock unit awards.</w:t>
      </w:r>
    </w:p>
    <w:p>
      <w:pPr>
        <w:spacing w:after="0" w:line="20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4"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60" w:type="dxa"/>
            <w:vAlign w:val="bottom"/>
          </w:tcPr>
          <w:p>
            <w:pPr>
              <w:spacing w:after="0"/>
              <w:rPr>
                <w:sz w:val="21"/>
                <w:szCs w:val="21"/>
                <w:color w:val="auto"/>
              </w:rPr>
            </w:pPr>
          </w:p>
        </w:tc>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AVIS BUDGET GROUP, INC.</w:t>
            </w:r>
          </w:p>
        </w:tc>
      </w:tr>
      <w:tr>
        <w:trPr>
          <w:trHeight w:val="488"/>
        </w:trPr>
        <w:tc>
          <w:tcPr>
            <w:tcW w:w="3660" w:type="dxa"/>
            <w:vAlign w:val="bottom"/>
          </w:tcPr>
          <w:p>
            <w:pPr>
              <w:ind w:left="20"/>
              <w:spacing w:after="0"/>
              <w:rPr>
                <w:sz w:val="20"/>
                <w:szCs w:val="20"/>
                <w:color w:val="auto"/>
              </w:rPr>
            </w:pPr>
            <w:r>
              <w:rPr>
                <w:rFonts w:ascii="Arial" w:cs="Arial" w:eastAsia="Arial" w:hAnsi="Arial"/>
                <w:sz w:val="18"/>
                <w:szCs w:val="18"/>
                <w:color w:val="auto"/>
              </w:rPr>
              <w:t>Date:  October 30, 2020</w:t>
            </w:r>
          </w:p>
        </w:tc>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Cathleen DeGenova</w:t>
            </w:r>
          </w:p>
        </w:tc>
      </w:tr>
      <w:tr>
        <w:trPr>
          <w:trHeight w:val="214"/>
        </w:trPr>
        <w:tc>
          <w:tcPr>
            <w:tcW w:w="3660" w:type="dxa"/>
            <w:vAlign w:val="bottom"/>
          </w:tcPr>
          <w:p>
            <w:pPr>
              <w:spacing w:after="0"/>
              <w:rPr>
                <w:sz w:val="18"/>
                <w:szCs w:val="18"/>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Cathleen DeGenova</w:t>
            </w:r>
          </w:p>
        </w:tc>
      </w:tr>
      <w:tr>
        <w:trPr>
          <w:trHeight w:val="229"/>
        </w:trPr>
        <w:tc>
          <w:tcPr>
            <w:tcW w:w="366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Vice President and</w:t>
            </w:r>
          </w:p>
        </w:tc>
      </w:tr>
      <w:tr>
        <w:trPr>
          <w:trHeight w:val="243"/>
        </w:trPr>
        <w:tc>
          <w:tcPr>
            <w:tcW w:w="3660" w:type="dxa"/>
            <w:vAlign w:val="bottom"/>
          </w:tcPr>
          <w:p>
            <w:pPr>
              <w:spacing w:after="0"/>
              <w:rPr>
                <w:sz w:val="21"/>
                <w:szCs w:val="21"/>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918"/>
        </w:trPr>
        <w:tc>
          <w:tcPr>
            <w:tcW w:w="3660" w:type="dxa"/>
            <w:vAlign w:val="bottom"/>
          </w:tcPr>
          <w:p>
            <w:pPr>
              <w:spacing w:after="0"/>
              <w:rPr>
                <w:sz w:val="24"/>
                <w:szCs w:val="24"/>
                <w:color w:val="auto"/>
              </w:rPr>
            </w:pPr>
          </w:p>
        </w:tc>
        <w:tc>
          <w:tcPr>
            <w:tcW w:w="7580" w:type="dxa"/>
            <w:vAlign w:val="bottom"/>
          </w:tcPr>
          <w:p>
            <w:pPr>
              <w:ind w:left="1860"/>
              <w:spacing w:after="0"/>
              <w:rPr>
                <w:sz w:val="20"/>
                <w:szCs w:val="20"/>
                <w:color w:val="auto"/>
              </w:rPr>
            </w:pPr>
            <w:r>
              <w:rPr>
                <w:rFonts w:ascii="Arial" w:cs="Arial" w:eastAsia="Arial" w:hAnsi="Arial"/>
                <w:sz w:val="18"/>
                <w:szCs w:val="18"/>
                <w:color w:val="auto"/>
              </w:rPr>
              <w:t>45</w:t>
            </w:r>
          </w:p>
        </w:tc>
      </w:tr>
      <w:tr>
        <w:trPr>
          <w:trHeight w:val="111"/>
        </w:trPr>
        <w:tc>
          <w:tcPr>
            <w:tcW w:w="3660" w:type="dxa"/>
            <w:vAlign w:val="bottom"/>
            <w:tcBorders>
              <w:bottom w:val="single" w:sz="8" w:color="9A9A9A"/>
            </w:tcBorders>
          </w:tcPr>
          <w:p>
            <w:pPr>
              <w:spacing w:after="0"/>
              <w:rPr>
                <w:sz w:val="9"/>
                <w:szCs w:val="9"/>
                <w:color w:val="auto"/>
              </w:rPr>
            </w:pPr>
          </w:p>
        </w:tc>
        <w:tc>
          <w:tcPr>
            <w:tcW w:w="7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000" w:type="dxa"/>
            <w:vAlign w:val="bottom"/>
            <w:gridSpan w:val="21"/>
          </w:tcPr>
          <w:p>
            <w:pPr>
              <w:ind w:left="860"/>
              <w:spacing w:after="0"/>
              <w:rPr>
                <w:sz w:val="20"/>
                <w:szCs w:val="20"/>
                <w:color w:val="auto"/>
              </w:rPr>
            </w:pPr>
            <w:r>
              <w:rPr>
                <w:rFonts w:ascii="Arial" w:cs="Arial" w:eastAsia="Arial" w:hAnsi="Arial"/>
                <w:sz w:val="18"/>
                <w:szCs w:val="18"/>
                <w:b w:val="1"/>
                <w:bCs w:val="1"/>
                <w:color w:val="auto"/>
              </w:rPr>
              <w:t>Exhibit Index</w:t>
            </w:r>
          </w:p>
        </w:tc>
      </w:tr>
      <w:tr>
        <w:trPr>
          <w:trHeight w:val="191"/>
        </w:trPr>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9"/>
              </w:rPr>
              <w:t>Description</w:t>
            </w:r>
          </w:p>
        </w:tc>
        <w:tc>
          <w:tcPr>
            <w:tcW w:w="4480" w:type="dxa"/>
            <w:vAlign w:val="bottom"/>
            <w:gridSpan w:val="19"/>
          </w:tcPr>
          <w:p>
            <w:pPr>
              <w:spacing w:after="0"/>
              <w:rPr>
                <w:sz w:val="16"/>
                <w:szCs w:val="16"/>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18"/>
                <w:szCs w:val="18"/>
                <w:color w:val="auto"/>
              </w:rPr>
            </w:pPr>
          </w:p>
        </w:tc>
        <w:tc>
          <w:tcPr>
            <w:tcW w:w="9900" w:type="dxa"/>
            <w:vAlign w:val="bottom"/>
            <w:gridSpan w:val="23"/>
          </w:tcPr>
          <w:p>
            <w:pPr>
              <w:spacing w:after="0"/>
              <w:rPr>
                <w:rFonts w:ascii="Arial" w:cs="Arial" w:eastAsia="Arial" w:hAnsi="Arial"/>
                <w:sz w:val="18"/>
                <w:szCs w:val="18"/>
                <w:color w:val="0000FF"/>
              </w:rPr>
            </w:pPr>
            <w:hyperlink r:id="rId70">
              <w:r>
                <w:rPr>
                  <w:rFonts w:ascii="Arial" w:cs="Arial" w:eastAsia="Arial" w:hAnsi="Arial"/>
                  <w:sz w:val="18"/>
                  <w:szCs w:val="18"/>
                  <w:color w:val="0000FF"/>
                </w:rPr>
                <w:t>Amended and Restated Certificate of Incorporation of Avis Budget Group, Inc. (Incorporated by reference to Exhibit 3.1 to</w:t>
              </w:r>
            </w:hyperlink>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r:id="rId70">
              <w:r>
                <w:rPr>
                  <w:rFonts w:ascii="Arial" w:cs="Arial" w:eastAsia="Arial" w:hAnsi="Arial"/>
                  <w:sz w:val="18"/>
                  <w:szCs w:val="18"/>
                  <w:color w:val="0000FF"/>
                  <w:w w:val="99"/>
                </w:rPr>
                <w:t>the Company’s Current Report on Form 8-K dated September 5, 2006).</w:t>
              </w:r>
            </w:hyperlink>
          </w:p>
        </w:tc>
        <w:tc>
          <w:tcPr>
            <w:tcW w:w="398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18"/>
                <w:szCs w:val="18"/>
                <w:color w:val="auto"/>
              </w:rPr>
            </w:pPr>
          </w:p>
        </w:tc>
        <w:tc>
          <w:tcPr>
            <w:tcW w:w="9900" w:type="dxa"/>
            <w:vAlign w:val="bottom"/>
            <w:gridSpan w:val="23"/>
          </w:tcPr>
          <w:p>
            <w:pPr>
              <w:spacing w:after="0"/>
              <w:rPr>
                <w:rFonts w:ascii="Arial" w:cs="Arial" w:eastAsia="Arial" w:hAnsi="Arial"/>
                <w:sz w:val="18"/>
                <w:szCs w:val="18"/>
                <w:color w:val="0000FF"/>
              </w:rPr>
            </w:pPr>
            <w:hyperlink r:id="rId71">
              <w:r>
                <w:rPr>
                  <w:rFonts w:ascii="Arial" w:cs="Arial" w:eastAsia="Arial" w:hAnsi="Arial"/>
                  <w:sz w:val="18"/>
                  <w:szCs w:val="18"/>
                  <w:color w:val="0000FF"/>
                </w:rPr>
                <w:t>Amended and Restated Bylaws of Avis Budget Group, Inc., dated as of August 10, 2020 (incorporated by reference to</w:t>
              </w:r>
            </w:hyperlink>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38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71">
              <w:r>
                <w:rPr>
                  <w:rFonts w:ascii="Arial" w:cs="Arial" w:eastAsia="Arial" w:hAnsi="Arial"/>
                  <w:sz w:val="18"/>
                  <w:szCs w:val="18"/>
                  <w:color w:val="0000FF"/>
                </w:rPr>
                <w:t>Exhibit 3.2 to the Company’s Current Report on Form 8-K dated August 13, 2020).</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16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18"/>
                <w:szCs w:val="18"/>
                <w:color w:val="auto"/>
              </w:rPr>
            </w:pPr>
          </w:p>
        </w:tc>
        <w:tc>
          <w:tcPr>
            <w:tcW w:w="9900" w:type="dxa"/>
            <w:vAlign w:val="bottom"/>
            <w:gridSpan w:val="23"/>
          </w:tcPr>
          <w:p>
            <w:pPr>
              <w:spacing w:after="0"/>
              <w:rPr>
                <w:rFonts w:ascii="Arial" w:cs="Arial" w:eastAsia="Arial" w:hAnsi="Arial"/>
                <w:sz w:val="18"/>
                <w:szCs w:val="18"/>
                <w:color w:val="0000FF"/>
              </w:rPr>
            </w:pPr>
            <w:hyperlink r:id="rId72">
              <w:r>
                <w:rPr>
                  <w:rFonts w:ascii="Arial" w:cs="Arial" w:eastAsia="Arial" w:hAnsi="Arial"/>
                  <w:sz w:val="18"/>
                  <w:szCs w:val="18"/>
                  <w:color w:val="0000FF"/>
                </w:rPr>
                <w:t>First Supplemental Indenture, dated as of August 6, 2020, by and among Avis Budget Car Rental, LLC and Avis Budget</w:t>
              </w:r>
            </w:hyperlink>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50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72">
              <w:r>
                <w:rPr>
                  <w:rFonts w:ascii="Arial" w:cs="Arial" w:eastAsia="Arial" w:hAnsi="Arial"/>
                  <w:sz w:val="18"/>
                  <w:szCs w:val="18"/>
                  <w:color w:val="0000FF"/>
                </w:rPr>
                <w:t>Finance, Inc., as issuers, the guarantors party thereto and Deutsche Bank Trust Company Americas, as trustee</w:t>
              </w:r>
            </w:hyperlink>
          </w:p>
        </w:tc>
        <w:tc>
          <w:tcPr>
            <w:tcW w:w="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7"/>
        </w:trPr>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40" w:type="dxa"/>
            <w:vAlign w:val="bottom"/>
            <w:tcBorders>
              <w:top w:val="single" w:sz="8" w:color="0000FF"/>
            </w:tcBorders>
            <w:gridSpan w:val="10"/>
          </w:tcPr>
          <w:p>
            <w:pPr>
              <w:spacing w:after="0" w:line="187" w:lineRule="exact"/>
              <w:rPr>
                <w:rFonts w:ascii="Arial" w:cs="Arial" w:eastAsia="Arial" w:hAnsi="Arial"/>
                <w:sz w:val="18"/>
                <w:szCs w:val="18"/>
                <w:u w:val="single" w:color="auto"/>
                <w:color w:val="0000FF"/>
              </w:rPr>
            </w:pPr>
            <w:hyperlink r:id="rId72">
              <w:r>
                <w:rPr>
                  <w:rFonts w:ascii="Arial" w:cs="Arial" w:eastAsia="Arial" w:hAnsi="Arial"/>
                  <w:sz w:val="18"/>
                  <w:szCs w:val="18"/>
                  <w:u w:val="single" w:color="auto"/>
                  <w:color w:val="0000FF"/>
                </w:rPr>
                <w:t>(incorporated by reference to Exhibit 4.1 to the Company’s Current Report on Form 8-K dated August 7, 2020).</w:t>
              </w:r>
            </w:hyperlink>
          </w:p>
        </w:tc>
        <w:tc>
          <w:tcPr>
            <w:tcW w:w="56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1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8"/>
        </w:trPr>
        <w:tc>
          <w:tcPr>
            <w:tcW w:w="860" w:type="dxa"/>
            <w:vAlign w:val="bottom"/>
          </w:tcPr>
          <w:p>
            <w:pPr>
              <w:spacing w:after="0" w:line="198" w:lineRule="exact"/>
              <w:rPr>
                <w:sz w:val="20"/>
                <w:szCs w:val="20"/>
                <w:color w:val="auto"/>
              </w:rPr>
            </w:pPr>
            <w:r>
              <w:rPr>
                <w:rFonts w:ascii="Arial" w:cs="Arial" w:eastAsia="Arial" w:hAnsi="Arial"/>
                <w:sz w:val="18"/>
                <w:szCs w:val="18"/>
                <w:color w:val="auto"/>
              </w:rPr>
              <w:t>10.1</w:t>
            </w:r>
          </w:p>
        </w:tc>
        <w:tc>
          <w:tcPr>
            <w:tcW w:w="400" w:type="dxa"/>
            <w:vAlign w:val="bottom"/>
          </w:tcPr>
          <w:p>
            <w:pPr>
              <w:spacing w:after="0"/>
              <w:rPr>
                <w:sz w:val="17"/>
                <w:szCs w:val="17"/>
                <w:color w:val="auto"/>
              </w:rPr>
            </w:pPr>
          </w:p>
        </w:tc>
        <w:tc>
          <w:tcPr>
            <w:tcW w:w="9900" w:type="dxa"/>
            <w:vAlign w:val="bottom"/>
            <w:gridSpan w:val="23"/>
          </w:tcPr>
          <w:p>
            <w:pPr>
              <w:spacing w:after="0" w:line="198" w:lineRule="exact"/>
              <w:rPr>
                <w:rFonts w:ascii="Arial" w:cs="Arial" w:eastAsia="Arial" w:hAnsi="Arial"/>
                <w:sz w:val="18"/>
                <w:szCs w:val="18"/>
                <w:color w:val="0000FF"/>
              </w:rPr>
            </w:pPr>
            <w:hyperlink r:id="rId73">
              <w:r>
                <w:rPr>
                  <w:rFonts w:ascii="Arial" w:cs="Arial" w:eastAsia="Arial" w:hAnsi="Arial"/>
                  <w:sz w:val="18"/>
                  <w:szCs w:val="18"/>
                  <w:color w:val="0000FF"/>
                </w:rPr>
                <w:t>Amendment, dated August 12, 2020, to Third Amended and Restated Cooperation Agreement, dated as of February 23,</w:t>
              </w:r>
            </w:hyperlink>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56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8"/>
              </w:rPr>
            </w:pPr>
            <w:hyperlink r:id="rId73">
              <w:r>
                <w:rPr>
                  <w:rFonts w:ascii="Arial" w:cs="Arial" w:eastAsia="Arial" w:hAnsi="Arial"/>
                  <w:sz w:val="18"/>
                  <w:szCs w:val="18"/>
                  <w:color w:val="0000FF"/>
                  <w:w w:val="98"/>
                </w:rPr>
                <w:t>2020, by and among Avis Budget Group, Inc., SRS Investment Management, LLC and certain of its affiliates (incorporated</w:t>
              </w:r>
            </w:hyperlink>
          </w:p>
        </w:tc>
        <w:tc>
          <w:tcPr>
            <w:tcW w:w="12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900" w:type="dxa"/>
            <w:vAlign w:val="bottom"/>
            <w:tcBorders>
              <w:bottom w:val="single" w:sz="8" w:color="0000FF"/>
            </w:tcBorders>
            <w:gridSpan w:val="9"/>
          </w:tcPr>
          <w:p>
            <w:pPr>
              <w:spacing w:after="0" w:line="156" w:lineRule="exact"/>
              <w:rPr>
                <w:rFonts w:ascii="Arial" w:cs="Arial" w:eastAsia="Arial" w:hAnsi="Arial"/>
                <w:sz w:val="18"/>
                <w:szCs w:val="18"/>
                <w:color w:val="0000FF"/>
                <w:w w:val="99"/>
              </w:rPr>
            </w:pPr>
            <w:hyperlink r:id="rId73">
              <w:r>
                <w:rPr>
                  <w:rFonts w:ascii="Arial" w:cs="Arial" w:eastAsia="Arial" w:hAnsi="Arial"/>
                  <w:sz w:val="18"/>
                  <w:szCs w:val="18"/>
                  <w:color w:val="0000FF"/>
                  <w:w w:val="99"/>
                </w:rPr>
                <w:t>by reference to Exhibit 10.1 to the Company’s Current Report on Form 8-K dated August 13, 2020).</w:t>
              </w:r>
            </w:hyperlink>
          </w:p>
        </w:tc>
        <w:tc>
          <w:tcPr>
            <w:tcW w:w="180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18"/>
                <w:szCs w:val="18"/>
                <w:color w:val="auto"/>
              </w:rPr>
            </w:pPr>
          </w:p>
        </w:tc>
        <w:tc>
          <w:tcPr>
            <w:tcW w:w="9900" w:type="dxa"/>
            <w:vAlign w:val="bottom"/>
            <w:gridSpan w:val="23"/>
          </w:tcPr>
          <w:p>
            <w:pPr>
              <w:spacing w:after="0"/>
              <w:rPr>
                <w:rFonts w:ascii="Arial" w:cs="Arial" w:eastAsia="Arial" w:hAnsi="Arial"/>
                <w:sz w:val="18"/>
                <w:szCs w:val="18"/>
                <w:color w:val="0000FF"/>
              </w:rPr>
            </w:pPr>
            <w:hyperlink r:id="rId74">
              <w:r>
                <w:rPr>
                  <w:rFonts w:ascii="Arial" w:cs="Arial" w:eastAsia="Arial" w:hAnsi="Arial"/>
                  <w:sz w:val="18"/>
                  <w:szCs w:val="18"/>
                  <w:color w:val="0000FF"/>
                </w:rPr>
                <w:t>Offer Letter, dated August 12, 2020, between Brian Choi and Avis Budget Group, Inc. (incorporated by reference to Exhibit</w:t>
              </w:r>
            </w:hyperlink>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74">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2</w:t>
              </w:r>
              <w:r>
                <w:rPr>
                  <w:rFonts w:ascii="Arial" w:cs="Arial" w:eastAsia="Arial" w:hAnsi="Arial"/>
                  <w:sz w:val="18"/>
                  <w:szCs w:val="18"/>
                  <w:color w:val="0000FF"/>
                  <w:w w:val="99"/>
                </w:rPr>
                <w:t xml:space="preserve"> to the Company’s Current Report on Form 8-K dated August 13, 2020).</w:t>
              </w:r>
            </w:hyperlink>
          </w:p>
        </w:tc>
        <w:tc>
          <w:tcPr>
            <w:tcW w:w="3660" w:type="dxa"/>
            <w:vAlign w:val="bottom"/>
            <w:tcBorders>
              <w:top w:val="single" w:sz="8" w:color="0000FF"/>
            </w:tcBorders>
            <w:gridSpan w:val="13"/>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18"/>
                <w:szCs w:val="18"/>
                <w:color w:val="auto"/>
              </w:rPr>
            </w:pPr>
          </w:p>
        </w:tc>
        <w:tc>
          <w:tcPr>
            <w:tcW w:w="9900" w:type="dxa"/>
            <w:vAlign w:val="bottom"/>
            <w:gridSpan w:val="23"/>
          </w:tcPr>
          <w:p>
            <w:pPr>
              <w:spacing w:after="0"/>
              <w:rPr>
                <w:rFonts w:ascii="Arial" w:cs="Arial" w:eastAsia="Arial" w:hAnsi="Arial"/>
                <w:sz w:val="18"/>
                <w:szCs w:val="18"/>
                <w:color w:val="0000FF"/>
                <w:w w:val="99"/>
              </w:rPr>
            </w:pPr>
            <w:hyperlink r:id="rId75">
              <w:r>
                <w:rPr>
                  <w:rFonts w:ascii="Arial" w:cs="Arial" w:eastAsia="Arial" w:hAnsi="Arial"/>
                  <w:sz w:val="18"/>
                  <w:szCs w:val="18"/>
                  <w:color w:val="0000FF"/>
                  <w:w w:val="99"/>
                </w:rPr>
                <w:t>Separation Agreement, dated August 12, 2020, between John North and Avis Budget Group, Inc. (incorporated by reference</w:t>
              </w:r>
            </w:hyperlink>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8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75">
              <w:r>
                <w:rPr>
                  <w:rFonts w:ascii="Arial" w:cs="Arial" w:eastAsia="Arial" w:hAnsi="Arial"/>
                  <w:sz w:val="18"/>
                  <w:szCs w:val="18"/>
                  <w:color w:val="0000FF"/>
                </w:rPr>
                <w:t>to Exhibit 10.3 to the Company’s Current Report on Form 8-K dated August 13, 2020).</w:t>
              </w:r>
            </w:hyperlink>
          </w:p>
        </w:tc>
        <w:tc>
          <w:tcPr>
            <w:tcW w:w="2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940" w:type="dxa"/>
            <w:vAlign w:val="bottom"/>
            <w:gridSpan w:val="6"/>
            <w:shd w:val="clear" w:color="auto" w:fill="0000FF"/>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18"/>
                <w:szCs w:val="18"/>
                <w:color w:val="auto"/>
              </w:rPr>
            </w:pPr>
          </w:p>
        </w:tc>
        <w:tc>
          <w:tcPr>
            <w:tcW w:w="9900" w:type="dxa"/>
            <w:vAlign w:val="bottom"/>
            <w:gridSpan w:val="23"/>
          </w:tcPr>
          <w:p>
            <w:pPr>
              <w:spacing w:after="0"/>
              <w:rPr>
                <w:rFonts w:ascii="Arial" w:cs="Arial" w:eastAsia="Arial" w:hAnsi="Arial"/>
                <w:sz w:val="18"/>
                <w:szCs w:val="18"/>
                <w:color w:val="0000FF"/>
              </w:rPr>
            </w:pPr>
            <w:hyperlink r:id="rId76">
              <w:r>
                <w:rPr>
                  <w:rFonts w:ascii="Arial" w:cs="Arial" w:eastAsia="Arial" w:hAnsi="Arial"/>
                  <w:sz w:val="18"/>
                  <w:szCs w:val="18"/>
                  <w:color w:val="0000FF"/>
                </w:rPr>
                <w:t>Series 2020-2 Supplement, dated as of August 12, 2020, between Avis Budget Rental Car Funding (AESOP) LLC and The</w:t>
              </w:r>
            </w:hyperlink>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76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8"/>
              </w:rPr>
            </w:pPr>
            <w:hyperlink r:id="rId76">
              <w:r>
                <w:rPr>
                  <w:rFonts w:ascii="Arial" w:cs="Arial" w:eastAsia="Arial" w:hAnsi="Arial"/>
                  <w:sz w:val="18"/>
                  <w:szCs w:val="18"/>
                  <w:color w:val="0000FF"/>
                  <w:w w:val="98"/>
                </w:rPr>
                <w:t>Bank of New York Mellon Trust Company, N.A., as trustee and as Series 2020-2 Agent (incorporated by reference to Exhibit</w:t>
              </w:r>
            </w:hyperlink>
          </w:p>
        </w:tc>
        <w:tc>
          <w:tcPr>
            <w:tcW w:w="80" w:type="dxa"/>
            <w:vAlign w:val="bottom"/>
            <w:tcBorders>
              <w:bottom w:val="single" w:sz="8" w:color="0000FF"/>
            </w:tcBorders>
          </w:tcPr>
          <w:p>
            <w:pPr>
              <w:spacing w:after="0"/>
              <w:rPr>
                <w:sz w:val="13"/>
                <w:szCs w:val="13"/>
                <w:color w:val="auto"/>
              </w:rPr>
            </w:pPr>
          </w:p>
        </w:tc>
        <w:tc>
          <w:tcPr>
            <w:tcW w:w="60" w:type="dxa"/>
            <w:vAlign w:val="bottom"/>
            <w:gridSpan w:val="2"/>
          </w:tcPr>
          <w:p>
            <w:pPr>
              <w:spacing w:after="0"/>
              <w:rPr>
                <w:sz w:val="13"/>
                <w:szCs w:val="13"/>
                <w:color w:val="auto"/>
              </w:rPr>
            </w:pPr>
          </w:p>
        </w:tc>
      </w:tr>
      <w:tr>
        <w:trPr>
          <w:trHeight w:val="155"/>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60" w:type="dxa"/>
            <w:vAlign w:val="bottom"/>
            <w:tcBorders>
              <w:bottom w:val="single" w:sz="8" w:color="0000FF"/>
            </w:tcBorders>
            <w:gridSpan w:val="6"/>
          </w:tcPr>
          <w:p>
            <w:pPr>
              <w:spacing w:after="0" w:line="156" w:lineRule="exact"/>
              <w:rPr>
                <w:rFonts w:ascii="Arial" w:cs="Arial" w:eastAsia="Arial" w:hAnsi="Arial"/>
                <w:sz w:val="18"/>
                <w:szCs w:val="18"/>
                <w:color w:val="0000FF"/>
                <w:w w:val="99"/>
              </w:rPr>
            </w:pPr>
            <w:hyperlink r:id="rId76">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1</w:t>
              </w:r>
              <w:r>
                <w:rPr>
                  <w:rFonts w:ascii="Arial" w:cs="Arial" w:eastAsia="Arial" w:hAnsi="Arial"/>
                  <w:sz w:val="18"/>
                  <w:szCs w:val="18"/>
                  <w:color w:val="0000FF"/>
                  <w:w w:val="99"/>
                </w:rPr>
                <w:t xml:space="preserve"> to the Company’s Current Report on Form 8-K dated August 14, 2020).</w:t>
              </w:r>
            </w:hyperlink>
          </w:p>
        </w:tc>
        <w:tc>
          <w:tcPr>
            <w:tcW w:w="3780" w:type="dxa"/>
            <w:vAlign w:val="bottom"/>
            <w:gridSpan w:val="15"/>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10"/>
        </w:trPr>
        <w:tc>
          <w:tcPr>
            <w:tcW w:w="860" w:type="dxa"/>
            <w:vAlign w:val="bottom"/>
          </w:tcPr>
          <w:p>
            <w:pPr>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18"/>
                <w:szCs w:val="18"/>
                <w:color w:val="auto"/>
              </w:rPr>
            </w:pPr>
          </w:p>
        </w:tc>
        <w:tc>
          <w:tcPr>
            <w:tcW w:w="9900" w:type="dxa"/>
            <w:vAlign w:val="bottom"/>
            <w:gridSpan w:val="23"/>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Amendment, dated September 28, 2020, to Separation Agreement, dated August 12, 2020, between John North and Avis</w:t>
              </w:r>
            </w:hyperlink>
          </w:p>
        </w:tc>
      </w:tr>
      <w:tr>
        <w:trPr>
          <w:trHeight w:val="155"/>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9"/>
              </w:rPr>
            </w:pPr>
            <w:hyperlink w:anchor="page49">
              <w:r>
                <w:rPr>
                  <w:rFonts w:ascii="Arial" w:cs="Arial" w:eastAsia="Arial" w:hAnsi="Arial"/>
                  <w:sz w:val="18"/>
                  <w:szCs w:val="18"/>
                  <w:color w:val="0000FF"/>
                  <w:w w:val="99"/>
                </w:rPr>
                <w:t>Budget Group, Inc.</w:t>
              </w:r>
            </w:hyperlink>
          </w:p>
        </w:tc>
        <w:tc>
          <w:tcPr>
            <w:tcW w:w="8160" w:type="dxa"/>
            <w:vAlign w:val="bottom"/>
            <w:tcBorders>
              <w:top w:val="single" w:sz="8" w:color="0000FF"/>
            </w:tcBorders>
            <w:gridSpan w:val="16"/>
          </w:tcPr>
          <w:p>
            <w:pPr>
              <w:spacing w:after="0"/>
              <w:rPr>
                <w:sz w:val="13"/>
                <w:szCs w:val="13"/>
                <w:color w:val="auto"/>
              </w:rPr>
            </w:pPr>
          </w:p>
        </w:tc>
        <w:tc>
          <w:tcPr>
            <w:tcW w:w="220" w:type="dxa"/>
            <w:vAlign w:val="bottom"/>
            <w:gridSpan w:val="6"/>
          </w:tcPr>
          <w:p>
            <w:pPr>
              <w:spacing w:after="0"/>
              <w:rPr>
                <w:sz w:val="13"/>
                <w:szCs w:val="13"/>
                <w:color w:val="auto"/>
              </w:rPr>
            </w:pPr>
          </w:p>
        </w:tc>
      </w:tr>
      <w:tr>
        <w:trPr>
          <w:trHeight w:val="210"/>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18"/>
                <w:szCs w:val="18"/>
                <w:color w:val="auto"/>
              </w:rPr>
            </w:pPr>
          </w:p>
        </w:tc>
        <w:tc>
          <w:tcPr>
            <w:tcW w:w="9900" w:type="dxa"/>
            <w:vAlign w:val="bottom"/>
            <w:gridSpan w:val="23"/>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Certification of Chief Executive Officer pursuant to Rules 13(a)-14(a) and 15(d)-14(a) promulgated under the Securities</w:t>
              </w:r>
            </w:hyperlink>
          </w:p>
        </w:tc>
      </w:tr>
      <w:tr>
        <w:trPr>
          <w:trHeight w:val="155"/>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4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w:anchor="page51">
              <w:r>
                <w:rPr>
                  <w:rFonts w:ascii="Arial" w:cs="Arial" w:eastAsia="Arial" w:hAnsi="Arial"/>
                  <w:sz w:val="18"/>
                  <w:szCs w:val="18"/>
                  <w:color w:val="0000FF"/>
                </w:rPr>
                <w:t>Exchange Act of 1934, as amended.</w:t>
              </w:r>
            </w:hyperlink>
          </w:p>
        </w:tc>
        <w:tc>
          <w:tcPr>
            <w:tcW w:w="460" w:type="dxa"/>
            <w:vAlign w:val="bottom"/>
            <w:gridSpan w:val="10"/>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00" w:type="dxa"/>
            <w:vAlign w:val="bottom"/>
            <w:gridSpan w:val="2"/>
            <w:shd w:val="clear" w:color="auto" w:fill="0000FF"/>
          </w:tcPr>
          <w:p>
            <w:pPr>
              <w:spacing w:after="0" w:line="20" w:lineRule="exact"/>
              <w:rPr>
                <w:sz w:val="1"/>
                <w:szCs w:val="1"/>
                <w:color w:val="auto"/>
              </w:rPr>
            </w:pPr>
          </w:p>
        </w:tc>
        <w:tc>
          <w:tcPr>
            <w:tcW w:w="6500" w:type="dxa"/>
            <w:vAlign w:val="bottom"/>
            <w:gridSpan w:val="10"/>
          </w:tcPr>
          <w:p>
            <w:pPr>
              <w:spacing w:after="0" w:line="20" w:lineRule="exact"/>
              <w:rPr>
                <w:sz w:val="1"/>
                <w:szCs w:val="1"/>
                <w:color w:val="auto"/>
              </w:rPr>
            </w:pPr>
          </w:p>
        </w:tc>
        <w:tc>
          <w:tcPr>
            <w:tcW w:w="500" w:type="dxa"/>
            <w:vAlign w:val="bottom"/>
            <w:gridSpan w:val="11"/>
          </w:tcPr>
          <w:p>
            <w:pPr>
              <w:spacing w:after="0" w:line="20" w:lineRule="exact"/>
              <w:rPr>
                <w:sz w:val="1"/>
                <w:szCs w:val="1"/>
                <w:color w:val="auto"/>
              </w:rPr>
            </w:pPr>
          </w:p>
        </w:tc>
      </w:tr>
      <w:tr>
        <w:trPr>
          <w:trHeight w:val="210"/>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18"/>
                <w:szCs w:val="18"/>
                <w:color w:val="auto"/>
              </w:rPr>
            </w:pPr>
          </w:p>
        </w:tc>
        <w:tc>
          <w:tcPr>
            <w:tcW w:w="9900" w:type="dxa"/>
            <w:vAlign w:val="bottom"/>
            <w:gridSpan w:val="23"/>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Certification of Chief Financial Officer pursuant to Rules 13(a)-14(a) and 15(d)-14(a) promulgated under the Securities</w:t>
              </w:r>
            </w:hyperlink>
          </w:p>
        </w:tc>
      </w:tr>
      <w:tr>
        <w:trPr>
          <w:trHeight w:val="155"/>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52">
              <w:r>
                <w:rPr>
                  <w:rFonts w:ascii="Arial" w:cs="Arial" w:eastAsia="Arial" w:hAnsi="Arial"/>
                  <w:sz w:val="18"/>
                  <w:szCs w:val="18"/>
                  <w:color w:val="0000FF"/>
                </w:rPr>
                <w:t>Exchange Act of 1934, as amended.</w:t>
              </w:r>
            </w:hyperlink>
          </w:p>
        </w:tc>
        <w:tc>
          <w:tcPr>
            <w:tcW w:w="500" w:type="dxa"/>
            <w:vAlign w:val="bottom"/>
            <w:gridSpan w:val="11"/>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 w:lineRule="exact"/>
        <w:rPr>
          <w:sz w:val="20"/>
          <w:szCs w:val="20"/>
          <w:color w:val="auto"/>
        </w:rPr>
      </w:pPr>
    </w:p>
    <w:p>
      <w:pPr>
        <w:ind w:left="1280" w:hanging="1254"/>
        <w:spacing w:after="0"/>
        <w:tabs>
          <w:tab w:leader="none" w:pos="1280" w:val="left"/>
        </w:tabs>
        <w:numPr>
          <w:ilvl w:val="0"/>
          <w:numId w:val="52"/>
        </w:numPr>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Certification pursuant to 18 U.S.C. Section 1350, as adopted pursuant to Section 906 of the Sarbanes-Oxley Act of 2002.</w:t>
        </w:r>
      </w:hyperlink>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9980" w:type="dxa"/>
            <w:vAlign w:val="bottom"/>
          </w:tcPr>
          <w:p>
            <w:pPr>
              <w:ind w:left="260"/>
              <w:spacing w:after="0"/>
              <w:rPr>
                <w:sz w:val="20"/>
                <w:szCs w:val="20"/>
                <w:color w:val="auto"/>
              </w:rPr>
            </w:pPr>
            <w:r>
              <w:rPr>
                <w:rFonts w:ascii="Arial" w:cs="Arial" w:eastAsia="Arial" w:hAnsi="Arial"/>
                <w:sz w:val="18"/>
                <w:szCs w:val="18"/>
                <w:color w:val="auto"/>
                <w:w w:val="99"/>
              </w:rPr>
              <w:t>XBRL Instance Document - the instance document does not appear in the Interactive Data File because its XBRL tags are</w:t>
            </w:r>
          </w:p>
        </w:tc>
      </w:tr>
      <w:tr>
        <w:trPr>
          <w:trHeight w:val="220"/>
        </w:trPr>
        <w:tc>
          <w:tcPr>
            <w:tcW w:w="100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embedded within the Inline XBRL document.</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9980" w:type="dxa"/>
            <w:vAlign w:val="bottom"/>
          </w:tcPr>
          <w:p>
            <w:pPr>
              <w:ind w:left="260"/>
              <w:spacing w:after="0"/>
              <w:rPr>
                <w:sz w:val="20"/>
                <w:szCs w:val="20"/>
                <w:color w:val="auto"/>
              </w:rPr>
            </w:pPr>
            <w:r>
              <w:rPr>
                <w:rFonts w:ascii="Arial" w:cs="Arial" w:eastAsia="Arial" w:hAnsi="Arial"/>
                <w:sz w:val="18"/>
                <w:szCs w:val="18"/>
                <w:color w:val="auto"/>
              </w:rPr>
              <w:t>XBRL Taxonomy Extension Schema.</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9980" w:type="dxa"/>
            <w:vAlign w:val="bottom"/>
          </w:tcPr>
          <w:p>
            <w:pPr>
              <w:ind w:left="260"/>
              <w:spacing w:after="0"/>
              <w:rPr>
                <w:sz w:val="20"/>
                <w:szCs w:val="20"/>
                <w:color w:val="auto"/>
              </w:rPr>
            </w:pPr>
            <w:r>
              <w:rPr>
                <w:rFonts w:ascii="Arial" w:cs="Arial" w:eastAsia="Arial" w:hAnsi="Arial"/>
                <w:sz w:val="18"/>
                <w:szCs w:val="18"/>
                <w:color w:val="auto"/>
              </w:rPr>
              <w:t>XBRL Taxonomy Extension Calculation Linkbase.</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998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9980" w:type="dxa"/>
            <w:vAlign w:val="bottom"/>
          </w:tcPr>
          <w:p>
            <w:pPr>
              <w:ind w:left="260"/>
              <w:spacing w:after="0"/>
              <w:rPr>
                <w:sz w:val="20"/>
                <w:szCs w:val="20"/>
                <w:color w:val="auto"/>
              </w:rPr>
            </w:pPr>
            <w:r>
              <w:rPr>
                <w:rFonts w:ascii="Arial" w:cs="Arial" w:eastAsia="Arial" w:hAnsi="Arial"/>
                <w:sz w:val="18"/>
                <w:szCs w:val="18"/>
                <w:color w:val="auto"/>
              </w:rPr>
              <w:t>XBRL Taxonomy Extension Label Linkbase.</w:t>
            </w:r>
          </w:p>
        </w:tc>
      </w:tr>
      <w:tr>
        <w:trPr>
          <w:trHeight w:val="243"/>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998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w:t>
            </w:r>
          </w:p>
        </w:tc>
      </w:tr>
    </w:tbl>
    <w:p>
      <w:pPr>
        <w:ind w:left="1280" w:hanging="1254"/>
        <w:spacing w:after="0"/>
        <w:tabs>
          <w:tab w:leader="none" w:pos="1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Cover Page Interactive Data File -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46</w:t>
      </w:r>
    </w:p>
    <w:p>
      <w:pPr>
        <w:sectPr>
          <w:pgSz w:w="11900" w:h="16838" w:orient="portrait"/>
          <w:cols w:equalWidth="0" w:num="1">
            <w:col w:w="11160"/>
          </w:cols>
          <w:pgMar w:left="320" w:top="116" w:right="419" w:bottom="1440" w:gutter="0" w:footer="0" w:header="0"/>
        </w:sectPr>
      </w:pPr>
    </w:p>
    <w:bookmarkStart w:id="48" w:name="page49"/>
    <w:bookmarkEnd w:id="48"/>
    <w:p>
      <w:pPr>
        <w:jc w:val="right"/>
        <w:spacing w:after="0"/>
        <w:rPr>
          <w:sz w:val="20"/>
          <w:szCs w:val="20"/>
          <w:color w:val="auto"/>
        </w:rPr>
      </w:pPr>
      <w:r>
        <w:rPr>
          <w:rFonts w:ascii="Arial" w:cs="Arial" w:eastAsia="Arial" w:hAnsi="Arial"/>
          <w:sz w:val="20"/>
          <w:szCs w:val="20"/>
          <w:b w:val="1"/>
          <w:bCs w:val="1"/>
          <w:color w:val="auto"/>
        </w:rPr>
        <w:t>Exhibit 10.5</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28, 2020</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John F. North, III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Avis Budget Group, Inc.</w:t>
      </w:r>
    </w:p>
    <w:p>
      <w:pPr>
        <w:spacing w:after="0"/>
        <w:rPr>
          <w:sz w:val="20"/>
          <w:szCs w:val="20"/>
          <w:color w:val="auto"/>
        </w:rPr>
      </w:pPr>
      <w:r>
        <w:rPr>
          <w:rFonts w:ascii="Times New Roman" w:cs="Times New Roman" w:eastAsia="Times New Roman" w:hAnsi="Times New Roman"/>
          <w:sz w:val="20"/>
          <w:szCs w:val="20"/>
          <w:color w:val="auto"/>
        </w:rPr>
        <w:t>6 Sylvan Way</w:t>
      </w:r>
    </w:p>
    <w:p>
      <w:pPr>
        <w:spacing w:after="0"/>
        <w:rPr>
          <w:sz w:val="20"/>
          <w:szCs w:val="20"/>
          <w:color w:val="auto"/>
        </w:rPr>
      </w:pPr>
      <w:r>
        <w:rPr>
          <w:rFonts w:ascii="Times New Roman" w:cs="Times New Roman" w:eastAsia="Times New Roman" w:hAnsi="Times New Roman"/>
          <w:sz w:val="20"/>
          <w:szCs w:val="20"/>
          <w:color w:val="auto"/>
        </w:rPr>
        <w:t>Parsippany, NJ 07054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John,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Reference is made to the Separation Agreement between Avis Budget Group,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you dated August 12, 2020 (the</w:t>
      </w:r>
    </w:p>
    <w:p>
      <w:pPr>
        <w:spacing w:after="0" w:line="28" w:lineRule="exact"/>
        <w:rPr>
          <w:sz w:val="20"/>
          <w:szCs w:val="20"/>
          <w:color w:val="auto"/>
        </w:rPr>
      </w:pPr>
    </w:p>
    <w:p>
      <w:pPr>
        <w:ind w:right="140"/>
        <w:spacing w:after="0" w:line="29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Separation Agreement</w:t>
      </w:r>
      <w:r>
        <w:rPr>
          <w:rFonts w:ascii="Times New Roman" w:cs="Times New Roman" w:eastAsia="Times New Roman" w:hAnsi="Times New Roman"/>
          <w:sz w:val="20"/>
          <w:szCs w:val="20"/>
          <w:color w:val="auto"/>
        </w:rPr>
        <w:t>”). Unless otherwise changed herein, all terms and provisions of the Separation Agreement, including the definitions used therein, shall remain in full force and effect. The parties agree to amend the Separation Agreement as follows:</w:t>
      </w:r>
    </w:p>
    <w:p>
      <w:pPr>
        <w:spacing w:after="0" w:line="189" w:lineRule="exact"/>
        <w:rPr>
          <w:sz w:val="20"/>
          <w:szCs w:val="20"/>
          <w:color w:val="auto"/>
        </w:rPr>
      </w:pPr>
    </w:p>
    <w:p>
      <w:pPr>
        <w:ind w:left="660" w:right="120" w:hanging="328"/>
        <w:spacing w:after="0" w:line="297" w:lineRule="auto"/>
        <w:tabs>
          <w:tab w:leader="none" w:pos="6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second WHEREAS clause shall be amended to delete the following phrase: “and will continue to be employed by the Company until January 1, 2021 (the “</w:t>
      </w:r>
      <w:r>
        <w:rPr>
          <w:rFonts w:ascii="Times New Roman" w:cs="Times New Roman" w:eastAsia="Times New Roman" w:hAnsi="Times New Roman"/>
          <w:sz w:val="20"/>
          <w:szCs w:val="20"/>
          <w:u w:val="single" w:color="auto"/>
          <w:color w:val="auto"/>
        </w:rPr>
        <w:t>Separation Date</w:t>
      </w:r>
      <w:r>
        <w:rPr>
          <w:rFonts w:ascii="Times New Roman" w:cs="Times New Roman" w:eastAsia="Times New Roman" w:hAnsi="Times New Roman"/>
          <w:sz w:val="20"/>
          <w:szCs w:val="20"/>
          <w:color w:val="auto"/>
        </w:rPr>
        <w:t>”).</w:t>
      </w:r>
    </w:p>
    <w:p>
      <w:pPr>
        <w:spacing w:after="0" w:line="186" w:lineRule="exact"/>
        <w:rPr>
          <w:rFonts w:ascii="Times New Roman" w:cs="Times New Roman" w:eastAsia="Times New Roman" w:hAnsi="Times New Roman"/>
          <w:sz w:val="20"/>
          <w:szCs w:val="20"/>
          <w:color w:val="auto"/>
        </w:rPr>
      </w:pPr>
    </w:p>
    <w:p>
      <w:pPr>
        <w:ind w:left="660" w:right="3500" w:hanging="328"/>
        <w:spacing w:after="0" w:line="619" w:lineRule="auto"/>
        <w:tabs>
          <w:tab w:leader="none" w:pos="6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Section 1 of the Separation Agreement shall be amended in its entirety to read as follows: “1. </w:t>
      </w:r>
      <w:r>
        <w:rPr>
          <w:rFonts w:ascii="Times New Roman" w:cs="Times New Roman" w:eastAsia="Times New Roman" w:hAnsi="Times New Roman"/>
          <w:sz w:val="20"/>
          <w:szCs w:val="20"/>
          <w:u w:val="single" w:color="auto"/>
          <w:color w:val="auto"/>
        </w:rPr>
        <w:t>Transition; Consulting; Separation.</w:t>
      </w:r>
    </w:p>
    <w:p>
      <w:pPr>
        <w:spacing w:after="0" w:line="1" w:lineRule="exact"/>
        <w:rPr>
          <w:rFonts w:ascii="Times New Roman" w:cs="Times New Roman" w:eastAsia="Times New Roman" w:hAnsi="Times New Roman"/>
          <w:sz w:val="20"/>
          <w:szCs w:val="20"/>
          <w:color w:val="auto"/>
        </w:rPr>
      </w:pPr>
    </w:p>
    <w:p>
      <w:pPr>
        <w:ind w:left="660" w:right="80" w:hanging="4"/>
        <w:spacing w:after="0" w:line="272" w:lineRule="auto"/>
        <w:tabs>
          <w:tab w:leader="none" w:pos="1074"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will continue to be employed as Executive Vice President and Chief Financial Officer from the date hereof through the Transition Date. Following the Transition Date, the Executive will (i) continue to be employed by the Company as an Adviser to the Chief Financial Officer through October 1, 2020, and (ii) from October 1, 2020 through January 1, 2021 (the “</w:t>
      </w:r>
      <w:r>
        <w:rPr>
          <w:rFonts w:ascii="Times New Roman" w:cs="Times New Roman" w:eastAsia="Times New Roman" w:hAnsi="Times New Roman"/>
          <w:sz w:val="20"/>
          <w:szCs w:val="20"/>
          <w:u w:val="single" w:color="auto"/>
          <w:color w:val="auto"/>
        </w:rPr>
        <w:t>Separation Date</w:t>
      </w:r>
      <w:r>
        <w:rPr>
          <w:rFonts w:ascii="Times New Roman" w:cs="Times New Roman" w:eastAsia="Times New Roman" w:hAnsi="Times New Roman"/>
          <w:sz w:val="20"/>
          <w:szCs w:val="20"/>
          <w:color w:val="auto"/>
        </w:rPr>
        <w:t>,” and the period from October 1, 2020 through January 1, 2021, being the “</w:t>
      </w:r>
      <w:r>
        <w:rPr>
          <w:rFonts w:ascii="Times New Roman" w:cs="Times New Roman" w:eastAsia="Times New Roman" w:hAnsi="Times New Roman"/>
          <w:sz w:val="20"/>
          <w:szCs w:val="20"/>
          <w:u w:val="single" w:color="auto"/>
          <w:color w:val="auto"/>
        </w:rPr>
        <w:t>Consulting Period</w:t>
      </w:r>
      <w:r>
        <w:rPr>
          <w:rFonts w:ascii="Times New Roman" w:cs="Times New Roman" w:eastAsia="Times New Roman" w:hAnsi="Times New Roman"/>
          <w:sz w:val="20"/>
          <w:szCs w:val="20"/>
          <w:color w:val="auto"/>
        </w:rPr>
        <w:t>”), the Executive will be retained by the Company to provide counsel and advice as may be reasonably requested from time to time (unless in either case earlier terminated by the Company for “Cause” as defined in the Severance Agreement or by the Executive). During the Consulting Period, the Company shall pay the Executive a monthly retainer of $10,000 (the “</w:t>
      </w:r>
      <w:r>
        <w:rPr>
          <w:rFonts w:ascii="Times New Roman" w:cs="Times New Roman" w:eastAsia="Times New Roman" w:hAnsi="Times New Roman"/>
          <w:sz w:val="20"/>
          <w:szCs w:val="20"/>
          <w:u w:val="single" w:color="auto"/>
          <w:color w:val="auto"/>
        </w:rPr>
        <w:t>Consulting Fees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ind w:left="660" w:right="180" w:hanging="4"/>
        <w:spacing w:after="0" w:line="273" w:lineRule="auto"/>
        <w:tabs>
          <w:tab w:leader="none" w:pos="1089"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as of the Transition Date, the Executive will resign (and will be deemed to have resigned without any further actions by the Executive) from his position of Executive Vice president and Chief Financial Officer of the Company, and effective as of October 1, 2020, the Executive will resign (and will be deemed to have resigned without any further action by the Executive) from any and all of the Executive’s other positions with the Company and its affiliates (and as a fiduciary of any benefit plan of the Company and its affiliates). The Executive shall execute such additional documents as requested by the Company to evidence the foregoing.</w:t>
      </w:r>
    </w:p>
    <w:p>
      <w:pPr>
        <w:spacing w:after="0" w:line="212" w:lineRule="exact"/>
        <w:rPr>
          <w:rFonts w:ascii="Times New Roman" w:cs="Times New Roman" w:eastAsia="Times New Roman" w:hAnsi="Times New Roman"/>
          <w:sz w:val="20"/>
          <w:szCs w:val="20"/>
          <w:color w:val="auto"/>
        </w:rPr>
      </w:pPr>
    </w:p>
    <w:p>
      <w:pPr>
        <w:ind w:left="660" w:right="140" w:hanging="4"/>
        <w:spacing w:after="0" w:line="282" w:lineRule="auto"/>
        <w:tabs>
          <w:tab w:leader="none" w:pos="1074"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acknowledges and agrees that during the Consulting Period the Executive’s status at all times shall be that of an independent contractor. The parties hereby acknowledge and agree that all Consulting Fees paid pursuant to clause (b) above shall represent fees for services as an independent contractor, and shall therefor be paid without any deductions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850" w:right="339" w:bottom="1440" w:gutter="0" w:footer="0" w:header="0"/>
        </w:sectPr>
      </w:pPr>
    </w:p>
    <w:bookmarkStart w:id="49" w:name="page50"/>
    <w:bookmarkEnd w:id="49"/>
    <w:p>
      <w:pPr>
        <w:ind w:left="660"/>
        <w:spacing w:after="0" w:line="272" w:lineRule="auto"/>
        <w:rPr>
          <w:sz w:val="20"/>
          <w:szCs w:val="20"/>
          <w:color w:val="auto"/>
        </w:rPr>
      </w:pPr>
      <w:r>
        <w:rPr>
          <w:rFonts w:ascii="Times New Roman" w:cs="Times New Roman" w:eastAsia="Times New Roman" w:hAnsi="Times New Roman"/>
          <w:sz w:val="20"/>
          <w:szCs w:val="20"/>
          <w:color w:val="auto"/>
        </w:rPr>
        <w:t>or withholdings taken therefrom for taxes or for any other purpose. The Executive further acknowledges that the Company makes no warranties as to any tax consequences regarding payment of such fees, and specifically agrees that the determination of any tax liability or other consequences of any payment made hereunder is the Executive’s sole and complete responsibility and that the Executive will pay all taxes, if any, assessed on such payments under the applicable laws of any Federal, state, local or other jurisdiction and, to the extent not so paid, will indemnify the Company for any taxes so assessed against the Company. The Executive also agrees that during the Consulting Period, the Executive shall not be eligible to participate in any of the employee benefit plans or arrangements of the Company except as expressly provided herein.”</w:t>
      </w:r>
    </w:p>
    <w:p>
      <w:pPr>
        <w:spacing w:after="0" w:line="214"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20"/>
          <w:szCs w:val="20"/>
          <w:color w:val="auto"/>
        </w:rPr>
        <w:t>3.</w:t>
      </w:r>
      <w:r>
        <w:rPr>
          <w:sz w:val="20"/>
          <w:szCs w:val="20"/>
          <w:color w:val="auto"/>
        </w:rPr>
        <w:tab/>
      </w:r>
      <w:r>
        <w:rPr>
          <w:rFonts w:ascii="Times New Roman" w:cs="Times New Roman" w:eastAsia="Times New Roman" w:hAnsi="Times New Roman"/>
          <w:sz w:val="19"/>
          <w:szCs w:val="19"/>
          <w:color w:val="auto"/>
        </w:rPr>
        <w:t>Section 2(a) shall be amended by replacing the term “Separation Date” with “October 1, 2020” in each place it appears.</w:t>
      </w:r>
    </w:p>
    <w:p>
      <w:pPr>
        <w:spacing w:after="0" w:line="270"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20"/>
          <w:szCs w:val="20"/>
          <w:color w:val="auto"/>
        </w:rPr>
        <w:t>This letter may be executed in counterparts, each of which shall be deemed an original, but all of which together shall constitute one and the same instrument.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Yours sincerely,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Edward P. Linnen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2979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129794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Edward P. Linnen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Human Resources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Avis Budget Group, Inc.</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AGREED AND ACKNOWLEDGED: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John F. North,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2744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John F. North, III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September 28,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26"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Joseph A. Ferraro, certify that:</w:t>
      </w:r>
    </w:p>
    <w:p>
      <w:pPr>
        <w:spacing w:after="0" w:line="90" w:lineRule="exact"/>
        <w:rPr>
          <w:sz w:val="20"/>
          <w:szCs w:val="20"/>
          <w:color w:val="auto"/>
        </w:rPr>
      </w:pPr>
    </w:p>
    <w:p>
      <w:pPr>
        <w:ind w:left="640" w:hanging="308"/>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03" w:lineRule="exact"/>
        <w:rPr>
          <w:rFonts w:ascii="Arial" w:cs="Arial" w:eastAsia="Arial" w:hAnsi="Arial"/>
          <w:sz w:val="18"/>
          <w:szCs w:val="18"/>
          <w:color w:val="auto"/>
        </w:rPr>
      </w:pPr>
    </w:p>
    <w:p>
      <w:pPr>
        <w:ind w:left="660" w:right="80" w:hanging="328"/>
        <w:spacing w:after="0" w:line="271" w:lineRule="auto"/>
        <w:tabs>
          <w:tab w:leader="none" w:pos="6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Arial" w:cs="Arial" w:eastAsia="Arial" w:hAnsi="Arial"/>
          <w:sz w:val="18"/>
          <w:szCs w:val="18"/>
          <w:color w:val="auto"/>
        </w:rPr>
      </w:pPr>
    </w:p>
    <w:p>
      <w:pPr>
        <w:ind w:left="660" w:right="140" w:hanging="328"/>
        <w:spacing w:after="0" w:line="271" w:lineRule="auto"/>
        <w:tabs>
          <w:tab w:leader="none" w:pos="6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 w:lineRule="exact"/>
        <w:rPr>
          <w:rFonts w:ascii="Arial" w:cs="Arial" w:eastAsia="Arial" w:hAnsi="Arial"/>
          <w:sz w:val="18"/>
          <w:szCs w:val="18"/>
          <w:color w:val="auto"/>
        </w:rPr>
      </w:pPr>
    </w:p>
    <w:p>
      <w:pPr>
        <w:ind w:left="660" w:right="140" w:hanging="328"/>
        <w:spacing w:after="0" w:line="271" w:lineRule="auto"/>
        <w:tabs>
          <w:tab w:leader="none" w:pos="6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Arial" w:cs="Arial" w:eastAsia="Arial" w:hAnsi="Arial"/>
          <w:sz w:val="18"/>
          <w:szCs w:val="18"/>
          <w:color w:val="auto"/>
        </w:rPr>
      </w:pPr>
    </w:p>
    <w:p>
      <w:pPr>
        <w:ind w:left="1300" w:hanging="320"/>
        <w:spacing w:after="0" w:line="271" w:lineRule="auto"/>
        <w:tabs>
          <w:tab w:leader="none" w:pos="129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8"/>
          <w:szCs w:val="18"/>
          <w:color w:val="auto"/>
        </w:rPr>
      </w:pPr>
    </w:p>
    <w:p>
      <w:pPr>
        <w:ind w:left="1300" w:right="540" w:hanging="320"/>
        <w:spacing w:after="0" w:line="294" w:lineRule="auto"/>
        <w:tabs>
          <w:tab w:leader="none" w:pos="1298"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 w:lineRule="exact"/>
        <w:rPr>
          <w:rFonts w:ascii="Arial" w:cs="Arial" w:eastAsia="Arial" w:hAnsi="Arial"/>
          <w:sz w:val="17"/>
          <w:szCs w:val="17"/>
          <w:color w:val="auto"/>
        </w:rPr>
      </w:pPr>
    </w:p>
    <w:p>
      <w:pPr>
        <w:ind w:left="1300" w:right="300" w:hanging="320"/>
        <w:spacing w:after="0" w:line="271" w:lineRule="auto"/>
        <w:tabs>
          <w:tab w:leader="none" w:pos="1288"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Arial" w:cs="Arial" w:eastAsia="Arial" w:hAnsi="Arial"/>
          <w:sz w:val="18"/>
          <w:szCs w:val="18"/>
          <w:color w:val="auto"/>
        </w:rPr>
      </w:pPr>
    </w:p>
    <w:p>
      <w:pPr>
        <w:ind w:left="1300" w:right="60" w:hanging="320"/>
        <w:spacing w:after="0" w:line="271" w:lineRule="auto"/>
        <w:tabs>
          <w:tab w:leader="none" w:pos="129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Arial" w:cs="Arial" w:eastAsia="Arial" w:hAnsi="Arial"/>
          <w:sz w:val="18"/>
          <w:szCs w:val="18"/>
          <w:color w:val="auto"/>
        </w:rPr>
      </w:pPr>
    </w:p>
    <w:p>
      <w:pPr>
        <w:ind w:left="660" w:right="360" w:hanging="328"/>
        <w:spacing w:after="0" w:line="271" w:lineRule="auto"/>
        <w:tabs>
          <w:tab w:leader="none" w:pos="6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rFonts w:ascii="Arial" w:cs="Arial" w:eastAsia="Arial" w:hAnsi="Arial"/>
          <w:sz w:val="18"/>
          <w:szCs w:val="18"/>
          <w:color w:val="auto"/>
        </w:rPr>
      </w:pPr>
    </w:p>
    <w:p>
      <w:pPr>
        <w:jc w:val="both"/>
        <w:ind w:left="1300" w:right="440" w:hanging="320"/>
        <w:spacing w:after="0" w:line="271" w:lineRule="auto"/>
        <w:tabs>
          <w:tab w:leader="none" w:pos="1298"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Arial" w:cs="Arial" w:eastAsia="Arial" w:hAnsi="Arial"/>
          <w:sz w:val="18"/>
          <w:szCs w:val="18"/>
          <w:color w:val="auto"/>
        </w:rPr>
      </w:pPr>
    </w:p>
    <w:p>
      <w:pPr>
        <w:ind w:left="1300" w:right="780" w:hanging="320"/>
        <w:spacing w:after="0" w:line="292" w:lineRule="auto"/>
        <w:tabs>
          <w:tab w:leader="none" w:pos="1298"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2020</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Joseph A.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20320</wp:posOffset>
            </wp:positionV>
            <wp:extent cx="28632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4"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 Brian Choi, certify that:</w:t>
      </w:r>
    </w:p>
    <w:p>
      <w:pPr>
        <w:spacing w:after="0" w:line="171" w:lineRule="exact"/>
        <w:rPr>
          <w:sz w:val="20"/>
          <w:szCs w:val="20"/>
          <w:color w:val="auto"/>
        </w:rPr>
      </w:pPr>
    </w:p>
    <w:p>
      <w:pPr>
        <w:ind w:left="640" w:hanging="308"/>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80" w:hanging="328"/>
        <w:spacing w:after="0" w:line="271" w:lineRule="auto"/>
        <w:tabs>
          <w:tab w:leader="none" w:pos="648"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660" w:right="140" w:hanging="328"/>
        <w:spacing w:after="0" w:line="271" w:lineRule="auto"/>
        <w:tabs>
          <w:tab w:leader="none" w:pos="648"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Arial" w:cs="Arial" w:eastAsia="Arial" w:hAnsi="Arial"/>
          <w:sz w:val="18"/>
          <w:szCs w:val="18"/>
          <w:color w:val="auto"/>
        </w:rPr>
      </w:pPr>
    </w:p>
    <w:p>
      <w:pPr>
        <w:ind w:left="660" w:right="140" w:hanging="328"/>
        <w:spacing w:after="0" w:line="271" w:lineRule="auto"/>
        <w:tabs>
          <w:tab w:leader="none" w:pos="64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8"/>
          <w:szCs w:val="18"/>
          <w:color w:val="auto"/>
        </w:rPr>
      </w:pPr>
    </w:p>
    <w:p>
      <w:pPr>
        <w:ind w:left="1300" w:hanging="320"/>
        <w:spacing w:after="0" w:line="271" w:lineRule="auto"/>
        <w:tabs>
          <w:tab w:leader="none" w:pos="1298"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1300" w:right="540" w:hanging="320"/>
        <w:spacing w:after="0" w:line="294" w:lineRule="auto"/>
        <w:tabs>
          <w:tab w:leader="none" w:pos="1298" w:val="left"/>
        </w:tabs>
        <w:numPr>
          <w:ilvl w:val="1"/>
          <w:numId w:val="5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1" w:lineRule="exact"/>
        <w:rPr>
          <w:rFonts w:ascii="Arial" w:cs="Arial" w:eastAsia="Arial" w:hAnsi="Arial"/>
          <w:sz w:val="17"/>
          <w:szCs w:val="17"/>
          <w:color w:val="auto"/>
        </w:rPr>
      </w:pPr>
    </w:p>
    <w:p>
      <w:pPr>
        <w:ind w:left="1300" w:right="300" w:hanging="320"/>
        <w:spacing w:after="0" w:line="271" w:lineRule="auto"/>
        <w:tabs>
          <w:tab w:leader="none" w:pos="1288"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ind w:left="1300" w:right="60" w:hanging="320"/>
        <w:spacing w:after="0" w:line="271" w:lineRule="auto"/>
        <w:tabs>
          <w:tab w:leader="none" w:pos="1298"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8"/>
          <w:szCs w:val="18"/>
          <w:color w:val="auto"/>
        </w:rPr>
      </w:pPr>
    </w:p>
    <w:p>
      <w:pPr>
        <w:ind w:left="660" w:right="360" w:hanging="328"/>
        <w:spacing w:after="0" w:line="271" w:lineRule="auto"/>
        <w:tabs>
          <w:tab w:leader="none" w:pos="64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Arial" w:cs="Arial" w:eastAsia="Arial" w:hAnsi="Arial"/>
          <w:sz w:val="18"/>
          <w:szCs w:val="18"/>
          <w:color w:val="auto"/>
        </w:rPr>
      </w:pPr>
    </w:p>
    <w:p>
      <w:pPr>
        <w:jc w:val="both"/>
        <w:ind w:left="1300" w:right="440" w:hanging="320"/>
        <w:spacing w:after="0" w:line="271" w:lineRule="auto"/>
        <w:tabs>
          <w:tab w:leader="none" w:pos="1298"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1300" w:right="780" w:hanging="320"/>
        <w:spacing w:after="0" w:line="292" w:lineRule="auto"/>
        <w:tabs>
          <w:tab w:leader="none" w:pos="1298"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2020</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Brian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20320</wp:posOffset>
            </wp:positionV>
            <wp:extent cx="41662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4"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September 30, 2020, as filed with the Securities and Exchange Commission on the date hereof (the “Report”), Joseph A. Ferraro, as Chief Executive Officer of the Company, and Brian Choi, as Chief Financial Officer of the Company, each hereby certifies, pursuant to 18 U.S.C. Section 1350, as adopted pursuant to Section 906 of the Sarbanes-Oxley Act of 2002, that, to the best of his knowledge:</w:t>
      </w:r>
    </w:p>
    <w:p>
      <w:pPr>
        <w:spacing w:after="0" w:line="115" w:lineRule="exact"/>
        <w:rPr>
          <w:sz w:val="20"/>
          <w:szCs w:val="20"/>
          <w:color w:val="auto"/>
        </w:rPr>
      </w:pPr>
    </w:p>
    <w:p>
      <w:pPr>
        <w:ind w:left="640" w:hanging="308"/>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73" w:lineRule="auto"/>
        <w:tabs>
          <w:tab w:leader="none" w:pos="65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JOSEPH A. FERRARO</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Joseph A. Ferraro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30, 2020</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BRIAN CHOI</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Choi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30, 2020</w:t>
      </w:r>
    </w:p>
    <w:sectPr>
      <w:pgSz w:w="11900" w:h="16838" w:orient="portrait"/>
      <w:cols w:equalWidth="0" w:num="1">
        <w:col w:w="11240"/>
      </w:cols>
      <w:pgMar w:left="320" w:top="8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1)"/>
      <w:numFmt w:val="lowerLetter"/>
      <w:start w:val="1"/>
    </w:lvl>
  </w:abstractNum>
  <w:abstractNum w:abstractNumId="7">
    <w:nsid w:val="22221A70"/>
    <w:multiLevelType w:val="hybridMultilevel"/>
    <w:lvl w:ilvl="0">
      <w:lvlJc w:val="left"/>
      <w:lvlText w:val="%1."/>
      <w:numFmt w:val="decimal"/>
      <w:start w:val="2"/>
    </w:lvl>
  </w:abstractNum>
  <w:abstractNum w:abstractNumId="8">
    <w:nsid w:val="4516DDE9"/>
    <w:multiLevelType w:val="hybridMultilevel"/>
    <w:lvl w:ilvl="0">
      <w:lvlJc w:val="left"/>
      <w:lvlText w:val="(%1)"/>
      <w:numFmt w:val="lowerLetter"/>
      <w:start w:val="1"/>
    </w:lvl>
  </w:abstractNum>
  <w:abstractNum w:abstractNumId="9">
    <w:nsid w:val="3006C83E"/>
    <w:multiLevelType w:val="hybridMultilevel"/>
    <w:lvl w:ilvl="0">
      <w:lvlJc w:val="left"/>
      <w:lvlText w:val="(%1)"/>
      <w:numFmt w:val="lowerLetter"/>
      <w:start w:val="1"/>
    </w:lvl>
  </w:abstractNum>
  <w:abstractNum w:abstractNumId="10">
    <w:nsid w:val="614FD4A1"/>
    <w:multiLevelType w:val="hybridMultilevel"/>
    <w:lvl w:ilvl="0">
      <w:lvlJc w:val="left"/>
      <w:lvlText w:val="%1"/>
      <w:numFmt w:val="decimal"/>
      <w:start w:val="1"/>
    </w:lvl>
    <w:lvl w:ilvl="1">
      <w:lvlJc w:val="left"/>
      <w:lvlText w:val="(%2)"/>
      <w:numFmt w:val="lowerLetter"/>
      <w:start w:val="1"/>
    </w:lvl>
  </w:abstractNum>
  <w:abstractNum w:abstractNumId="11">
    <w:nsid w:val="419AC241"/>
    <w:multiLevelType w:val="hybridMultilevel"/>
    <w:lvl w:ilvl="0">
      <w:lvlJc w:val="left"/>
      <w:lvlText w:val="%1."/>
      <w:numFmt w:val="decimal"/>
      <w:start w:val="3"/>
    </w:lvl>
    <w:lvl w:ilvl="1">
      <w:lvlJc w:val="left"/>
      <w:lvlText w:val="%2"/>
      <w:numFmt w:val="lowerLetter"/>
      <w:start w:val="1"/>
    </w:lvl>
  </w:abstractNum>
  <w:abstractNum w:abstractNumId="12">
    <w:nsid w:val="5577F8E1"/>
    <w:multiLevelType w:val="hybridMultilevel"/>
    <w:lvl w:ilvl="0">
      <w:lvlJc w:val="left"/>
      <w:lvlText w:val="(%1)"/>
      <w:numFmt w:val="lowerLetter"/>
      <w:start w:val="1"/>
    </w:lvl>
  </w:abstractNum>
  <w:abstractNum w:abstractNumId="13">
    <w:nsid w:val="440BADFC"/>
    <w:multiLevelType w:val="hybridMultilevel"/>
    <w:lvl w:ilvl="0">
      <w:lvlJc w:val="left"/>
      <w:lvlText w:val="%1."/>
      <w:numFmt w:val="decimal"/>
      <w:start w:val="4"/>
    </w:lvl>
  </w:abstractNum>
  <w:abstractNum w:abstractNumId="14">
    <w:nsid w:val="5072367"/>
    <w:multiLevelType w:val="hybridMultilevel"/>
    <w:lvl w:ilvl="0">
      <w:lvlJc w:val="left"/>
      <w:lvlText w:val="%1"/>
      <w:numFmt w:val="decimal"/>
      <w:start w:val="1"/>
    </w:lvl>
    <w:lvl w:ilvl="1">
      <w:lvlJc w:val="left"/>
      <w:lvlText w:val="(%2)"/>
      <w:numFmt w:val="lowerLetter"/>
      <w:start w:val="1"/>
    </w:lvl>
  </w:abstractNum>
  <w:abstractNum w:abstractNumId="15">
    <w:nsid w:val="3804823E"/>
    <w:multiLevelType w:val="hybridMultilevel"/>
    <w:lvl w:ilvl="0">
      <w:lvlJc w:val="left"/>
      <w:lvlText w:val="%1."/>
      <w:numFmt w:val="decimal"/>
      <w:start w:val="5"/>
    </w:lvl>
    <w:lvl w:ilvl="1">
      <w:lvlJc w:val="left"/>
      <w:lvlText w:val="%2"/>
      <w:numFmt w:val="lowerLetter"/>
      <w:start w:val="1"/>
    </w:lvl>
  </w:abstractNum>
  <w:abstractNum w:abstractNumId="16">
    <w:nsid w:val="77465F01"/>
    <w:multiLevelType w:val="hybridMultilevel"/>
    <w:lvl w:ilvl="0">
      <w:lvlJc w:val="left"/>
      <w:lvlText w:val="%1."/>
      <w:numFmt w:val="decimal"/>
      <w:start w:val="7"/>
    </w:lvl>
  </w:abstractNum>
  <w:abstractNum w:abstractNumId="17">
    <w:nsid w:val="7724C67E"/>
    <w:multiLevelType w:val="hybridMultilevel"/>
    <w:lvl w:ilvl="0">
      <w:lvlJc w:val="left"/>
      <w:lvlText w:val="%1."/>
      <w:numFmt w:val="decimal"/>
      <w:start w:val="8"/>
    </w:lvl>
  </w:abstractNum>
  <w:abstractNum w:abstractNumId="18">
    <w:nsid w:val="5C482A97"/>
    <w:multiLevelType w:val="hybridMultilevel"/>
    <w:lvl w:ilvl="0">
      <w:lvlJc w:val="left"/>
      <w:lvlText w:val="%1."/>
      <w:numFmt w:val="decimal"/>
      <w:start w:val="9"/>
    </w:lvl>
  </w:abstractNum>
  <w:abstractNum w:abstractNumId="19">
    <w:nsid w:val="2463B9EA"/>
    <w:multiLevelType w:val="hybridMultilevel"/>
    <w:lvl w:ilvl="0">
      <w:lvlJc w:val="left"/>
      <w:lvlText w:val="(%1)"/>
      <w:numFmt w:val="lowerLetter"/>
      <w:start w:val="1"/>
    </w:lvl>
  </w:abstractNum>
  <w:abstractNum w:abstractNumId="20">
    <w:nsid w:val="5E884ADC"/>
    <w:multiLevelType w:val="hybridMultilevel"/>
    <w:lvl w:ilvl="0">
      <w:lvlJc w:val="left"/>
      <w:lvlText w:val="(%1)"/>
      <w:numFmt w:val="lowerLetter"/>
      <w:start w:val="1"/>
    </w:lvl>
  </w:abstractNum>
  <w:abstractNum w:abstractNumId="21">
    <w:nsid w:val="51EAD36B"/>
    <w:multiLevelType w:val="hybridMultilevel"/>
    <w:lvl w:ilvl="0">
      <w:lvlJc w:val="left"/>
      <w:lvlText w:val="%1."/>
      <w:numFmt w:val="decimal"/>
      <w:start w:val="12"/>
    </w:lvl>
  </w:abstractNum>
  <w:abstractNum w:abstractNumId="22">
    <w:nsid w:val="2D517796"/>
    <w:multiLevelType w:val="hybridMultilevel"/>
    <w:lvl w:ilvl="0">
      <w:lvlJc w:val="left"/>
      <w:lvlText w:val="(%1)"/>
      <w:numFmt w:val="lowerLetter"/>
      <w:start w:val="1"/>
    </w:lvl>
  </w:abstractNum>
  <w:abstractNum w:abstractNumId="23">
    <w:nsid w:val="580BD78F"/>
    <w:multiLevelType w:val="hybridMultilevel"/>
    <w:lvl w:ilvl="0">
      <w:lvlJc w:val="left"/>
      <w:lvlText w:val="(%1)"/>
      <w:numFmt w:val="lowerLetter"/>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1)"/>
      <w:numFmt w:val="lowerLetter"/>
      <w:start w:val="1"/>
    </w:lvl>
  </w:abstractNum>
  <w:abstractNum w:abstractNumId="27">
    <w:nsid w:val="6A2342EC"/>
    <w:multiLevelType w:val="hybridMultilevel"/>
    <w:lvl w:ilvl="0">
      <w:lvlJc w:val="left"/>
      <w:lvlText w:val="%1."/>
      <w:numFmt w:val="decimal"/>
      <w:start w:val="13"/>
    </w:lvl>
  </w:abstractNum>
  <w:abstractNum w:abstractNumId="28">
    <w:nsid w:val="2A487CB0"/>
    <w:multiLevelType w:val="hybridMultilevel"/>
    <w:lvl w:ilvl="0">
      <w:lvlJc w:val="left"/>
      <w:lvlText w:val="%1."/>
      <w:numFmt w:val="decimal"/>
      <w:start w:val="14"/>
    </w:lvl>
  </w:abstractNum>
  <w:abstractNum w:abstractNumId="29">
    <w:nsid w:val="1D4ED43B"/>
    <w:multiLevelType w:val="hybridMultilevel"/>
    <w:lvl w:ilvl="0">
      <w:lvlJc w:val="left"/>
      <w:lvlText w:val="%1"/>
      <w:numFmt w:val="decimal"/>
      <w:start w:val="1"/>
    </w:lvl>
    <w:lvl w:ilvl="1">
      <w:lvlJc w:val="left"/>
      <w:lvlText w:val="(%2)"/>
      <w:numFmt w:val="lowerLetter"/>
      <w:start w:val="1"/>
    </w:lvl>
  </w:abstractNum>
  <w:abstractNum w:abstractNumId="30">
    <w:nsid w:val="725A06FB"/>
    <w:multiLevelType w:val="hybridMultilevel"/>
    <w:lvl w:ilvl="0">
      <w:lvlJc w:val="left"/>
      <w:lvlText w:val="%1."/>
      <w:numFmt w:val="decimal"/>
      <w:start w:val="15"/>
    </w:lvl>
    <w:lvl w:ilvl="1">
      <w:lvlJc w:val="left"/>
      <w:lvlText w:val="%2"/>
      <w:numFmt w:val="lowerLetter"/>
      <w:start w:val="1"/>
    </w:lvl>
  </w:abstractNum>
  <w:abstractNum w:abstractNumId="31">
    <w:nsid w:val="2CD89A32"/>
    <w:multiLevelType w:val="hybridMultilevel"/>
    <w:lvl w:ilvl="0">
      <w:lvlJc w:val="left"/>
      <w:lvlText w:val="(%1)"/>
      <w:numFmt w:val="lowerLetter"/>
      <w:start w:val="1"/>
    </w:lvl>
  </w:abstractNum>
  <w:abstractNum w:abstractNumId="32">
    <w:nsid w:val="57E4CCAF"/>
    <w:multiLevelType w:val="hybridMultilevel"/>
    <w:lvl w:ilvl="0">
      <w:lvlJc w:val="left"/>
      <w:lvlText w:val="%1"/>
      <w:numFmt w:val="decimal"/>
      <w:start w:val="1"/>
    </w:lvl>
    <w:lvl w:ilvl="1">
      <w:lvlJc w:val="left"/>
      <w:lvlText w:val="(%2)"/>
      <w:numFmt w:val="lowerLetter"/>
      <w:start w:val="2"/>
    </w:lvl>
  </w:abstractNum>
  <w:abstractNum w:abstractNumId="33">
    <w:nsid w:val="7A6D8D3C"/>
    <w:multiLevelType w:val="hybridMultilevel"/>
    <w:lvl w:ilvl="0">
      <w:lvlJc w:val="left"/>
      <w:lvlText w:val="%1."/>
      <w:numFmt w:val="decimal"/>
      <w:start w:val="16"/>
    </w:lvl>
    <w:lvl w:ilvl="1">
      <w:lvlJc w:val="left"/>
      <w:lvlText w:val="%2"/>
      <w:numFmt w:val="lowerLetter"/>
      <w:start w:val="1"/>
    </w:lvl>
  </w:abstractNum>
  <w:abstractNum w:abstractNumId="34">
    <w:nsid w:val="4B588F54"/>
    <w:multiLevelType w:val="hybridMultilevel"/>
    <w:lvl w:ilvl="0">
      <w:lvlJc w:val="left"/>
      <w:lvlText w:val="(%1)"/>
      <w:numFmt w:val="lowerLetter"/>
      <w:start w:val="1"/>
    </w:lvl>
  </w:abstractNum>
  <w:abstractNum w:abstractNumId="35">
    <w:nsid w:val="542289EC"/>
    <w:multiLevelType w:val="hybridMultilevel"/>
    <w:lvl w:ilvl="0">
      <w:lvlJc w:val="left"/>
      <w:lvlText w:val="(%1)"/>
      <w:numFmt w:val="lowerLetter"/>
      <w:start w:val="1"/>
    </w:lvl>
  </w:abstractNum>
  <w:abstractNum w:abstractNumId="36">
    <w:nsid w:val="6DE91B18"/>
    <w:multiLevelType w:val="hybridMultilevel"/>
    <w:lvl w:ilvl="0">
      <w:lvlJc w:val="left"/>
      <w:lvlText w:val="(%1)"/>
      <w:numFmt w:val="lowerLetter"/>
      <w:start w:val="1"/>
    </w:lvl>
  </w:abstractNum>
  <w:abstractNum w:abstractNumId="37">
    <w:nsid w:val="38437FDB"/>
    <w:multiLevelType w:val="hybridMultilevel"/>
    <w:lvl w:ilvl="0">
      <w:lvlJc w:val="left"/>
      <w:lvlText w:val="%1"/>
      <w:numFmt w:val="decimal"/>
      <w:start w:val="1"/>
    </w:lvl>
    <w:lvl w:ilvl="1">
      <w:lvlJc w:val="left"/>
      <w:lvlText w:val="(%2)"/>
      <w:numFmt w:val="lowerLetter"/>
      <w:start w:val="1"/>
    </w:lvl>
  </w:abstractNum>
  <w:abstractNum w:abstractNumId="38">
    <w:nsid w:val="7644A45C"/>
    <w:multiLevelType w:val="hybridMultilevel"/>
    <w:lvl w:ilvl="0">
      <w:lvlJc w:val="left"/>
      <w:lvlText w:val="%1."/>
      <w:numFmt w:val="decimal"/>
      <w:start w:val="17"/>
    </w:lvl>
    <w:lvl w:ilvl="1">
      <w:lvlJc w:val="left"/>
      <w:lvlText w:val="%2"/>
      <w:numFmt w:val="lowerLetter"/>
      <w:start w:val="1"/>
    </w:lvl>
  </w:abstractNum>
  <w:abstractNum w:abstractNumId="39">
    <w:nsid w:val="32FFF902"/>
    <w:multiLevelType w:val="hybridMultilevel"/>
    <w:lvl w:ilvl="0">
      <w:lvlJc w:val="left"/>
      <w:lvlText w:val="(%1)"/>
      <w:numFmt w:val="lowerLetter"/>
      <w:start w:val="1"/>
    </w:lvl>
  </w:abstractNum>
  <w:abstractNum w:abstractNumId="40">
    <w:nsid w:val="684A481A"/>
    <w:multiLevelType w:val="hybridMultilevel"/>
    <w:lvl w:ilvl="0">
      <w:lvlJc w:val="left"/>
      <w:lvlText w:val="(%1)"/>
      <w:numFmt w:val="lowerLetter"/>
      <w:start w:val="1"/>
    </w:lvl>
  </w:abstractNum>
  <w:abstractNum w:abstractNumId="41">
    <w:nsid w:val="579478FE"/>
    <w:multiLevelType w:val="hybridMultilevel"/>
    <w:lvl w:ilvl="0">
      <w:lvlJc w:val="left"/>
      <w:lvlText w:val="(%1)"/>
      <w:numFmt w:val="lowerLetter"/>
      <w:start w:val="2"/>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1)"/>
      <w:numFmt w:val="lowerLetter"/>
      <w:start w:val="1"/>
    </w:lvl>
  </w:abstractNum>
  <w:abstractNum w:abstractNumId="46">
    <w:nsid w:val="75C6C33A"/>
    <w:multiLevelType w:val="hybridMultilevel"/>
    <w:lvl w:ilvl="0">
      <w:lvlJc w:val="left"/>
      <w:lvlText w:val="(%1)"/>
      <w:numFmt w:val="lowerLetter"/>
      <w:start w:val="1"/>
    </w:lvl>
  </w:abstractNum>
  <w:abstractNum w:abstractNumId="47">
    <w:nsid w:val="12E685FB"/>
    <w:multiLevelType w:val="hybridMultilevel"/>
    <w:lvl w:ilvl="0">
      <w:lvlJc w:val="left"/>
      <w:lvlText w:val="(%1)"/>
      <w:numFmt w:val="lowerLetter"/>
      <w:start w:val="1"/>
    </w:lvl>
  </w:abstractNum>
  <w:abstractNum w:abstractNumId="48">
    <w:nsid w:val="70C6A529"/>
    <w:multiLevelType w:val="hybridMultilevel"/>
    <w:lvl w:ilvl="0">
      <w:lvlJc w:val="left"/>
      <w:lvlText w:val="(%1)"/>
      <w:numFmt w:val="lowerLetter"/>
      <w:start w:val="2"/>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1"/>
      <w:numFmt w:val="decimal"/>
      <w:start w:val="32"/>
    </w:lvl>
  </w:abstractNum>
  <w:abstractNum w:abstractNumId="52">
    <w:nsid w:val="23F9C13C"/>
    <w:multiLevelType w:val="hybridMultilevel"/>
    <w:lvl w:ilvl="0">
      <w:lvlJc w:val="left"/>
      <w:lvlText w:val="%1"/>
      <w:numFmt w:val="decimal"/>
      <w:start w:val="104"/>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70" Type="http://schemas.openxmlformats.org/officeDocument/2006/relationships/hyperlink" Target="http://www.sec.gov/Archives/edgar/data/723612/000072361206000058/articles.htm" TargetMode="External"/><Relationship Id="rId71" Type="http://schemas.openxmlformats.org/officeDocument/2006/relationships/hyperlink" Target="http://www.sec.gov/Archives/edgar/data/723612/000119312520218349/d84038dex32.htm" TargetMode="External"/><Relationship Id="rId72" Type="http://schemas.openxmlformats.org/officeDocument/2006/relationships/hyperlink" Target="http://www.sec.gov/Archives/edgar/data/723612/000119312520213522/d11524dex41.htm" TargetMode="External"/><Relationship Id="rId73" Type="http://schemas.openxmlformats.org/officeDocument/2006/relationships/hyperlink" Target="http://www.sec.gov/Archives/edgar/data/723612/000119312520218349/d84038dex101.htm" TargetMode="External"/><Relationship Id="rId74" Type="http://schemas.openxmlformats.org/officeDocument/2006/relationships/hyperlink" Target="http://www.sec.gov/Archives/edgar/data/723612/000119312520218349/d84038dex102.htm" TargetMode="External"/><Relationship Id="rId75" Type="http://schemas.openxmlformats.org/officeDocument/2006/relationships/hyperlink" Target="http://www.sec.gov/Archives/edgar/data/723612/000119312520218349/d84038dex103.htm" TargetMode="External"/><Relationship Id="rId76" Type="http://schemas.openxmlformats.org/officeDocument/2006/relationships/hyperlink" Target="http://www.sec.gov/Archives/edgar/data/723612/000119312520220383/d10951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2020-10-30T08:33:38Z</dcterms:created>
  <dcterms:modified xsi:type="dcterms:W3CDTF">2020-10-30T08:33:38Z</dcterms:modified>
</cp:coreProperties>
</file>