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206375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46355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1660" w:hanging="382"/>
        <w:spacing w:after="0"/>
        <w:tabs>
          <w:tab w:leader="none" w:pos="16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September 30, 2019</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312" w:lineRule="exact"/>
        <w:rPr>
          <w:sz w:val="24"/>
          <w:szCs w:val="24"/>
          <w:color w:val="auto"/>
        </w:rPr>
      </w:pPr>
    </w:p>
    <w:p>
      <w:pPr>
        <w:ind w:left="4180" w:right="2340" w:hanging="2902"/>
        <w:spacing w:after="0" w:line="297" w:lineRule="auto"/>
        <w:tabs>
          <w:tab w:leader="none" w:pos="1675" w:val="left"/>
        </w:tabs>
        <w:numPr>
          <w:ilvl w:val="0"/>
          <w:numId w:val="2"/>
        </w:numPr>
        <w:rPr>
          <w:rFonts w:ascii="MS PGothic" w:cs="MS PGothic" w:eastAsia="MS PGothic" w:hAnsi="MS PGothic"/>
          <w:sz w:val="22"/>
          <w:szCs w:val="22"/>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1300" w:type="dxa"/>
        <w:tblCellMar>
          <w:top w:w="0" w:type="dxa"/>
          <w:left w:w="0" w:type="dxa"/>
          <w:bottom w:w="0" w:type="dxa"/>
          <w:right w:w="0" w:type="dxa"/>
        </w:tblCellMar>
      </w:tblPr>
      <w:tr>
        <w:trPr>
          <w:trHeight w:val="336"/>
        </w:trPr>
        <w:tc>
          <w:tcPr>
            <w:tcW w:w="8340" w:type="dxa"/>
            <w:vAlign w:val="bottom"/>
            <w:gridSpan w:val="2"/>
          </w:tcPr>
          <w:p>
            <w:pPr>
              <w:jc w:val="center"/>
              <w:ind w:left="40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8340" w:type="dxa"/>
            <w:vAlign w:val="bottom"/>
            <w:gridSpan w:val="2"/>
          </w:tcPr>
          <w:p>
            <w:pPr>
              <w:jc w:val="center"/>
              <w:ind w:left="362"/>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4300" w:type="dxa"/>
            <w:vAlign w:val="bottom"/>
          </w:tcPr>
          <w:p>
            <w:pPr>
              <w:jc w:val="center"/>
              <w:ind w:right="1902"/>
              <w:spacing w:after="0"/>
              <w:rPr>
                <w:sz w:val="20"/>
                <w:szCs w:val="20"/>
                <w:color w:val="auto"/>
              </w:rPr>
            </w:pPr>
            <w:r>
              <w:rPr>
                <w:rFonts w:ascii="Arial" w:cs="Arial" w:eastAsia="Arial" w:hAnsi="Arial"/>
                <w:sz w:val="14"/>
                <w:szCs w:val="14"/>
                <w:b w:val="1"/>
                <w:bCs w:val="1"/>
                <w:color w:val="auto"/>
              </w:rPr>
              <w:t>Delaware</w:t>
            </w:r>
          </w:p>
        </w:tc>
        <w:tc>
          <w:tcPr>
            <w:tcW w:w="4040" w:type="dxa"/>
            <w:vAlign w:val="bottom"/>
          </w:tcPr>
          <w:p>
            <w:pPr>
              <w:jc w:val="right"/>
              <w:ind w:right="248"/>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4300" w:type="dxa"/>
            <w:vAlign w:val="bottom"/>
          </w:tcPr>
          <w:p>
            <w:pPr>
              <w:jc w:val="center"/>
              <w:ind w:right="1782"/>
              <w:spacing w:after="0"/>
              <w:rPr>
                <w:sz w:val="20"/>
                <w:szCs w:val="20"/>
                <w:color w:val="auto"/>
              </w:rPr>
            </w:pPr>
            <w:r>
              <w:rPr>
                <w:rFonts w:ascii="Arial" w:cs="Arial" w:eastAsia="Arial" w:hAnsi="Arial"/>
                <w:sz w:val="14"/>
                <w:szCs w:val="14"/>
                <w:i w:val="1"/>
                <w:iCs w:val="1"/>
                <w:color w:val="auto"/>
              </w:rPr>
              <w:t>(State or other jurisdiction of</w:t>
            </w:r>
          </w:p>
        </w:tc>
        <w:tc>
          <w:tcPr>
            <w:tcW w:w="4040" w:type="dxa"/>
            <w:vAlign w:val="bottom"/>
          </w:tcPr>
          <w:p>
            <w:pPr>
              <w:jc w:val="center"/>
              <w:ind w:left="254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4300" w:type="dxa"/>
            <w:vAlign w:val="bottom"/>
          </w:tcPr>
          <w:p>
            <w:pPr>
              <w:jc w:val="center"/>
              <w:ind w:right="1762"/>
              <w:spacing w:after="0"/>
              <w:rPr>
                <w:sz w:val="20"/>
                <w:szCs w:val="20"/>
                <w:color w:val="auto"/>
              </w:rPr>
            </w:pPr>
            <w:r>
              <w:rPr>
                <w:rFonts w:ascii="Arial" w:cs="Arial" w:eastAsia="Arial" w:hAnsi="Arial"/>
                <w:sz w:val="14"/>
                <w:szCs w:val="14"/>
                <w:i w:val="1"/>
                <w:iCs w:val="1"/>
                <w:color w:val="auto"/>
              </w:rPr>
              <w:t>incorporation or organization)</w:t>
            </w:r>
          </w:p>
        </w:tc>
        <w:tc>
          <w:tcPr>
            <w:tcW w:w="4040" w:type="dxa"/>
            <w:vAlign w:val="bottom"/>
          </w:tcPr>
          <w:p>
            <w:pPr>
              <w:jc w:val="center"/>
              <w:ind w:left="2568"/>
              <w:spacing w:after="0"/>
              <w:rPr>
                <w:sz w:val="20"/>
                <w:szCs w:val="20"/>
                <w:color w:val="auto"/>
              </w:rPr>
            </w:pPr>
            <w:r>
              <w:rPr>
                <w:rFonts w:ascii="Arial" w:cs="Arial" w:eastAsia="Arial" w:hAnsi="Arial"/>
                <w:sz w:val="14"/>
                <w:szCs w:val="14"/>
                <w:i w:val="1"/>
                <w:iCs w:val="1"/>
                <w:color w:val="auto"/>
              </w:rPr>
              <w:t>Identification Number)</w:t>
            </w:r>
          </w:p>
        </w:tc>
      </w:tr>
      <w:tr>
        <w:trPr>
          <w:trHeight w:val="270"/>
        </w:trPr>
        <w:tc>
          <w:tcPr>
            <w:tcW w:w="4300" w:type="dxa"/>
            <w:vAlign w:val="bottom"/>
          </w:tcPr>
          <w:p>
            <w:pPr>
              <w:jc w:val="center"/>
              <w:ind w:right="1902"/>
              <w:spacing w:after="0"/>
              <w:rPr>
                <w:sz w:val="20"/>
                <w:szCs w:val="20"/>
                <w:color w:val="auto"/>
              </w:rPr>
            </w:pPr>
            <w:r>
              <w:rPr>
                <w:rFonts w:ascii="Arial" w:cs="Arial" w:eastAsia="Arial" w:hAnsi="Arial"/>
                <w:sz w:val="14"/>
                <w:szCs w:val="14"/>
                <w:b w:val="1"/>
                <w:bCs w:val="1"/>
                <w:color w:val="auto"/>
              </w:rPr>
              <w:t>6 Sylvan Way</w:t>
            </w:r>
          </w:p>
        </w:tc>
        <w:tc>
          <w:tcPr>
            <w:tcW w:w="4040" w:type="dxa"/>
            <w:vAlign w:val="bottom"/>
          </w:tcPr>
          <w:p>
            <w:pPr>
              <w:spacing w:after="0"/>
              <w:rPr>
                <w:sz w:val="23"/>
                <w:szCs w:val="23"/>
                <w:color w:val="auto"/>
              </w:rPr>
            </w:pPr>
          </w:p>
        </w:tc>
      </w:tr>
      <w:tr>
        <w:trPr>
          <w:trHeight w:val="270"/>
        </w:trPr>
        <w:tc>
          <w:tcPr>
            <w:tcW w:w="4300" w:type="dxa"/>
            <w:vAlign w:val="bottom"/>
          </w:tcPr>
          <w:p>
            <w:pPr>
              <w:jc w:val="center"/>
              <w:ind w:right="1902"/>
              <w:spacing w:after="0"/>
              <w:rPr>
                <w:sz w:val="20"/>
                <w:szCs w:val="20"/>
                <w:color w:val="auto"/>
              </w:rPr>
            </w:pPr>
            <w:r>
              <w:rPr>
                <w:rFonts w:ascii="Arial" w:cs="Arial" w:eastAsia="Arial" w:hAnsi="Arial"/>
                <w:sz w:val="14"/>
                <w:szCs w:val="14"/>
                <w:b w:val="1"/>
                <w:bCs w:val="1"/>
                <w:color w:val="auto"/>
              </w:rPr>
              <w:t>Parsippany,  NJ</w:t>
            </w:r>
          </w:p>
        </w:tc>
        <w:tc>
          <w:tcPr>
            <w:tcW w:w="4040" w:type="dxa"/>
            <w:vAlign w:val="bottom"/>
          </w:tcPr>
          <w:p>
            <w:pPr>
              <w:jc w:val="right"/>
              <w:ind w:right="428"/>
              <w:spacing w:after="0"/>
              <w:rPr>
                <w:sz w:val="20"/>
                <w:szCs w:val="20"/>
                <w:color w:val="auto"/>
              </w:rPr>
            </w:pPr>
            <w:r>
              <w:rPr>
                <w:rFonts w:ascii="Arial" w:cs="Arial" w:eastAsia="Arial" w:hAnsi="Arial"/>
                <w:sz w:val="14"/>
                <w:szCs w:val="14"/>
                <w:b w:val="1"/>
                <w:bCs w:val="1"/>
                <w:color w:val="auto"/>
              </w:rPr>
              <w:t>07054</w:t>
            </w:r>
          </w:p>
        </w:tc>
      </w:tr>
      <w:tr>
        <w:trPr>
          <w:trHeight w:val="270"/>
        </w:trPr>
        <w:tc>
          <w:tcPr>
            <w:tcW w:w="4300" w:type="dxa"/>
            <w:vAlign w:val="bottom"/>
          </w:tcPr>
          <w:p>
            <w:pPr>
              <w:jc w:val="center"/>
              <w:ind w:right="1762"/>
              <w:spacing w:after="0"/>
              <w:rPr>
                <w:sz w:val="20"/>
                <w:szCs w:val="20"/>
                <w:color w:val="auto"/>
              </w:rPr>
            </w:pPr>
            <w:r>
              <w:rPr>
                <w:rFonts w:ascii="Arial" w:cs="Arial" w:eastAsia="Arial" w:hAnsi="Arial"/>
                <w:sz w:val="14"/>
                <w:szCs w:val="14"/>
                <w:i w:val="1"/>
                <w:iCs w:val="1"/>
                <w:color w:val="auto"/>
              </w:rPr>
              <w:t>(Address of principal executive offices)</w:t>
            </w:r>
          </w:p>
        </w:tc>
        <w:tc>
          <w:tcPr>
            <w:tcW w:w="4040" w:type="dxa"/>
            <w:vAlign w:val="bottom"/>
          </w:tcPr>
          <w:p>
            <w:pPr>
              <w:jc w:val="center"/>
              <w:ind w:left="2568"/>
              <w:spacing w:after="0"/>
              <w:rPr>
                <w:sz w:val="20"/>
                <w:szCs w:val="20"/>
                <w:color w:val="auto"/>
              </w:rPr>
            </w:pPr>
            <w:r>
              <w:rPr>
                <w:rFonts w:ascii="Arial" w:cs="Arial" w:eastAsia="Arial" w:hAnsi="Arial"/>
                <w:sz w:val="14"/>
                <w:szCs w:val="14"/>
                <w:i w:val="1"/>
                <w:iCs w:val="1"/>
                <w:color w:val="auto"/>
              </w:rPr>
              <w:t>(Zip Code)</w:t>
            </w:r>
          </w:p>
        </w:tc>
      </w:tr>
      <w:tr>
        <w:trPr>
          <w:trHeight w:val="270"/>
        </w:trPr>
        <w:tc>
          <w:tcPr>
            <w:tcW w:w="4300" w:type="dxa"/>
            <w:vAlign w:val="bottom"/>
          </w:tcPr>
          <w:p>
            <w:pPr>
              <w:jc w:val="right"/>
              <w:spacing w:after="0"/>
              <w:rPr>
                <w:sz w:val="20"/>
                <w:szCs w:val="20"/>
                <w:color w:val="auto"/>
              </w:rPr>
            </w:pPr>
            <w:r>
              <w:rPr>
                <w:rFonts w:ascii="Arial" w:cs="Arial" w:eastAsia="Arial" w:hAnsi="Arial"/>
                <w:sz w:val="14"/>
                <w:szCs w:val="14"/>
                <w:b w:val="1"/>
                <w:bCs w:val="1"/>
                <w:color w:val="auto"/>
              </w:rPr>
              <w:t>(973)</w:t>
            </w:r>
          </w:p>
        </w:tc>
        <w:tc>
          <w:tcPr>
            <w:tcW w:w="4040" w:type="dxa"/>
            <w:vAlign w:val="bottom"/>
          </w:tcPr>
          <w:p>
            <w:pPr>
              <w:jc w:val="right"/>
              <w:ind w:right="3308"/>
              <w:spacing w:after="0"/>
              <w:rPr>
                <w:sz w:val="20"/>
                <w:szCs w:val="20"/>
                <w:color w:val="auto"/>
              </w:rPr>
            </w:pPr>
            <w:r>
              <w:rPr>
                <w:rFonts w:ascii="Arial" w:cs="Arial" w:eastAsia="Arial" w:hAnsi="Arial"/>
                <w:sz w:val="14"/>
                <w:szCs w:val="14"/>
                <w:b w:val="1"/>
                <w:bCs w:val="1"/>
                <w:color w:val="auto"/>
              </w:rPr>
              <w:t>496-4700</w:t>
            </w:r>
          </w:p>
        </w:tc>
      </w:tr>
    </w:tbl>
    <w:p>
      <w:pPr>
        <w:spacing w:after="0" w:line="9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109"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380"/>
          </w:cols>
          <w:pgMar w:left="240" w:top="247" w:right="279" w:bottom="1440" w:gutter="0" w:footer="0" w:header="0"/>
        </w:sectPr>
      </w:pPr>
    </w:p>
    <w:p>
      <w:pPr>
        <w:spacing w:after="0" w:line="244" w:lineRule="exact"/>
        <w:rPr>
          <w:sz w:val="24"/>
          <w:szCs w:val="24"/>
          <w:color w:val="auto"/>
        </w:rPr>
      </w:pPr>
    </w:p>
    <w:p>
      <w:pPr>
        <w:jc w:val="center"/>
        <w:ind w:left="6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29" w:lineRule="exact"/>
        <w:rPr>
          <w:sz w:val="24"/>
          <w:szCs w:val="24"/>
          <w:color w:val="auto"/>
        </w:rPr>
      </w:pPr>
    </w:p>
    <w:p>
      <w:pPr>
        <w:sectPr>
          <w:pgSz w:w="11900" w:h="16838" w:orient="portrait"/>
          <w:cols w:equalWidth="0" w:num="6">
            <w:col w:w="3240" w:space="720"/>
            <w:col w:w="180" w:space="80"/>
            <w:col w:w="2060" w:space="720"/>
            <w:col w:w="180" w:space="80"/>
            <w:col w:w="2060" w:space="720"/>
            <w:col w:w="1340"/>
          </w:cols>
          <w:pgMar w:left="240" w:top="247" w:right="279" w:bottom="1440" w:gutter="0" w:footer="0" w:header="0"/>
          <w:type w:val="continuous"/>
        </w:sectPr>
      </w:pPr>
    </w:p>
    <w:p>
      <w:pPr>
        <w:spacing w:after="0" w:line="114" w:lineRule="exact"/>
        <w:rPr>
          <w:sz w:val="24"/>
          <w:szCs w:val="24"/>
          <w:color w:val="auto"/>
        </w:rPr>
      </w:pPr>
    </w:p>
    <w:p>
      <w:pPr>
        <w:ind w:left="118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94" w:lineRule="exact"/>
        <w:rPr>
          <w:sz w:val="24"/>
          <w:szCs w:val="24"/>
          <w:color w:val="auto"/>
        </w:rPr>
      </w:pPr>
    </w:p>
    <w:p>
      <w:pPr>
        <w:sectPr>
          <w:pgSz w:w="11900" w:h="16838" w:orient="portrait"/>
          <w:cols w:equalWidth="0" w:num="4">
            <w:col w:w="3240" w:space="720"/>
            <w:col w:w="180" w:space="80"/>
            <w:col w:w="2060" w:space="720"/>
            <w:col w:w="4380"/>
          </w:cols>
          <w:pgMar w:left="240" w:top="247" w:right="279" w:bottom="1440" w:gutter="0" w:footer="0" w:header="0"/>
          <w:type w:val="continuous"/>
        </w:sectPr>
      </w:pPr>
    </w:p>
    <w:p>
      <w:pPr>
        <w:spacing w:after="0" w:line="31" w:lineRule="exact"/>
        <w:rPr>
          <w:sz w:val="24"/>
          <w:szCs w:val="24"/>
          <w:color w:val="auto"/>
        </w:rPr>
      </w:pPr>
    </w:p>
    <w:p>
      <w:pPr>
        <w:ind w:right="4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380"/>
          </w:cols>
          <w:pgMar w:left="240" w:top="247" w:right="279" w:bottom="1440" w:gutter="0" w:footer="0" w:header="0"/>
          <w:type w:val="continuous"/>
        </w:sectPr>
      </w:pPr>
    </w:p>
    <w:p>
      <w:pPr>
        <w:spacing w:after="0" w:line="307" w:lineRule="exact"/>
        <w:rPr>
          <w:sz w:val="24"/>
          <w:szCs w:val="24"/>
          <w:color w:val="auto"/>
        </w:rPr>
      </w:pPr>
    </w:p>
    <w:p>
      <w:pPr>
        <w:jc w:val="center"/>
        <w:ind w:left="9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Name of each exchange on which</w:t>
      </w:r>
    </w:p>
    <w:p>
      <w:pPr>
        <w:spacing w:after="0" w:line="19"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registered</w:t>
      </w:r>
    </w:p>
    <w:p>
      <w:pPr>
        <w:spacing w:after="0" w:line="55" w:lineRule="exact"/>
        <w:rPr>
          <w:sz w:val="24"/>
          <w:szCs w:val="24"/>
          <w:color w:val="auto"/>
        </w:rPr>
      </w:pPr>
    </w:p>
    <w:p>
      <w:pPr>
        <w:sectPr>
          <w:pgSz w:w="11900" w:h="16838" w:orient="portrait"/>
          <w:cols w:equalWidth="0" w:num="3">
            <w:col w:w="4360" w:space="720"/>
            <w:col w:w="1840" w:space="720"/>
            <w:col w:w="3740"/>
          </w:cols>
          <w:pgMar w:left="240" w:top="247" w:right="279"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Common Stock, Par Value $0.01</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color w:val="auto"/>
        </w:rPr>
        <w:t>CAR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840" w:space="720"/>
            <w:col w:w="1380" w:space="720"/>
            <w:col w:w="3720"/>
          </w:cols>
          <w:pgMar w:left="240" w:top="247" w:right="27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73,825,376 shares as of October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80"/>
          </w:cols>
          <w:pgMar w:left="240" w:top="247"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1"/>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for the Three and Nine Months Ended September</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30, 2019 and 2018 (Unaudited)</w:t>
              </w:r>
            </w:hyperlink>
          </w:p>
        </w:tc>
        <w:tc>
          <w:tcPr>
            <w:tcW w:w="6620" w:type="dxa"/>
            <w:vAlign w:val="bottom"/>
            <w:tcBorders>
              <w:top w:val="single" w:sz="8" w:color="0000EE"/>
            </w:tcBorders>
            <w:gridSpan w:val="8"/>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as of September 30, 2019 and December 31, 2018 (Unaudited)</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Condensed Statements of Cash Flows for the Nine Months Ended September 30, 2019 and 2018</w:t>
              </w:r>
            </w:hyperlink>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8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72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8860" w:type="dxa"/>
            <w:vAlign w:val="bottom"/>
            <w:gridSpan w:val="16"/>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Consolidated Condensed Statements of Stockholders’ Equity for the Three and Nine Months Ended September</w:t>
              </w:r>
            </w:hyperlink>
          </w:p>
        </w:tc>
        <w:tc>
          <w:tcPr>
            <w:tcW w:w="700" w:type="dxa"/>
            <w:vAlign w:val="bottom"/>
            <w:gridSpan w:val="2"/>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183"/>
        </w:trPr>
        <w:tc>
          <w:tcPr>
            <w:tcW w:w="102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30, 2019 and 2018 (Unaudited)</w:t>
              </w:r>
            </w:hyperlink>
          </w:p>
        </w:tc>
        <w:tc>
          <w:tcPr>
            <w:tcW w:w="6360" w:type="dxa"/>
            <w:vAlign w:val="bottom"/>
            <w:tcBorders>
              <w:top w:val="single" w:sz="8" w:color="0000EE"/>
            </w:tcBorders>
            <w:gridSpan w:val="7"/>
          </w:tcPr>
          <w:p>
            <w:pPr>
              <w:spacing w:after="0"/>
              <w:rPr>
                <w:sz w:val="15"/>
                <w:szCs w:val="15"/>
                <w:color w:val="auto"/>
              </w:rPr>
            </w:pPr>
          </w:p>
        </w:tc>
        <w:tc>
          <w:tcPr>
            <w:tcW w:w="7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8"/>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10"/>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5"/>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8"/>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49</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7560" w:type="dxa"/>
            <w:vAlign w:val="bottom"/>
            <w:gridSpan w:val="10"/>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Legal Proceedings</w:t>
              </w:r>
            </w:hyperlink>
          </w:p>
        </w:tc>
        <w:tc>
          <w:tcPr>
            <w:tcW w:w="8060" w:type="dxa"/>
            <w:vAlign w:val="bottom"/>
            <w:gridSpan w:val="12"/>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8060" w:type="dxa"/>
            <w:vAlign w:val="bottom"/>
            <w:gridSpan w:val="12"/>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1"/>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Unregistered Sales of Equity Securities and Use of Proceeds</w:t>
              </w:r>
            </w:hyperlink>
          </w:p>
        </w:tc>
        <w:tc>
          <w:tcPr>
            <w:tcW w:w="470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9"/>
            <w:shd w:val="clear" w:color="auto" w:fill="0000EE"/>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54">
              <w:r>
                <w:rPr>
                  <w:rFonts w:ascii="Arial" w:cs="Arial" w:eastAsia="Arial" w:hAnsi="Arial"/>
                  <w:sz w:val="18"/>
                  <w:szCs w:val="18"/>
                  <w:color w:val="0000FF"/>
                  <w:w w:val="98"/>
                </w:rPr>
                <w:t>Exhibits</w:t>
              </w:r>
            </w:hyperlink>
          </w:p>
        </w:tc>
        <w:tc>
          <w:tcPr>
            <w:tcW w:w="4220" w:type="dxa"/>
            <w:vAlign w:val="bottom"/>
            <w:gridSpan w:val="10"/>
          </w:tcPr>
          <w:p>
            <w:pPr>
              <w:spacing w:after="0"/>
              <w:rPr>
                <w:sz w:val="20"/>
                <w:szCs w:val="20"/>
                <w:color w:val="auto"/>
              </w:rPr>
            </w:pPr>
          </w:p>
        </w:tc>
        <w:tc>
          <w:tcPr>
            <w:tcW w:w="470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8"/>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51</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9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travel demand, including changes or disruptions in airline passenger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civil unrest or political instability in the locations in which we operate;</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right="24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01" w:lineRule="exact"/>
        <w:rPr>
          <w:rFonts w:ascii="Arial" w:cs="Arial" w:eastAsia="Arial" w:hAnsi="Arial"/>
          <w:sz w:val="18"/>
          <w:szCs w:val="18"/>
          <w:color w:val="auto"/>
        </w:rPr>
      </w:pPr>
    </w:p>
    <w:p>
      <w:pPr>
        <w:jc w:val="both"/>
        <w:ind w:left="660" w:right="220" w:hanging="328"/>
        <w:spacing w:after="0" w:line="27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18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contractors;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and our ability to incur substantially more debt;</w:t>
      </w:r>
    </w:p>
    <w:p>
      <w:pPr>
        <w:spacing w:after="0" w:line="196"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 and</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2018 Annual Report on Form 10-K filed with the Securities and Exchange Commission on February 21, 2019 (the “2018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21"/>
                <w:szCs w:val="21"/>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7"/>
        </w:trPr>
        <w:tc>
          <w:tcPr>
            <w:tcW w:w="55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554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55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138"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December 31, 2018</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86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2,147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4"/>
                <w:szCs w:val="24"/>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Other intangibles, net</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83"/>
        </w:trPr>
        <w:tc>
          <w:tcPr>
            <w:tcW w:w="78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8,720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6,370</w:t>
            </w:r>
          </w:p>
        </w:tc>
        <w:tc>
          <w:tcPr>
            <w:tcW w:w="0" w:type="dxa"/>
            <w:vAlign w:val="bottom"/>
          </w:tcPr>
          <w:p>
            <w:pPr>
              <w:spacing w:after="0"/>
              <w:rPr>
                <w:sz w:val="1"/>
                <w:szCs w:val="1"/>
                <w:color w:val="auto"/>
              </w:rPr>
            </w:pPr>
          </w:p>
        </w:tc>
      </w:tr>
      <w:tr>
        <w:trPr>
          <w:trHeight w:val="413"/>
        </w:trPr>
        <w:tc>
          <w:tcPr>
            <w:tcW w:w="786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200" w:type="dxa"/>
            <w:vAlign w:val="bottom"/>
          </w:tcPr>
          <w:p>
            <w:pPr>
              <w:spacing w:after="0"/>
              <w:rPr>
                <w:sz w:val="24"/>
                <w:szCs w:val="24"/>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12,752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11,474</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14,388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12,779</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23,108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7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Accounts payable and other current liabilities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4"/>
                <w:szCs w:val="24"/>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8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8,392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6,011</w:t>
            </w:r>
          </w:p>
        </w:tc>
        <w:tc>
          <w:tcPr>
            <w:tcW w:w="0" w:type="dxa"/>
            <w:vAlign w:val="bottom"/>
          </w:tcPr>
          <w:p>
            <w:pPr>
              <w:spacing w:after="0"/>
              <w:rPr>
                <w:sz w:val="1"/>
                <w:szCs w:val="1"/>
                <w:color w:val="auto"/>
              </w:rPr>
            </w:pPr>
          </w:p>
        </w:tc>
      </w:tr>
      <w:tr>
        <w:trPr>
          <w:trHeight w:val="413"/>
        </w:trPr>
        <w:tc>
          <w:tcPr>
            <w:tcW w:w="786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Debt</w:t>
            </w:r>
          </w:p>
        </w:tc>
        <w:tc>
          <w:tcPr>
            <w:tcW w:w="200" w:type="dxa"/>
            <w:vAlign w:val="bottom"/>
          </w:tcPr>
          <w:p>
            <w:pPr>
              <w:spacing w:after="0"/>
              <w:rPr>
                <w:sz w:val="24"/>
                <w:szCs w:val="24"/>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3,722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Debt due to Avis Budget Rental Car Funding (AESOP) LLC—related party</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7,870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14,221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Preferred stock, $0.01 par value—authorized 10 shares; none issued and outstanding, respectively</w:t>
            </w:r>
          </w:p>
        </w:tc>
        <w:tc>
          <w:tcPr>
            <w:tcW w:w="20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Common stock, $0.01 par value—authorized 250 shares; issued 137 shares, respectively</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6,735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6,771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Treasury stock, at cost—63 and 61 shares, respectively</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23,108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4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1,536</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loss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2,095</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(10,079)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6,752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46"/>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8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1"/>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Payments on long-term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change in short-term borrowings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Debt financing fees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13,371</w:t>
            </w:r>
          </w:p>
        </w:tc>
      </w:tr>
      <w:tr>
        <w:trPr>
          <w:trHeight w:val="27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(11,727)</w:t>
            </w:r>
          </w:p>
        </w:tc>
      </w:tr>
      <w:tr>
        <w:trPr>
          <w:trHeight w:val="277"/>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1,625</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1,454</w:t>
            </w:r>
          </w:p>
        </w:tc>
      </w:tr>
      <w:tr>
        <w:trPr>
          <w:trHeight w:val="54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54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r>
      <w:tr>
        <w:trPr>
          <w:trHeight w:val="20"/>
        </w:trPr>
        <w:tc>
          <w:tcPr>
            <w:tcW w:w="1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1440" w:gutter="0" w:footer="0" w:header="0"/>
          <w:type w:val="continuous"/>
        </w:sectPr>
      </w:pPr>
    </w:p>
    <w:bookmarkStart w:id="9" w:name="page10"/>
    <w:bookmarkEnd w:id="9"/>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60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 Other</w:t>
            </w:r>
          </w:p>
        </w:tc>
        <w:tc>
          <w:tcPr>
            <w:tcW w:w="1680" w:type="dxa"/>
            <w:vAlign w:val="bottom"/>
            <w:gridSpan w:val="5"/>
          </w:tcPr>
          <w:p>
            <w:pPr>
              <w:ind w:left="42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6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Additional Paid-in</w:t>
            </w: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96"/>
              </w:rPr>
              <w:t>Comprehensive Income</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jc w:val="center"/>
              <w:ind w:right="46"/>
              <w:spacing w:after="0" w:line="100" w:lineRule="exact"/>
              <w:rPr>
                <w:sz w:val="20"/>
                <w:szCs w:val="20"/>
                <w:color w:val="auto"/>
              </w:rPr>
            </w:pPr>
            <w:r>
              <w:rPr>
                <w:rFonts w:ascii="Arial" w:cs="Arial" w:eastAsia="Arial" w:hAnsi="Arial"/>
                <w:sz w:val="11"/>
                <w:szCs w:val="11"/>
                <w:b w:val="1"/>
                <w:bCs w:val="1"/>
                <w:color w:val="auto"/>
                <w:w w:val="97"/>
              </w:rPr>
              <w:t>Total Stockholders’</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June 30, 2019</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00" w:type="dxa"/>
            <w:vAlign w:val="bottom"/>
            <w:vMerge w:val="continue"/>
          </w:tcPr>
          <w:p>
            <w:pPr>
              <w:spacing w:after="0"/>
              <w:rPr>
                <w:sz w:val="19"/>
                <w:szCs w:val="19"/>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6,723</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(1,116)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19"/>
                <w:szCs w:val="19"/>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(5,093)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376</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189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Option premiums settled</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Activity related to employee stock purchase plan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September 30, 2019</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6,735</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(927)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(173)</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(63.1)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(5,141)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495</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June 30, 2018</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600" w:type="dxa"/>
            <w:vAlign w:val="bottom"/>
            <w:vMerge w:val="continue"/>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4"/>
                <w:szCs w:val="24"/>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6,779</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(1,316)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(57.4)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(5,020)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372</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213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Activity related to employee stock purchase plan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September 30, 2018</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6,766</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(1,103)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(59.1)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(5,065)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521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600" w:type="dxa"/>
            <w:vAlign w:val="bottom"/>
          </w:tcPr>
          <w:p>
            <w:pPr>
              <w:spacing w:after="0"/>
              <w:rPr>
                <w:sz w:val="24"/>
                <w:szCs w:val="24"/>
                <w:color w:val="auto"/>
              </w:rPr>
            </w:pPr>
          </w:p>
        </w:tc>
        <w:tc>
          <w:tcPr>
            <w:tcW w:w="1780" w:type="dxa"/>
            <w:vAlign w:val="bottom"/>
            <w:gridSpan w:val="5"/>
          </w:tcPr>
          <w:p>
            <w:pPr>
              <w:ind w:left="44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 Other</w:t>
            </w:r>
          </w:p>
        </w:tc>
        <w:tc>
          <w:tcPr>
            <w:tcW w:w="1680" w:type="dxa"/>
            <w:vAlign w:val="bottom"/>
            <w:gridSpan w:val="5"/>
          </w:tcPr>
          <w:p>
            <w:pPr>
              <w:ind w:left="42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6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Additional Paid-in</w:t>
            </w: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96"/>
              </w:rPr>
              <w:t>Comprehensive Income</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jc w:val="center"/>
              <w:ind w:right="46"/>
              <w:spacing w:after="0" w:line="100" w:lineRule="exact"/>
              <w:rPr>
                <w:sz w:val="20"/>
                <w:szCs w:val="20"/>
                <w:color w:val="auto"/>
              </w:rPr>
            </w:pPr>
            <w:r>
              <w:rPr>
                <w:rFonts w:ascii="Arial" w:cs="Arial" w:eastAsia="Arial" w:hAnsi="Arial"/>
                <w:sz w:val="11"/>
                <w:szCs w:val="11"/>
                <w:b w:val="1"/>
                <w:bCs w:val="1"/>
                <w:color w:val="auto"/>
                <w:w w:val="97"/>
              </w:rPr>
              <w:t>Total Stockholders’</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2018</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00" w:type="dxa"/>
            <w:vAlign w:val="bottom"/>
            <w:vMerge w:val="continue"/>
          </w:tcPr>
          <w:p>
            <w:pPr>
              <w:spacing w:after="0"/>
              <w:rPr>
                <w:sz w:val="19"/>
                <w:szCs w:val="19"/>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6,771</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(1,091)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9"/>
                <w:szCs w:val="19"/>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(5,134)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414</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119</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Activity related to employee stock purchase plan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September 30, 2019</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6,735</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(927)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(173)</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(63.1)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(5,141)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495</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2017</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600" w:type="dxa"/>
            <w:vAlign w:val="bottom"/>
            <w:vMerge w:val="continue"/>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4"/>
                <w:szCs w:val="24"/>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6,820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(1,222)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(56.3)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(5,002)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573</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Activity related to employee stock purchase plan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91440</wp:posOffset>
            </wp:positionV>
            <wp:extent cx="5574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at September 30, 2018</w:t>
      </w:r>
    </w:p>
    <w:p>
      <w:pPr>
        <w:sectPr>
          <w:pgSz w:w="11900" w:h="16901" w:orient="portrait"/>
          <w:cols w:equalWidth="0" w:num="1">
            <w:col w:w="11420"/>
          </w:cols>
          <w:pgMar w:left="240" w:top="140" w:right="239" w:bottom="0" w:gutter="0" w:footer="0" w:header="0"/>
        </w:sectPr>
      </w:pPr>
    </w:p>
    <w:bookmarkStart w:id="10" w:name="page11"/>
    <w:bookmarkEnd w:id="10"/>
    <w:p>
      <w:pPr>
        <w:ind w:left="1760"/>
        <w:spacing w:after="0"/>
        <w:tabs>
          <w:tab w:leader="none" w:pos="2280" w:val="left"/>
          <w:tab w:leader="none" w:pos="2880" w:val="left"/>
          <w:tab w:leader="none" w:pos="3220" w:val="left"/>
          <w:tab w:leader="none" w:pos="3960" w:val="left"/>
          <w:tab w:leader="none" w:pos="4500" w:val="left"/>
          <w:tab w:leader="none" w:pos="5300" w:val="left"/>
          <w:tab w:leader="none" w:pos="5860" w:val="left"/>
          <w:tab w:leader="none" w:pos="6920" w:val="left"/>
          <w:tab w:leader="none" w:pos="7600" w:val="left"/>
          <w:tab w:leader="none" w:pos="8100" w:val="left"/>
          <w:tab w:leader="none" w:pos="8440" w:val="left"/>
          <w:tab w:leader="none" w:pos="8980" w:val="left"/>
          <w:tab w:leader="none" w:pos="9920" w:val="left"/>
        </w:tabs>
        <w:rPr>
          <w:sz w:val="20"/>
          <w:szCs w:val="20"/>
          <w:color w:val="auto"/>
        </w:rPr>
      </w:pPr>
      <w:r>
        <w:rPr>
          <w:rFonts w:ascii="Arial" w:cs="Arial" w:eastAsia="Arial" w:hAnsi="Arial"/>
          <w:sz w:val="11"/>
          <w:szCs w:val="11"/>
          <w:color w:val="auto"/>
        </w:rPr>
        <w:t>137.1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6,766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(1,103)</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(78)</w:t>
      </w:r>
      <w:r>
        <w:rPr>
          <w:sz w:val="20"/>
          <w:szCs w:val="20"/>
          <w:color w:val="auto"/>
        </w:rPr>
        <w:tab/>
      </w:r>
      <w:r>
        <w:rPr>
          <w:rFonts w:ascii="Arial" w:cs="Arial" w:eastAsia="Arial" w:hAnsi="Arial"/>
          <w:sz w:val="11"/>
          <w:szCs w:val="11"/>
          <w:color w:val="auto"/>
        </w:rPr>
        <w:t>(59.1)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(5,065)</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66675</wp:posOffset>
            </wp:positionV>
            <wp:extent cx="55740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26035"/>
                    </a:xfrm>
                    <a:prstGeom prst="rect">
                      <a:avLst/>
                    </a:prstGeom>
                    <a:noFill/>
                  </pic:spPr>
                </pic:pic>
              </a:graphicData>
            </a:graphic>
          </wp:anchor>
        </w:drawing>
      </w:r>
    </w:p>
    <w:p>
      <w:pPr>
        <w:sectPr>
          <w:pgSz w:w="11900" w:h="16838" w:orient="portrait"/>
          <w:cols w:equalWidth="0" w:num="1">
            <w:col w:w="10120"/>
          </w:cols>
          <w:pgMar w:left="1440" w:top="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See Notes to Consolidated Condensed Financial Statements (Unaudited).</w:t>
      </w:r>
    </w:p>
    <w:p>
      <w:pPr>
        <w:spacing w:after="0" w:line="2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138"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300"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 The Company operates the following reportable business segments:</w:t>
      </w:r>
    </w:p>
    <w:p>
      <w:pPr>
        <w:spacing w:after="0" w:line="142" w:lineRule="exact"/>
        <w:rPr>
          <w:rFonts w:ascii="Arial" w:cs="Arial" w:eastAsia="Arial" w:hAnsi="Arial"/>
          <w:sz w:val="18"/>
          <w:szCs w:val="18"/>
          <w:b w:val="1"/>
          <w:bCs w:val="1"/>
          <w:color w:val="auto"/>
        </w:rPr>
      </w:pPr>
    </w:p>
    <w:p>
      <w:pPr>
        <w:ind w:left="1300" w:right="22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8" w:lineRule="exact"/>
        <w:rPr>
          <w:rFonts w:ascii="Arial" w:cs="Arial" w:eastAsia="Arial" w:hAnsi="Arial"/>
          <w:sz w:val="18"/>
          <w:szCs w:val="18"/>
          <w:color w:val="auto"/>
        </w:rPr>
      </w:pPr>
    </w:p>
    <w:p>
      <w:pPr>
        <w:ind w:left="1300" w:right="12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the Company does not operate directly.</w:t>
      </w:r>
    </w:p>
    <w:p>
      <w:pPr>
        <w:spacing w:after="0" w:line="190"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the Company’s third quarter 2018 acquisition of Morini S.p.A. and various licensees in Europe and North America were not material. The fair value of the assets acquired and liabilities assumed in connection with the Company’s fourth quarter 2018 acquisition of Turiscar Group has not yet been finalized; however, there have been no significant changes to the preliminary allocation of the purchase price during the nine months ended September 30, 2019.</w:t>
      </w:r>
    </w:p>
    <w:p>
      <w:pPr>
        <w:spacing w:after="0" w:line="209"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2018 Form 10-K.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7" w:lineRule="exact"/>
        <w:rPr>
          <w:sz w:val="20"/>
          <w:szCs w:val="20"/>
          <w:color w:val="auto"/>
        </w:rPr>
      </w:pPr>
    </w:p>
    <w:p>
      <w:pPr>
        <w:ind w:left="500" w:right="700"/>
        <w:spacing w:after="0" w:line="26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Company’s Annual Report on Form 10-K for fiscal year 2018.</w:t>
      </w:r>
    </w:p>
    <w:p>
      <w:pPr>
        <w:spacing w:after="0" w:line="178" w:lineRule="exact"/>
        <w:rPr>
          <w:sz w:val="20"/>
          <w:szCs w:val="20"/>
          <w:color w:val="auto"/>
        </w:rPr>
      </w:pPr>
    </w:p>
    <w:p>
      <w:pPr>
        <w:ind w:left="500" w:right="320"/>
        <w:spacing w:after="0" w:line="266"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13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780" w:type="dxa"/>
            <w:vAlign w:val="bottom"/>
          </w:tcPr>
          <w:p>
            <w:pPr>
              <w:spacing w:after="0"/>
              <w:rPr>
                <w:sz w:val="21"/>
                <w:szCs w:val="21"/>
                <w:color w:val="auto"/>
              </w:rPr>
            </w:pPr>
          </w:p>
        </w:tc>
        <w:tc>
          <w:tcPr>
            <w:tcW w:w="2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As of September 30,</w:t>
            </w:r>
          </w:p>
        </w:tc>
        <w:tc>
          <w:tcPr>
            <w:tcW w:w="440" w:type="dxa"/>
            <w:vAlign w:val="bottom"/>
            <w:tcBorders>
              <w:bottom w:val="single" w:sz="8" w:color="auto"/>
            </w:tcBorders>
          </w:tcPr>
          <w:p>
            <w:pPr>
              <w:spacing w:after="0"/>
              <w:rPr>
                <w:sz w:val="21"/>
                <w:szCs w:val="21"/>
                <w:color w:val="auto"/>
              </w:rPr>
            </w:pPr>
          </w:p>
        </w:tc>
      </w:tr>
      <w:tr>
        <w:trPr>
          <w:trHeight w:val="264"/>
        </w:trPr>
        <w:tc>
          <w:tcPr>
            <w:tcW w:w="67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Program cash</w:t>
            </w: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7"/>
        </w:trPr>
        <w:tc>
          <w:tcPr>
            <w:tcW w:w="678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auto"/>
                <w:vertAlign w:val="superscript"/>
              </w:rPr>
              <w:t>(a)</w:t>
            </w: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8890</wp:posOffset>
            </wp:positionV>
            <wp:extent cx="18180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09" w:lineRule="auto"/>
        <w:tabs>
          <w:tab w:leader="none" w:pos="8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40"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84" w:lineRule="exact"/>
        <w:rPr>
          <w:sz w:val="20"/>
          <w:szCs w:val="20"/>
          <w:color w:val="auto"/>
        </w:rPr>
      </w:pPr>
    </w:p>
    <w:p>
      <w:pPr>
        <w:ind w:left="500" w:right="20"/>
        <w:spacing w:after="0" w:line="281" w:lineRule="auto"/>
        <w:rPr>
          <w:sz w:val="20"/>
          <w:szCs w:val="20"/>
          <w:color w:val="auto"/>
        </w:rPr>
      </w:pPr>
      <w:r>
        <w:rPr>
          <w:rFonts w:ascii="Arial" w:cs="Arial" w:eastAsia="Arial" w:hAnsi="Arial"/>
          <w:sz w:val="17"/>
          <w:szCs w:val="17"/>
          <w:i w:val="1"/>
          <w:iCs w:val="1"/>
          <w:color w:val="auto"/>
        </w:rPr>
        <w:t xml:space="preserve">Currency Transactions. </w:t>
      </w:r>
      <w:r>
        <w:rPr>
          <w:rFonts w:ascii="Arial" w:cs="Arial" w:eastAsia="Arial" w:hAnsi="Arial"/>
          <w:sz w:val="17"/>
          <w:szCs w:val="17"/>
          <w:color w:val="auto"/>
        </w:rPr>
        <w:t>The Company records the gain or loss on foreign-currency transactions on certain intercompany loans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gain or loss on intercompany loan hedges within interest expense related to corporate debt, net. During the three months ended September 30, 2019 and 2018, the Company recorded an immaterial amount, in each period, and during the nine months ended September 30, 2019 and 2018, the Company recorded a gain of $3 million and an immaterial amount, respectively, related to such items.</w:t>
      </w:r>
    </w:p>
    <w:p>
      <w:pPr>
        <w:spacing w:after="0" w:line="165"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2018, the Company entered into a definitive stock purchase agreement to sell its 50% equity method investment in Anji</w:t>
      </w:r>
      <w:r>
        <w:rPr>
          <w:rFonts w:ascii="Arial" w:cs="Arial" w:eastAsia="Arial" w:hAnsi="Arial"/>
          <w:sz w:val="18"/>
          <w:szCs w:val="18"/>
          <w:i w:val="1"/>
          <w:iCs w:val="1"/>
          <w:color w:val="auto"/>
        </w:rPr>
        <w:t xml:space="preserve"> </w:t>
      </w:r>
      <w:r>
        <w:rPr>
          <w:rFonts w:ascii="Arial" w:cs="Arial" w:eastAsia="Arial" w:hAnsi="Arial"/>
          <w:sz w:val="18"/>
          <w:szCs w:val="18"/>
          <w:color w:val="auto"/>
        </w:rPr>
        <w:t>Car Rental &amp; Leasing Company Limited (“Anji”), located in China, to Shanghai Automotive Industry Sales Company, Ltd., a 50% owner of Anji. Upon receiving clearance from applicable regulatory authorities in China during the second quarter of 2019, the Company completed the sale for $64 million, net of cross-border withholding taxes and recorded a $44 million gain within operating expenses. Anji’s operations are reported within the Company’s International segment.</w:t>
      </w:r>
    </w:p>
    <w:p>
      <w:pPr>
        <w:spacing w:after="0" w:line="184" w:lineRule="exact"/>
        <w:rPr>
          <w:sz w:val="20"/>
          <w:szCs w:val="20"/>
          <w:color w:val="auto"/>
        </w:rPr>
      </w:pPr>
    </w:p>
    <w:p>
      <w:pPr>
        <w:ind w:left="500" w:right="280"/>
        <w:spacing w:after="0" w:line="258"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As of September 30, 2019 and December 31, 2018, the Company had equity method investments with a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$52 million and $48 million respectively, which are recorded within other non-current assets. Earnings from the Company’s equity method investments are reported within operating expenses. For the three months ended September 30, 2019 and 2018, the Company recorded income of $5 million and $7 million, respectively, related to its equity method investments, and for the nine months ended September 30, 2019 and 2018, the Company recorded $9 million and $7 million, respectively.</w:t>
      </w:r>
    </w:p>
    <w:p>
      <w:pPr>
        <w:spacing w:after="0" w:line="184" w:lineRule="exact"/>
        <w:rPr>
          <w:sz w:val="20"/>
          <w:szCs w:val="20"/>
          <w:color w:val="auto"/>
        </w:rPr>
      </w:pPr>
    </w:p>
    <w:p>
      <w:pPr>
        <w:ind w:left="500" w:right="20"/>
        <w:spacing w:after="0" w:line="258" w:lineRule="auto"/>
        <w:rPr>
          <w:sz w:val="20"/>
          <w:szCs w:val="20"/>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As of September 30, 2019 and December 31, 2018, the Company had nonmarketable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carrying value of $ 8 million, in each period, which are recorded within other non-current assets. During the nine months ended September 30, 2019, the Company realized a $12 million gain from the sale of a nonmarketable equity security which is recorded within operating expenses. No adjustments were made to the carrying amounts during the three months ended September 30, 2019 and 2018, and during the nine months ended September 30, 2018.</w:t>
      </w:r>
    </w:p>
    <w:p>
      <w:pPr>
        <w:spacing w:after="0" w:line="184" w:lineRule="exact"/>
        <w:rPr>
          <w:sz w:val="20"/>
          <w:szCs w:val="20"/>
          <w:color w:val="auto"/>
        </w:rPr>
      </w:pPr>
    </w:p>
    <w:p>
      <w:pPr>
        <w:ind w:left="500" w:right="20"/>
        <w:spacing w:after="0" w:line="258"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From January 1, 2018 through December 31, 2018, the Company’s revenues were recognized in accordance with ASU 2014-09, “Revenue from Contracts with Customers (Topic 606).” Effective January 1, 2019, revenues are recognized under ASU 2016-02, “Leases (Topic 842),” with the exception of royalty fee revenue derived from the Company’s licensees and revenue related to the Company’s customer loyalty program, which were approximately $40 million and $103 million during the three and nine months ended September 30, 2019, respectively. The following table presents the Company’s revenues disaggregated by geography.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0"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5"/>
        </w:trPr>
        <w:tc>
          <w:tcPr>
            <w:tcW w:w="14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28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14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2018</w:t>
            </w:r>
          </w:p>
        </w:tc>
      </w:tr>
      <w:tr>
        <w:trPr>
          <w:trHeight w:val="243"/>
        </w:trPr>
        <w:tc>
          <w:tcPr>
            <w:tcW w:w="386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10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21"/>
                <w:szCs w:val="21"/>
                <w:color w:val="auto"/>
              </w:rPr>
            </w:pP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4,782</w:t>
            </w:r>
          </w:p>
        </w:tc>
      </w:tr>
      <w:tr>
        <w:trPr>
          <w:trHeight w:val="270"/>
        </w:trPr>
        <w:tc>
          <w:tcPr>
            <w:tcW w:w="3860" w:type="dxa"/>
            <w:vAlign w:val="bottom"/>
            <w:gridSpan w:val="2"/>
          </w:tcPr>
          <w:p>
            <w:pPr>
              <w:ind w:left="52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1,830</w:t>
            </w:r>
          </w:p>
        </w:tc>
      </w:tr>
      <w:tr>
        <w:trPr>
          <w:trHeight w:val="277"/>
        </w:trPr>
        <w:tc>
          <w:tcPr>
            <w:tcW w:w="3860" w:type="dxa"/>
            <w:vAlign w:val="bottom"/>
            <w:gridSpan w:val="2"/>
          </w:tcPr>
          <w:p>
            <w:pPr>
              <w:ind w:left="520"/>
              <w:spacing w:after="0"/>
              <w:rPr>
                <w:sz w:val="20"/>
                <w:szCs w:val="20"/>
                <w:color w:val="auto"/>
              </w:rPr>
            </w:pPr>
            <w:r>
              <w:rPr>
                <w:rFonts w:ascii="Arial" w:cs="Arial" w:eastAsia="Arial" w:hAnsi="Arial"/>
                <w:sz w:val="18"/>
                <w:szCs w:val="18"/>
                <w:color w:val="auto"/>
              </w:rPr>
              <w:t>Asia and Australasia</w:t>
            </w: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r>
      <w:tr>
        <w:trPr>
          <w:trHeight w:val="257"/>
        </w:trPr>
        <w:tc>
          <w:tcPr>
            <w:tcW w:w="3860" w:type="dxa"/>
            <w:vAlign w:val="bottom"/>
            <w:gridSpan w:val="2"/>
          </w:tcPr>
          <w:p>
            <w:pPr>
              <w:ind w:left="52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7,074</w:t>
            </w:r>
          </w:p>
        </w:tc>
      </w:tr>
      <w:tr>
        <w:trPr>
          <w:trHeight w:val="20"/>
        </w:trPr>
        <w:tc>
          <w:tcPr>
            <w:tcW w:w="1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8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334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64"/>
        </w:trPr>
        <w:tc>
          <w:tcPr>
            <w:tcW w:w="33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Avis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4,095</w:t>
            </w: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Budget</w:t>
            </w:r>
          </w:p>
        </w:tc>
        <w:tc>
          <w:tcPr>
            <w:tcW w:w="10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2,372</w:t>
            </w:r>
          </w:p>
        </w:tc>
      </w:tr>
      <w:tr>
        <w:trPr>
          <w:trHeight w:val="277"/>
        </w:trPr>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w:t>
            </w: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Total revenues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2"/>
                <w:szCs w:val="22"/>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0</wp:posOffset>
            </wp:positionV>
            <wp:extent cx="44335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33570" cy="26035"/>
                    </a:xfrm>
                    <a:prstGeom prst="rect">
                      <a:avLst/>
                    </a:prstGeom>
                    <a:noFill/>
                  </pic:spPr>
                </pic:pic>
              </a:graphicData>
            </a:graphic>
          </wp:anchor>
        </w:drawing>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The following table presents changes in deferred revenue associated with the Company’s customer loyalty program.</w:t>
      </w:r>
    </w:p>
    <w:p>
      <w:pPr>
        <w:spacing w:after="0" w:line="179" w:lineRule="exact"/>
        <w:rPr>
          <w:sz w:val="20"/>
          <w:szCs w:val="20"/>
          <w:color w:val="auto"/>
        </w:rPr>
      </w:pPr>
    </w:p>
    <w:tbl>
      <w:tblPr>
        <w:tblLayout w:type="fixed"/>
        <w:tblInd w:w="820" w:type="dxa"/>
        <w:tblCellMar>
          <w:top w:w="0" w:type="dxa"/>
          <w:left w:w="0" w:type="dxa"/>
          <w:bottom w:w="0" w:type="dxa"/>
          <w:right w:w="0" w:type="dxa"/>
        </w:tblCellMar>
      </w:tblPr>
      <w:tr>
        <w:trPr>
          <w:trHeight w:val="239"/>
        </w:trPr>
        <w:tc>
          <w:tcPr>
            <w:tcW w:w="6460" w:type="dxa"/>
            <w:vAlign w:val="bottom"/>
          </w:tcPr>
          <w:p>
            <w:pPr>
              <w:spacing w:after="0"/>
              <w:rPr>
                <w:sz w:val="20"/>
                <w:szCs w:val="20"/>
                <w:color w:val="auto"/>
              </w:rPr>
            </w:pPr>
          </w:p>
        </w:tc>
        <w:tc>
          <w:tcPr>
            <w:tcW w:w="34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380" w:type="dxa"/>
            <w:vAlign w:val="bottom"/>
          </w:tcPr>
          <w:p>
            <w:pPr>
              <w:spacing w:after="0"/>
              <w:rPr>
                <w:sz w:val="20"/>
                <w:szCs w:val="20"/>
                <w:color w:val="auto"/>
              </w:rPr>
            </w:pPr>
          </w:p>
        </w:tc>
      </w:tr>
      <w:tr>
        <w:trPr>
          <w:trHeight w:val="27"/>
        </w:trPr>
        <w:tc>
          <w:tcPr>
            <w:tcW w:w="64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7"/>
        </w:trPr>
        <w:tc>
          <w:tcPr>
            <w:tcW w:w="6460" w:type="dxa"/>
            <w:vAlign w:val="bottom"/>
          </w:tcPr>
          <w:p>
            <w:pPr>
              <w:spacing w:after="0"/>
              <w:rPr>
                <w:sz w:val="22"/>
                <w:szCs w:val="22"/>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2"/>
                <w:szCs w:val="22"/>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Balance, January 1</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6460" w:type="dxa"/>
            <w:vAlign w:val="bottom"/>
          </w:tcPr>
          <w:p>
            <w:pPr>
              <w:ind w:left="240"/>
              <w:spacing w:after="0"/>
              <w:rPr>
                <w:sz w:val="20"/>
                <w:szCs w:val="20"/>
                <w:color w:val="auto"/>
              </w:rPr>
            </w:pPr>
            <w:r>
              <w:rPr>
                <w:rFonts w:ascii="Arial" w:cs="Arial" w:eastAsia="Arial" w:hAnsi="Arial"/>
                <w:sz w:val="18"/>
                <w:szCs w:val="18"/>
                <w:color w:val="auto"/>
              </w:rPr>
              <w:t>Revenue deferred</w:t>
            </w:r>
          </w:p>
        </w:tc>
        <w:tc>
          <w:tcPr>
            <w:tcW w:w="13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7"/>
        </w:trPr>
        <w:tc>
          <w:tcPr>
            <w:tcW w:w="6460" w:type="dxa"/>
            <w:vAlign w:val="bottom"/>
          </w:tcPr>
          <w:p>
            <w:pPr>
              <w:ind w:left="240"/>
              <w:spacing w:after="0"/>
              <w:rPr>
                <w:sz w:val="20"/>
                <w:szCs w:val="20"/>
                <w:color w:val="auto"/>
              </w:rPr>
            </w:pPr>
            <w:r>
              <w:rPr>
                <w:rFonts w:ascii="Arial" w:cs="Arial" w:eastAsia="Arial" w:hAnsi="Arial"/>
                <w:sz w:val="18"/>
                <w:szCs w:val="18"/>
                <w:color w:val="auto"/>
              </w:rPr>
              <w:t>Revenue recognized</w:t>
            </w:r>
          </w:p>
        </w:tc>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Balance, September 30</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0</wp:posOffset>
            </wp:positionV>
            <wp:extent cx="2452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2370" cy="26035"/>
                    </a:xfrm>
                    <a:prstGeom prst="rect">
                      <a:avLst/>
                    </a:prstGeom>
                    <a:noFill/>
                  </pic:spPr>
                </pic:pic>
              </a:graphicData>
            </a:graphic>
          </wp:anchor>
        </w:drawing>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w:t>
      </w:r>
    </w:p>
    <w:p>
      <w:pPr>
        <w:spacing w:after="0" w:line="15" w:lineRule="exact"/>
        <w:rPr>
          <w:sz w:val="20"/>
          <w:szCs w:val="20"/>
          <w:color w:val="auto"/>
        </w:rPr>
      </w:pPr>
    </w:p>
    <w:p>
      <w:pPr>
        <w:ind w:left="500" w:right="80"/>
        <w:spacing w:after="0" w:line="258" w:lineRule="auto"/>
        <w:rPr>
          <w:sz w:val="20"/>
          <w:szCs w:val="20"/>
          <w:color w:val="auto"/>
        </w:rPr>
      </w:pPr>
      <w:r>
        <w:rPr>
          <w:rFonts w:ascii="Arial" w:cs="Arial" w:eastAsia="Arial" w:hAnsi="Arial"/>
          <w:sz w:val="14"/>
          <w:szCs w:val="14"/>
          <w:color w:val="auto"/>
        </w:rPr>
        <w:t>At September 30, 2019 and 2018, $24 million and $19 million was included in accounts payable and other current liabilities, respectively, and $43 million and $53 million, respectively, in other non-current liabilities. Non-current amounts are expected to be recognized as revenue within two to three years.</w:t>
      </w:r>
    </w:p>
    <w:p>
      <w:pPr>
        <w:spacing w:after="0" w:line="188" w:lineRule="exact"/>
        <w:rPr>
          <w:sz w:val="20"/>
          <w:szCs w:val="20"/>
          <w:color w:val="auto"/>
        </w:rPr>
      </w:pPr>
    </w:p>
    <w:p>
      <w:pPr>
        <w:ind w:left="500" w:right="160"/>
        <w:spacing w:after="0" w:line="274" w:lineRule="auto"/>
        <w:rPr>
          <w:sz w:val="20"/>
          <w:szCs w:val="20"/>
          <w:color w:val="auto"/>
        </w:rPr>
      </w:pPr>
      <w:r>
        <w:rPr>
          <w:rFonts w:ascii="Arial" w:cs="Arial" w:eastAsia="Arial" w:hAnsi="Arial"/>
          <w:sz w:val="17"/>
          <w:szCs w:val="17"/>
          <w:color w:val="auto"/>
        </w:rPr>
        <w:t>At January 1, 2018, the Company’s prepaid rentals and membership fees related to its car sharing business were $125 million. During the nine months ended September 30, 2018, additional revenues of $1,561 million were deferred and revenues of $1,542 million were recognized. At September 30, 2018, the ending prepaid rentals and car sharing membership fees were $ 144 million, of which $142 million was included in accounts payable and other current liabilities and $2 million was included in other non-current liabilities.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Nonemployee Share-Based Payment Accounting</w:t>
      </w:r>
    </w:p>
    <w:p>
      <w:pPr>
        <w:spacing w:after="0" w:line="243" w:lineRule="exact"/>
        <w:rPr>
          <w:sz w:val="20"/>
          <w:szCs w:val="20"/>
          <w:color w:val="auto"/>
        </w:rPr>
      </w:pPr>
    </w:p>
    <w:p>
      <w:pPr>
        <w:ind w:left="500" w:right="280"/>
        <w:spacing w:after="0" w:line="250" w:lineRule="auto"/>
        <w:rPr>
          <w:sz w:val="20"/>
          <w:szCs w:val="20"/>
          <w:color w:val="auto"/>
        </w:rPr>
      </w:pPr>
      <w:r>
        <w:rPr>
          <w:rFonts w:ascii="Arial" w:cs="Arial" w:eastAsia="Arial" w:hAnsi="Arial"/>
          <w:sz w:val="18"/>
          <w:szCs w:val="18"/>
          <w:color w:val="auto"/>
        </w:rPr>
        <w:t>On January 1, 2019, as a result of a new accounting pronouncement, the Company adopted Accounting Standards Update (“ASU”) 2018-02,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The adoption of this accounting pronouncement did not have an impact on the Company's Consolidated Condensed Financial Statements.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25"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On January 1, 2019, as the result of a new accounting pronouncement, the Company adopted ASU 2017-12, “Derivatives and Hedging (Topic 815): Targeted Improvements to Accounting for Hedging Activities,” which amends the existing guidance to allow companies to more accurately present the economic results of an</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108"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640"/>
        <w:spacing w:after="0" w:line="262" w:lineRule="auto"/>
        <w:rPr>
          <w:sz w:val="20"/>
          <w:szCs w:val="20"/>
          <w:color w:val="auto"/>
        </w:rPr>
      </w:pPr>
      <w:r>
        <w:rPr>
          <w:rFonts w:ascii="Arial" w:cs="Arial" w:eastAsia="Arial" w:hAnsi="Arial"/>
          <w:sz w:val="18"/>
          <w:szCs w:val="18"/>
          <w:color w:val="auto"/>
        </w:rPr>
        <w:t>entity’s risk management activities in the financial statements. The adoption of this standard did not have a material impact on the Company’s Consolidated Condensed Financial Statements.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43"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On January 1, 2019, as the result of a new accounting pronouncement, the Company adopted Topic 842 along with related updates, which require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Topic 842 does not significantly change a lessee’s recognition, measurement and presentation of expenses. Additionally, Topic 842 aligns key aspects of lessor accounting with the revenue recognition guidance in Topic 606.</w:t>
      </w:r>
    </w:p>
    <w:p>
      <w:pPr>
        <w:spacing w:after="0" w:line="209"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elected available practical expedients for existing or expired contracts of lessees and lessors wherein the Company is not required to reassess whether such contracts contain leases, the lease classification or the initial direct costs. The Company is not utilizing the practical expedient which allows the use of hindsight by lessees and lessors in determining the lease term and in assessing impairment of its right-of-use (“ROU”) assets. Additionally, the Company elected as accounting policies to not recognize ROU assets or lease liabilities for short-term property leases (i.e., those with a term of 12 months or less at lease commencement) and, by class of underlying asset, to combine lease and nonlease components in the contract. The Company utilized the transition method allowing entities to only apply the new lease standard in the year of adoption.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Lessor</w:t>
      </w:r>
    </w:p>
    <w:p>
      <w:pPr>
        <w:spacing w:after="0" w:line="27"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Company has determined that revenues derived by providing vehicle rentals and other related products and mobility services to customers are within the scope of the accounting guidance contained in Topic 842 with the exception of royalty fee revenue derived from the Company’s licensees and revenue related to the Company’s customer loyalty program. The Company’s rental related revenues have been accounted for under the revenue accounting standard Topic 606, until the adoption of Topic 842.</w:t>
      </w:r>
    </w:p>
    <w:p>
      <w:pPr>
        <w:spacing w:after="0" w:line="20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excludes from the measurement of its lease revenues any tax assessed by a governmental authority that is both imposed on and concurrent with a specific revenue-producing transaction and collected from a customer. As a result, lease revenues exclude such taxes collected. Fees collected from customers for which the Company is the primary obligor such as airport concessions and vehicle licensing are recorded within revenues and corresponding remittances of these fees by the Company are recorded within operating expenses.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Lessee</w:t>
      </w:r>
    </w:p>
    <w:p>
      <w:pPr>
        <w:spacing w:after="0" w:line="27" w:lineRule="exact"/>
        <w:rPr>
          <w:sz w:val="20"/>
          <w:szCs w:val="20"/>
          <w:color w:val="auto"/>
        </w:rPr>
      </w:pPr>
    </w:p>
    <w:p>
      <w:pPr>
        <w:ind w:left="500" w:right="160"/>
        <w:spacing w:after="0" w:line="253" w:lineRule="auto"/>
        <w:rPr>
          <w:sz w:val="20"/>
          <w:szCs w:val="20"/>
          <w:color w:val="auto"/>
        </w:rPr>
      </w:pPr>
      <w:r>
        <w:rPr>
          <w:rFonts w:ascii="Arial" w:cs="Arial" w:eastAsia="Arial" w:hAnsi="Arial"/>
          <w:sz w:val="18"/>
          <w:szCs w:val="18"/>
          <w:color w:val="auto"/>
        </w:rPr>
        <w:t>The Company determines if an arrangement is a lease at inception. Operating leases, other than those associated with the Company’s vehicle rental programs, are included in operating lease ROU assets, accounts payable and other current liabilities, and long-term operating lease liabilities in the Company’s Consolidated Condensed Balance Sheets. Finance leases, other than those associated with the Company’s vehicle rental programs, are included in property and equipment, net, short-term debt and current portion of long-term debt, and long-term debt in the Company’s Consolidated Condensed Balance Sheets.</w:t>
      </w:r>
    </w:p>
    <w:p>
      <w:pPr>
        <w:spacing w:after="0" w:line="206" w:lineRule="exact"/>
        <w:rPr>
          <w:sz w:val="20"/>
          <w:szCs w:val="20"/>
          <w:color w:val="auto"/>
        </w:rPr>
      </w:pPr>
    </w:p>
    <w:p>
      <w:pPr>
        <w:ind w:left="500" w:right="60"/>
        <w:spacing w:after="0" w:line="269"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ROU assets and liabilities are recognized at commencement date based on the present value of lease payments over the expected lease term. As most of the Company’s leases do not provide an implicit rate, the Company uses its incremental borrowing rate based on information available at commencement date in determining the present value of lease payments. The operating lease ROU assets are reduced by any lease incentives. The Company’s lease terms may include options to extend or terminate the lease, which are included in the calculation of ROU assets when it is reasonably certain that the Company will exercise those options. Lease expense for lease payments is usually recognized on a straight-line basis over the lease term.</w:t>
      </w:r>
    </w:p>
    <w:p>
      <w:pPr>
        <w:spacing w:after="0" w:line="195"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The Company has lease agreements with lease and nonlease components, which are generally not accounted for separately. Additionally, for certain leases, the Company applies a portfolio approach to account for the operating lease ROU assets and liabilities as the leases are similar in nature and have nearly identical contract provisions.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Adoption of this standard resulted in most of the Company’s operating lease commitments being recognized as operating lease liabilities and right-of-use assets, which increased total assets and total liabilities by approximately $2,811 million related to property operating leases and $183 million related to vehicle operating leases. The Company recorded a beginning accumulated deficit adjustment of $5 million, net of tax, related to the adoption of this standard.</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43"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In August 2018, the Financial Accounting Standards Board (“FASB”) issued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 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income as the fees associated with the hosting element (service) of the arrangement and 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ASU 2018-15 becomes effective for the Company on January 1, 2020. Early adoption is permitted. The Company intends to adopt this accounting pronouncement on a prospective basis. The adoption of this accounting pronouncement is not expected to have a material impact on the Company’s Consolidated Condensed Financial Statements.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43"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Condensed Financial Statements.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43"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which adds, removes, and modifies disclosure requirements related to fair value measurements. ASU 2018-13 becomes effective for the Company on January 1, 2020. Early adoption is permitted. The adoption of this accounting pronouncement is not expected to have a material impact on the Company's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along with related clarifying updates, set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Consolidated Condensed Financial Statements.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40"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ind w:left="500" w:right="10320" w:hanging="492"/>
        <w:spacing w:after="0" w:line="544" w:lineRule="auto"/>
        <w:tabs>
          <w:tab w:leader="none" w:pos="5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ind w:left="50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For periods after January 1, 2019, the Company combines all lease and nonlease components of its vehicle rental contracts for which the timing and pattern of transfer are the same and the lease component meets the classification of an operating lease, and accounts for them in accordance with Topic 842. The Company derives revenues primarily by providing vehicle rentals and other related products and mobility services to commercial and leisure customers.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chauffeur drive services, roadside safety net, electronic toll collection, tablet rentals, access to satellite radio, portable navigation 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Vehicle rentals and other related products and mobility services are recognized evenly over the period of rental, which is on average four days. In addition, the Company collects membership leasing fees in connection with its car sharing business. Membership leasing fees are generally nonrefundable, are deferred and recognized ratably over the period of membership.</w:t>
      </w:r>
    </w:p>
    <w:p>
      <w:pPr>
        <w:spacing w:after="0" w:line="21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Company’s lease revenues disaggregated by geography.</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5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September 30, 2019</w:t>
            </w:r>
          </w:p>
        </w:tc>
        <w:tc>
          <w:tcPr>
            <w:tcW w:w="240" w:type="dxa"/>
            <w:vAlign w:val="bottom"/>
          </w:tcPr>
          <w:p>
            <w:pPr>
              <w:spacing w:after="0"/>
              <w:rPr>
                <w:sz w:val="21"/>
                <w:szCs w:val="21"/>
                <w:color w:val="auto"/>
              </w:rPr>
            </w:pPr>
          </w:p>
        </w:tc>
        <w:tc>
          <w:tcPr>
            <w:tcW w:w="2140" w:type="dxa"/>
            <w:vAlign w:val="bottom"/>
          </w:tcPr>
          <w:p>
            <w:pPr>
              <w:jc w:val="right"/>
              <w:ind w:right="250"/>
              <w:spacing w:after="0"/>
              <w:rPr>
                <w:sz w:val="20"/>
                <w:szCs w:val="20"/>
                <w:color w:val="auto"/>
              </w:rPr>
            </w:pPr>
            <w:r>
              <w:rPr>
                <w:rFonts w:ascii="Arial" w:cs="Arial" w:eastAsia="Arial" w:hAnsi="Arial"/>
                <w:sz w:val="18"/>
                <w:szCs w:val="18"/>
                <w:b w:val="1"/>
                <w:bCs w:val="1"/>
                <w:color w:val="auto"/>
              </w:rPr>
              <w:t>September 30, 2019</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4,792</w:t>
            </w:r>
          </w:p>
        </w:tc>
      </w:tr>
      <w:tr>
        <w:trPr>
          <w:trHeight w:val="270"/>
        </w:trPr>
        <w:tc>
          <w:tcPr>
            <w:tcW w:w="53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1,684</w:t>
            </w:r>
          </w:p>
        </w:tc>
      </w:tr>
      <w:tr>
        <w:trPr>
          <w:trHeight w:val="277"/>
        </w:trPr>
        <w:tc>
          <w:tcPr>
            <w:tcW w:w="5360" w:type="dxa"/>
            <w:vAlign w:val="bottom"/>
          </w:tcPr>
          <w:p>
            <w:pPr>
              <w:spacing w:after="0"/>
              <w:rPr>
                <w:sz w:val="20"/>
                <w:szCs w:val="20"/>
                <w:color w:val="auto"/>
              </w:rPr>
            </w:pPr>
            <w:r>
              <w:rPr>
                <w:rFonts w:ascii="Arial" w:cs="Arial" w:eastAsia="Arial" w:hAnsi="Arial"/>
                <w:sz w:val="18"/>
                <w:szCs w:val="18"/>
                <w:color w:val="auto"/>
              </w:rPr>
              <w:t>Asia and Australasia</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Total lease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6,907</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brand.</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5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September 30, 2019</w:t>
            </w:r>
          </w:p>
        </w:tc>
        <w:tc>
          <w:tcPr>
            <w:tcW w:w="240" w:type="dxa"/>
            <w:vAlign w:val="bottom"/>
          </w:tcPr>
          <w:p>
            <w:pPr>
              <w:spacing w:after="0"/>
              <w:rPr>
                <w:sz w:val="21"/>
                <w:szCs w:val="21"/>
                <w:color w:val="auto"/>
              </w:rPr>
            </w:pPr>
          </w:p>
        </w:tc>
        <w:tc>
          <w:tcPr>
            <w:tcW w:w="2140" w:type="dxa"/>
            <w:vAlign w:val="bottom"/>
          </w:tcPr>
          <w:p>
            <w:pPr>
              <w:jc w:val="right"/>
              <w:ind w:right="250"/>
              <w:spacing w:after="0"/>
              <w:rPr>
                <w:sz w:val="20"/>
                <w:szCs w:val="20"/>
                <w:color w:val="auto"/>
              </w:rPr>
            </w:pPr>
            <w:r>
              <w:rPr>
                <w:rFonts w:ascii="Arial" w:cs="Arial" w:eastAsia="Arial" w:hAnsi="Arial"/>
                <w:sz w:val="18"/>
                <w:szCs w:val="18"/>
                <w:b w:val="1"/>
                <w:bCs w:val="1"/>
                <w:color w:val="auto"/>
              </w:rPr>
              <w:t>September 30, 2019</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Avis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3,953</w:t>
            </w:r>
          </w:p>
        </w:tc>
      </w:tr>
      <w:tr>
        <w:trPr>
          <w:trHeight w:val="270"/>
        </w:trPr>
        <w:tc>
          <w:tcPr>
            <w:tcW w:w="5360" w:type="dxa"/>
            <w:vAlign w:val="bottom"/>
          </w:tcPr>
          <w:p>
            <w:pPr>
              <w:spacing w:after="0"/>
              <w:rPr>
                <w:sz w:val="20"/>
                <w:szCs w:val="20"/>
                <w:color w:val="auto"/>
              </w:rPr>
            </w:pPr>
            <w:r>
              <w:rPr>
                <w:rFonts w:ascii="Arial" w:cs="Arial" w:eastAsia="Arial" w:hAnsi="Arial"/>
                <w:sz w:val="18"/>
                <w:szCs w:val="18"/>
                <w:color w:val="auto"/>
              </w:rPr>
              <w:t>Budget</w:t>
            </w:r>
          </w:p>
        </w:tc>
        <w:tc>
          <w:tcPr>
            <w:tcW w:w="22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2,379</w:t>
            </w:r>
          </w:p>
        </w:tc>
      </w:tr>
      <w:tr>
        <w:trPr>
          <w:trHeight w:val="277"/>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w:t>
            </w: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Total lease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6,907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0</wp:posOffset>
            </wp:positionV>
            <wp:extent cx="3087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7370" cy="26035"/>
                    </a:xfrm>
                    <a:prstGeom prst="rect">
                      <a:avLst/>
                    </a:prstGeom>
                    <a:noFill/>
                  </pic:spPr>
                </pic:pic>
              </a:graphicData>
            </a:graphic>
          </wp:anchor>
        </w:drawing>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47"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The Company’s operating leases for rental locations often also require the Company to pay or reimburse operating expenses.</w:t>
      </w:r>
    </w:p>
    <w:p>
      <w:pPr>
        <w:spacing w:after="0" w:line="207" w:lineRule="exact"/>
        <w:rPr>
          <w:sz w:val="20"/>
          <w:szCs w:val="20"/>
          <w:color w:val="auto"/>
        </w:rPr>
      </w:pPr>
    </w:p>
    <w:p>
      <w:pPr>
        <w:ind w:left="500" w:right="260"/>
        <w:spacing w:after="0" w:line="256" w:lineRule="auto"/>
        <w:rPr>
          <w:sz w:val="20"/>
          <w:szCs w:val="20"/>
          <w:color w:val="auto"/>
        </w:rPr>
      </w:pPr>
      <w:r>
        <w:rPr>
          <w:rFonts w:ascii="Arial" w:cs="Arial" w:eastAsia="Arial" w:hAnsi="Arial"/>
          <w:sz w:val="18"/>
          <w:szCs w:val="18"/>
          <w:color w:val="auto"/>
        </w:rPr>
        <w:t>The Company leases a portion of its vehicles under operating leases, some of which extend through 2025. As of September 30, 2019, the Company has guaranteed up to $283 million of residual values for these vehicles at the end of their respective lease terms. The Company believes that, based on current market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conditions, the net proceeds from the sale of these vehicles at the end of their lease terms will equal or exceed their net book values and therefore has not recorded a liability related to guaranteed residual values.</w:t>
      </w:r>
    </w:p>
    <w:p>
      <w:pPr>
        <w:sectPr>
          <w:pgSz w:w="11900" w:h="16838" w:orient="portrait"/>
          <w:cols w:equalWidth="0" w:num="1">
            <w:col w:w="11360"/>
          </w:cols>
          <w:pgMar w:left="240" w:top="140" w:right="299" w:bottom="597" w:gutter="0" w:footer="0" w:header="0"/>
        </w:sectPr>
      </w:pP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14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1509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22225</wp:posOffset>
            </wp:positionV>
            <wp:extent cx="1509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7980" w:space="720"/>
            <w:col w:w="2660"/>
          </w:cols>
          <w:pgMar w:left="240" w:top="140" w:right="299" w:bottom="597" w:gutter="0" w:footer="0" w:header="0"/>
          <w:type w:val="continuous"/>
        </w:sectPr>
      </w:pPr>
    </w:p>
    <w:p>
      <w:pPr>
        <w:ind w:left="520"/>
        <w:spacing w:after="0"/>
        <w:rPr>
          <w:sz w:val="20"/>
          <w:szCs w:val="20"/>
          <w:color w:val="auto"/>
        </w:rPr>
      </w:pPr>
      <w:r>
        <w:rPr>
          <w:rFonts w:ascii="Arial" w:cs="Arial" w:eastAsia="Arial" w:hAnsi="Arial"/>
          <w:sz w:val="18"/>
          <w:szCs w:val="18"/>
          <w:color w:val="auto"/>
        </w:rPr>
        <w:t>Operating lease expense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Variable lease expense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Sublease income</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property lease expense</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Vehicle leases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Finance lease expense:</w:t>
      </w:r>
    </w:p>
    <w:p>
      <w:pPr>
        <w:spacing w:after="0" w:line="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1"/>
          <w:szCs w:val="21"/>
          <w:color w:val="auto"/>
          <w:vertAlign w:val="superscript"/>
        </w:rPr>
        <w:t>(b)</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21"/>
          <w:szCs w:val="21"/>
          <w:color w:val="auto"/>
          <w:vertAlign w:val="superscript"/>
        </w:rPr>
        <w:t>(c)</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1"/>
          <w:szCs w:val="21"/>
          <w:color w:val="auto"/>
          <w:vertAlign w:val="superscript"/>
        </w:rPr>
        <w:t>(b)</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vehicle lease expense</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Primarily included in operating expense.</w:t>
      </w:r>
    </w:p>
    <w:p>
      <w:pPr>
        <w:ind w:left="820" w:hanging="326"/>
        <w:spacing w:after="0" w:line="187" w:lineRule="auto"/>
        <w:tabs>
          <w:tab w:leader="none" w:pos="8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Included in vehicle depreciation and lease charges, net.</w:t>
      </w:r>
    </w:p>
    <w:p>
      <w:pPr>
        <w:ind w:left="820" w:hanging="326"/>
        <w:spacing w:after="0" w:line="199" w:lineRule="auto"/>
        <w:tabs>
          <w:tab w:leader="none" w:pos="8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Included in vehicle interest,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0"/>
        </w:trPr>
        <w:tc>
          <w:tcPr>
            <w:tcW w:w="10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7"/>
        </w:trPr>
        <w:tc>
          <w:tcPr>
            <w:tcW w:w="1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10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11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1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50"/>
        </w:trPr>
        <w:tc>
          <w:tcPr>
            <w:tcW w:w="11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0"/>
        </w:trPr>
        <w:tc>
          <w:tcPr>
            <w:tcW w:w="10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7"/>
        </w:trPr>
        <w:tc>
          <w:tcPr>
            <w:tcW w:w="1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10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0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1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50"/>
        </w:trPr>
        <w:tc>
          <w:tcPr>
            <w:tcW w:w="10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63" w:lineRule="exact"/>
        <w:rPr>
          <w:sz w:val="20"/>
          <w:szCs w:val="20"/>
          <w:color w:val="auto"/>
        </w:rPr>
      </w:pPr>
    </w:p>
    <w:p>
      <w:pPr>
        <w:sectPr>
          <w:pgSz w:w="11900" w:h="16838" w:orient="portrait"/>
          <w:cols w:equalWidth="0" w:num="3">
            <w:col w:w="5160" w:space="720"/>
            <w:col w:w="2380" w:space="100"/>
            <w:col w:w="3000"/>
          </w:cols>
          <w:pgMar w:left="240" w:top="140" w:right="299" w:bottom="597" w:gutter="0" w:footer="0" w:header="0"/>
          <w:type w:val="continuous"/>
        </w:sectPr>
      </w:pPr>
    </w:p>
    <w:p>
      <w:pPr>
        <w:ind w:left="500"/>
        <w:spacing w:after="0"/>
        <w:rPr>
          <w:sz w:val="20"/>
          <w:szCs w:val="20"/>
          <w:color w:val="auto"/>
        </w:rPr>
      </w:pPr>
      <w:r>
        <w:rPr>
          <w:rFonts w:ascii="Arial" w:cs="Arial" w:eastAsia="Arial" w:hAnsi="Arial"/>
          <w:sz w:val="17"/>
          <w:szCs w:val="17"/>
          <w:color w:val="auto"/>
        </w:rPr>
        <w:t>Supplemental balance sheet information related to leases is as follows: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leases</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Operating lease ROU assets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18"/>
          <w:szCs w:val="18"/>
          <w:color w:val="auto"/>
          <w:vertAlign w:val="superscript"/>
        </w:rPr>
        <w:t>(a)</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operating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Operating lease liabilities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Vehicle leases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Finance</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Finance lease ROU assets, gross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Finance lease ROU assets, net </w:t>
      </w:r>
      <w:r>
        <w:rPr>
          <w:rFonts w:ascii="Arial" w:cs="Arial" w:eastAsia="Arial" w:hAnsi="Arial"/>
          <w:sz w:val="18"/>
          <w:szCs w:val="18"/>
          <w:color w:val="auto"/>
          <w:vertAlign w:val="superscript"/>
        </w:rPr>
        <w:t>(b)</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Short-term vehicle finance lease liabilities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vehicle finance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finance lease liabilities </w:t>
      </w:r>
      <w:r>
        <w:rPr>
          <w:rFonts w:ascii="Arial" w:cs="Arial" w:eastAsia="Arial" w:hAnsi="Arial"/>
          <w:sz w:val="18"/>
          <w:szCs w:val="18"/>
          <w:color w:val="auto"/>
          <w:vertAlign w:val="superscript"/>
        </w:rPr>
        <w:t>(c)</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operating lease ROU assets </w:t>
      </w:r>
      <w:r>
        <w:rPr>
          <w:rFonts w:ascii="Arial" w:cs="Arial" w:eastAsia="Arial" w:hAnsi="Arial"/>
          <w:sz w:val="18"/>
          <w:szCs w:val="18"/>
          <w:color w:val="auto"/>
          <w:vertAlign w:val="superscript"/>
        </w:rPr>
        <w:t>(d)</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Short-term vehicle operating lease liabilities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vehicle operating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operating lease liabilities </w:t>
      </w:r>
      <w:r>
        <w:rPr>
          <w:rFonts w:ascii="Arial" w:cs="Arial" w:eastAsia="Arial" w:hAnsi="Arial"/>
          <w:sz w:val="18"/>
          <w:szCs w:val="18"/>
          <w:color w:val="auto"/>
          <w:vertAlign w:val="superscript"/>
        </w:rPr>
        <w:t>(e)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2220" w:type="dxa"/>
            <w:vAlign w:val="bottom"/>
          </w:tcPr>
          <w:p>
            <w:pPr>
              <w:jc w:val="right"/>
              <w:ind w:right="950"/>
              <w:spacing w:after="0"/>
              <w:rPr>
                <w:sz w:val="20"/>
                <w:szCs w:val="20"/>
                <w:color w:val="auto"/>
              </w:rPr>
            </w:pPr>
            <w:r>
              <w:rPr>
                <w:rFonts w:ascii="Arial" w:cs="Arial" w:eastAsia="Arial" w:hAnsi="Arial"/>
                <w:sz w:val="18"/>
                <w:szCs w:val="18"/>
                <w:b w:val="1"/>
                <w:bCs w:val="1"/>
                <w:color w:val="auto"/>
              </w:rPr>
              <w:t>As of</w:t>
            </w:r>
          </w:p>
        </w:tc>
      </w:tr>
      <w:tr>
        <w:trPr>
          <w:trHeight w:val="246"/>
        </w:trPr>
        <w:tc>
          <w:tcPr>
            <w:tcW w:w="2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September 30, 2019</w:t>
            </w:r>
          </w:p>
        </w:tc>
      </w:tr>
      <w:tr>
        <w:trPr>
          <w:trHeight w:val="513"/>
        </w:trPr>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2,365</w:t>
            </w:r>
          </w:p>
        </w:tc>
      </w:tr>
      <w:tr>
        <w:trPr>
          <w:trHeight w:val="419"/>
        </w:trPr>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420</w:t>
            </w:r>
          </w:p>
        </w:tc>
      </w:tr>
      <w:tr>
        <w:trPr>
          <w:trHeight w:val="264"/>
        </w:trPr>
        <w:tc>
          <w:tcPr>
            <w:tcW w:w="2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1,966</w:t>
            </w:r>
          </w:p>
        </w:tc>
      </w:tr>
      <w:tr>
        <w:trPr>
          <w:trHeight w:val="250"/>
        </w:trPr>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2,386</w:t>
            </w:r>
          </w:p>
        </w:tc>
      </w:tr>
      <w:tr>
        <w:trPr>
          <w:trHeight w:val="419"/>
        </w:trPr>
        <w:tc>
          <w:tcPr>
            <w:tcW w:w="260" w:type="dxa"/>
            <w:vAlign w:val="bottom"/>
          </w:tcPr>
          <w:p>
            <w:pPr>
              <w:spacing w:after="0"/>
              <w:rPr>
                <w:sz w:val="24"/>
                <w:szCs w:val="24"/>
                <w:color w:val="auto"/>
              </w:rPr>
            </w:pP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9.4 years</w:t>
            </w:r>
          </w:p>
        </w:tc>
      </w:tr>
      <w:tr>
        <w:trPr>
          <w:trHeight w:val="257"/>
        </w:trPr>
        <w:tc>
          <w:tcPr>
            <w:tcW w:w="2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1067"/>
        </w:trPr>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337</w:t>
            </w:r>
          </w:p>
        </w:tc>
      </w:tr>
      <w:tr>
        <w:trPr>
          <w:trHeight w:val="264"/>
        </w:trPr>
        <w:tc>
          <w:tcPr>
            <w:tcW w:w="2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r>
      <w:tr>
        <w:trPr>
          <w:trHeight w:val="250"/>
        </w:trPr>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282</w:t>
            </w:r>
          </w:p>
        </w:tc>
      </w:tr>
      <w:tr>
        <w:trPr>
          <w:trHeight w:val="419"/>
        </w:trPr>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96</w:t>
            </w:r>
          </w:p>
        </w:tc>
      </w:tr>
      <w:tr>
        <w:trPr>
          <w:trHeight w:val="264"/>
        </w:trPr>
        <w:tc>
          <w:tcPr>
            <w:tcW w:w="2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164</w:t>
            </w:r>
          </w:p>
        </w:tc>
      </w:tr>
      <w:tr>
        <w:trPr>
          <w:trHeight w:val="250"/>
        </w:trPr>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260</w:t>
            </w:r>
          </w:p>
        </w:tc>
      </w:tr>
      <w:tr>
        <w:trPr>
          <w:trHeight w:val="432"/>
        </w:trPr>
        <w:tc>
          <w:tcPr>
            <w:tcW w:w="260" w:type="dxa"/>
            <w:vAlign w:val="bottom"/>
          </w:tcPr>
          <w:p>
            <w:pPr>
              <w:spacing w:after="0"/>
              <w:rPr>
                <w:sz w:val="24"/>
                <w:szCs w:val="24"/>
                <w:color w:val="auto"/>
              </w:rPr>
            </w:pP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1.9 years</w:t>
            </w:r>
          </w:p>
        </w:tc>
      </w:tr>
      <w:tr>
        <w:trPr>
          <w:trHeight w:val="257"/>
        </w:trPr>
        <w:tc>
          <w:tcPr>
            <w:tcW w:w="26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797"/>
        </w:trPr>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205</w:t>
            </w:r>
          </w:p>
        </w:tc>
      </w:tr>
      <w:tr>
        <w:trPr>
          <w:trHeight w:val="446"/>
        </w:trPr>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136</w:t>
            </w:r>
          </w:p>
        </w:tc>
      </w:tr>
      <w:tr>
        <w:trPr>
          <w:trHeight w:val="264"/>
        </w:trPr>
        <w:tc>
          <w:tcPr>
            <w:tcW w:w="2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w:t>
            </w:r>
          </w:p>
        </w:tc>
      </w:tr>
      <w:tr>
        <w:trPr>
          <w:trHeight w:val="250"/>
        </w:trPr>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w:t>
            </w:r>
          </w:p>
        </w:tc>
      </w:tr>
    </w:tbl>
    <w:p>
      <w:pPr>
        <w:spacing w:after="0" w:line="21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1.7 years</w:t>
      </w:r>
    </w:p>
    <w:p>
      <w:pPr>
        <w:spacing w:after="0" w:line="5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2.91%</w:t>
      </w:r>
    </w:p>
    <w:p>
      <w:pPr>
        <w:spacing w:after="0" w:line="429" w:lineRule="exact"/>
        <w:rPr>
          <w:sz w:val="20"/>
          <w:szCs w:val="20"/>
          <w:color w:val="auto"/>
        </w:rPr>
      </w:pPr>
    </w:p>
    <w:p>
      <w:pPr>
        <w:sectPr>
          <w:pgSz w:w="11900" w:h="16838" w:orient="portrait"/>
          <w:cols w:equalWidth="0" w:num="2">
            <w:col w:w="7640" w:space="720"/>
            <w:col w:w="3000"/>
          </w:cols>
          <w:pgMar w:left="240" w:top="140" w:right="299" w:bottom="597" w:gutter="0" w:footer="0" w:header="0"/>
          <w:type w:val="continuous"/>
        </w:sectPr>
      </w:pP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60"/>
          </w:cols>
          <w:pgMar w:left="240" w:top="140" w:right="299" w:bottom="597"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107"/>
        </w:trPr>
        <w:tc>
          <w:tcPr>
            <w:tcW w:w="180" w:type="dxa"/>
            <w:vAlign w:val="bottom"/>
          </w:tcPr>
          <w:p>
            <w:pPr>
              <w:spacing w:after="0"/>
              <w:rPr>
                <w:sz w:val="20"/>
                <w:szCs w:val="20"/>
                <w:color w:val="auto"/>
              </w:rPr>
            </w:pPr>
            <w:r>
              <w:rPr>
                <w:rFonts w:ascii="Arial" w:cs="Arial" w:eastAsia="Arial" w:hAnsi="Arial"/>
                <w:sz w:val="9"/>
                <w:szCs w:val="9"/>
                <w:color w:val="auto"/>
              </w:rPr>
              <w:t>(a)</w:t>
            </w:r>
          </w:p>
        </w:tc>
        <w:tc>
          <w:tcPr>
            <w:tcW w:w="5540" w:type="dxa"/>
            <w:vAlign w:val="bottom"/>
            <w:vMerge w:val="restart"/>
          </w:tcPr>
          <w:p>
            <w:pPr>
              <w:ind w:left="140"/>
              <w:spacing w:after="0"/>
              <w:rPr>
                <w:sz w:val="20"/>
                <w:szCs w:val="20"/>
                <w:color w:val="auto"/>
              </w:rPr>
            </w:pPr>
            <w:r>
              <w:rPr>
                <w:rFonts w:ascii="Arial" w:cs="Arial" w:eastAsia="Arial" w:hAnsi="Arial"/>
                <w:sz w:val="14"/>
                <w:szCs w:val="14"/>
                <w:color w:val="auto"/>
              </w:rPr>
              <w:t>Included in Accounts payable and other current liabilities.</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80" w:type="dxa"/>
            <w:vAlign w:val="bottom"/>
            <w:vMerge w:val="restart"/>
          </w:tcPr>
          <w:p>
            <w:pPr>
              <w:spacing w:after="0"/>
              <w:rPr>
                <w:sz w:val="20"/>
                <w:szCs w:val="20"/>
                <w:color w:val="auto"/>
              </w:rPr>
            </w:pPr>
            <w:r>
              <w:rPr>
                <w:rFonts w:ascii="Arial" w:cs="Arial" w:eastAsia="Arial" w:hAnsi="Arial"/>
                <w:sz w:val="9"/>
                <w:szCs w:val="9"/>
                <w:color w:val="auto"/>
              </w:rPr>
              <w:t>(b)</w:t>
            </w:r>
          </w:p>
        </w:tc>
        <w:tc>
          <w:tcPr>
            <w:tcW w:w="5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0" w:type="dxa"/>
            <w:vAlign w:val="bottom"/>
            <w:vMerge w:val="continue"/>
          </w:tcPr>
          <w:p>
            <w:pPr>
              <w:spacing w:after="0"/>
              <w:rPr>
                <w:sz w:val="8"/>
                <w:szCs w:val="8"/>
                <w:color w:val="auto"/>
              </w:rPr>
            </w:pPr>
          </w:p>
        </w:tc>
        <w:tc>
          <w:tcPr>
            <w:tcW w:w="5540" w:type="dxa"/>
            <w:vAlign w:val="bottom"/>
            <w:vMerge w:val="restart"/>
          </w:tcPr>
          <w:p>
            <w:pPr>
              <w:ind w:left="140"/>
              <w:spacing w:after="0"/>
              <w:rPr>
                <w:sz w:val="20"/>
                <w:szCs w:val="20"/>
                <w:color w:val="auto"/>
              </w:rPr>
            </w:pPr>
            <w:r>
              <w:rPr>
                <w:rFonts w:ascii="Arial" w:cs="Arial" w:eastAsia="Arial" w:hAnsi="Arial"/>
                <w:sz w:val="14"/>
                <w:szCs w:val="14"/>
                <w:color w:val="auto"/>
              </w:rPr>
              <w:t>Included in Vehicles, net within Assets under vehicle programs.</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80" w:type="dxa"/>
            <w:vAlign w:val="bottom"/>
            <w:vMerge w:val="restart"/>
          </w:tcPr>
          <w:p>
            <w:pPr>
              <w:spacing w:after="0"/>
              <w:rPr>
                <w:sz w:val="20"/>
                <w:szCs w:val="20"/>
                <w:color w:val="auto"/>
              </w:rPr>
            </w:pPr>
            <w:r>
              <w:rPr>
                <w:rFonts w:ascii="Arial" w:cs="Arial" w:eastAsia="Arial" w:hAnsi="Arial"/>
                <w:sz w:val="9"/>
                <w:szCs w:val="9"/>
                <w:color w:val="auto"/>
              </w:rPr>
              <w:t>(c)</w:t>
            </w:r>
          </w:p>
        </w:tc>
        <w:tc>
          <w:tcPr>
            <w:tcW w:w="5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0" w:type="dxa"/>
            <w:vAlign w:val="bottom"/>
            <w:vMerge w:val="continue"/>
          </w:tcPr>
          <w:p>
            <w:pPr>
              <w:spacing w:after="0"/>
              <w:rPr>
                <w:sz w:val="8"/>
                <w:szCs w:val="8"/>
                <w:color w:val="auto"/>
              </w:rPr>
            </w:pPr>
          </w:p>
        </w:tc>
        <w:tc>
          <w:tcPr>
            <w:tcW w:w="5540" w:type="dxa"/>
            <w:vAlign w:val="bottom"/>
            <w:vMerge w:val="restart"/>
          </w:tcPr>
          <w:p>
            <w:pPr>
              <w:ind w:left="140"/>
              <w:spacing w:after="0"/>
              <w:rPr>
                <w:sz w:val="20"/>
                <w:szCs w:val="20"/>
                <w:color w:val="auto"/>
              </w:rPr>
            </w:pPr>
            <w:r>
              <w:rPr>
                <w:rFonts w:ascii="Arial" w:cs="Arial" w:eastAsia="Arial" w:hAnsi="Arial"/>
                <w:sz w:val="14"/>
                <w:szCs w:val="14"/>
                <w:color w:val="auto"/>
              </w:rPr>
              <w:t>Included in Debt within Liabilities under vehicle programs.</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80" w:type="dxa"/>
            <w:vAlign w:val="bottom"/>
            <w:vMerge w:val="restart"/>
          </w:tcPr>
          <w:p>
            <w:pPr>
              <w:spacing w:after="0"/>
              <w:rPr>
                <w:sz w:val="20"/>
                <w:szCs w:val="20"/>
                <w:color w:val="auto"/>
              </w:rPr>
            </w:pPr>
            <w:r>
              <w:rPr>
                <w:rFonts w:ascii="Arial" w:cs="Arial" w:eastAsia="Arial" w:hAnsi="Arial"/>
                <w:sz w:val="9"/>
                <w:szCs w:val="9"/>
                <w:color w:val="auto"/>
              </w:rPr>
              <w:t>(d)</w:t>
            </w:r>
          </w:p>
        </w:tc>
        <w:tc>
          <w:tcPr>
            <w:tcW w:w="5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0" w:type="dxa"/>
            <w:vAlign w:val="bottom"/>
            <w:vMerge w:val="continue"/>
          </w:tcPr>
          <w:p>
            <w:pPr>
              <w:spacing w:after="0"/>
              <w:rPr>
                <w:sz w:val="8"/>
                <w:szCs w:val="8"/>
                <w:color w:val="auto"/>
              </w:rPr>
            </w:pPr>
          </w:p>
        </w:tc>
        <w:tc>
          <w:tcPr>
            <w:tcW w:w="7120" w:type="dxa"/>
            <w:vAlign w:val="bottom"/>
            <w:gridSpan w:val="4"/>
            <w:vMerge w:val="restart"/>
          </w:tcPr>
          <w:p>
            <w:pPr>
              <w:ind w:left="140"/>
              <w:spacing w:after="0"/>
              <w:rPr>
                <w:sz w:val="20"/>
                <w:szCs w:val="20"/>
                <w:color w:val="auto"/>
              </w:rPr>
            </w:pPr>
            <w:r>
              <w:rPr>
                <w:rFonts w:ascii="Arial" w:cs="Arial" w:eastAsia="Arial" w:hAnsi="Arial"/>
                <w:sz w:val="14"/>
                <w:szCs w:val="14"/>
                <w:color w:val="auto"/>
              </w:rPr>
              <w:t>Included in Receivables from vehicle manufacturers and other within Assets under vehicle programs.</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80" w:type="dxa"/>
            <w:vAlign w:val="bottom"/>
            <w:vMerge w:val="restart"/>
          </w:tcPr>
          <w:p>
            <w:pPr>
              <w:spacing w:after="0"/>
              <w:rPr>
                <w:sz w:val="20"/>
                <w:szCs w:val="20"/>
                <w:color w:val="auto"/>
              </w:rPr>
            </w:pPr>
            <w:r>
              <w:rPr>
                <w:rFonts w:ascii="Arial" w:cs="Arial" w:eastAsia="Arial" w:hAnsi="Arial"/>
                <w:sz w:val="9"/>
                <w:szCs w:val="9"/>
                <w:color w:val="auto"/>
              </w:rPr>
              <w:t>(e)</w:t>
            </w:r>
          </w:p>
        </w:tc>
        <w:tc>
          <w:tcPr>
            <w:tcW w:w="71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0" w:type="dxa"/>
            <w:vAlign w:val="bottom"/>
            <w:vMerge w:val="continue"/>
          </w:tcPr>
          <w:p>
            <w:pPr>
              <w:spacing w:after="0"/>
              <w:rPr>
                <w:sz w:val="8"/>
                <w:szCs w:val="8"/>
                <w:color w:val="auto"/>
              </w:rPr>
            </w:pPr>
          </w:p>
        </w:tc>
        <w:tc>
          <w:tcPr>
            <w:tcW w:w="5540" w:type="dxa"/>
            <w:vAlign w:val="bottom"/>
            <w:vMerge w:val="restart"/>
          </w:tcPr>
          <w:p>
            <w:pPr>
              <w:ind w:left="140"/>
              <w:spacing w:after="0"/>
              <w:rPr>
                <w:sz w:val="20"/>
                <w:szCs w:val="20"/>
                <w:color w:val="auto"/>
              </w:rPr>
            </w:pPr>
            <w:r>
              <w:rPr>
                <w:rFonts w:ascii="Arial" w:cs="Arial" w:eastAsia="Arial" w:hAnsi="Arial"/>
                <w:sz w:val="14"/>
                <w:szCs w:val="14"/>
                <w:color w:val="auto"/>
              </w:rPr>
              <w:t>Included in Other within Liabilities under vehicle programs.</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80" w:type="dxa"/>
            <w:vAlign w:val="bottom"/>
          </w:tcPr>
          <w:p>
            <w:pPr>
              <w:spacing w:after="0"/>
              <w:rPr>
                <w:sz w:val="6"/>
                <w:szCs w:val="6"/>
                <w:color w:val="auto"/>
              </w:rPr>
            </w:pPr>
          </w:p>
        </w:tc>
        <w:tc>
          <w:tcPr>
            <w:tcW w:w="5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7"/>
        </w:trPr>
        <w:tc>
          <w:tcPr>
            <w:tcW w:w="572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gridSpan w:val="4"/>
          </w:tcPr>
          <w:p>
            <w:pPr>
              <w:jc w:val="right"/>
              <w:ind w:right="291"/>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b w:val="1"/>
                <w:bCs w:val="1"/>
                <w:color w:val="auto"/>
              </w:rPr>
              <w:t>September 30, 2019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Cash payments for lease liabilities within operating activities: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Property operating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Vehicle operating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Cash payments for lease liabilities within financing activities: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00" w:type="dxa"/>
            <w:vAlign w:val="bottom"/>
            <w:gridSpan w:val="5"/>
          </w:tcPr>
          <w:p>
            <w:pPr>
              <w:ind w:left="20"/>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18"/>
                <w:szCs w:val="18"/>
                <w:color w:val="auto"/>
                <w:vertAlign w:val="superscript"/>
              </w:rPr>
              <w:t>(a)</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 xml:space="preserve">Vehicle operating leases </w:t>
            </w:r>
            <w:r>
              <w:rPr>
                <w:rFonts w:ascii="Arial" w:cs="Arial" w:eastAsia="Arial" w:hAnsi="Arial"/>
                <w:sz w:val="18"/>
                <w:szCs w:val="18"/>
                <w:color w:val="auto"/>
                <w:vertAlign w:val="superscript"/>
              </w:rPr>
              <w:t>(a)</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5720" w:type="dxa"/>
            <w:vAlign w:val="bottom"/>
            <w:gridSpan w:val="2"/>
          </w:tcPr>
          <w:p>
            <w:pPr>
              <w:spacing w:after="0"/>
              <w:rPr>
                <w:sz w:val="20"/>
                <w:szCs w:val="20"/>
                <w:color w:val="auto"/>
              </w:rPr>
            </w:pPr>
            <w:r>
              <w:rPr>
                <w:rFonts w:ascii="Arial" w:cs="Arial" w:eastAsia="Arial" w:hAnsi="Arial"/>
                <w:sz w:val="18"/>
                <w:szCs w:val="18"/>
                <w:color w:val="auto"/>
              </w:rPr>
              <w:t>_________</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20"/>
                <w:szCs w:val="20"/>
                <w:color w:val="auto"/>
              </w:rPr>
            </w:pPr>
            <w:r>
              <w:rPr>
                <w:rFonts w:ascii="Arial" w:cs="Arial" w:eastAsia="Arial" w:hAnsi="Arial"/>
                <w:sz w:val="9"/>
                <w:szCs w:val="9"/>
                <w:color w:val="auto"/>
              </w:rPr>
              <w:t>(a)</w:t>
            </w:r>
          </w:p>
        </w:tc>
        <w:tc>
          <w:tcPr>
            <w:tcW w:w="5540" w:type="dxa"/>
            <w:vAlign w:val="bottom"/>
            <w:vMerge w:val="restart"/>
          </w:tcPr>
          <w:p>
            <w:pPr>
              <w:ind w:left="140"/>
              <w:spacing w:after="0"/>
              <w:rPr>
                <w:sz w:val="20"/>
                <w:szCs w:val="20"/>
                <w:color w:val="auto"/>
              </w:rPr>
            </w:pPr>
            <w:r>
              <w:rPr>
                <w:rFonts w:ascii="Arial" w:cs="Arial" w:eastAsia="Arial" w:hAnsi="Arial"/>
                <w:sz w:val="14"/>
                <w:szCs w:val="14"/>
                <w:color w:val="auto"/>
              </w:rPr>
              <w:t>ROU assets obtained in exchange for lease liabilities from initial recognition.</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80" w:type="dxa"/>
            <w:vAlign w:val="bottom"/>
          </w:tcPr>
          <w:p>
            <w:pPr>
              <w:spacing w:after="0"/>
              <w:rPr>
                <w:sz w:val="6"/>
                <w:szCs w:val="6"/>
                <w:color w:val="auto"/>
              </w:rPr>
            </w:pPr>
          </w:p>
        </w:tc>
        <w:tc>
          <w:tcPr>
            <w:tcW w:w="5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7"/>
        </w:trPr>
        <w:tc>
          <w:tcPr>
            <w:tcW w:w="572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September 30, 2019 are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24"/>
                <w:szCs w:val="2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Vehicle Finance</w:t>
            </w: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Vehicle Operating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Pr>
          <w:p>
            <w:pPr>
              <w:spacing w:after="0"/>
              <w:rPr>
                <w:sz w:val="19"/>
                <w:szCs w:val="19"/>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Leases</w:t>
            </w:r>
          </w:p>
        </w:tc>
        <w:tc>
          <w:tcPr>
            <w:tcW w:w="300" w:type="dxa"/>
            <w:vAlign w:val="bottom"/>
          </w:tcPr>
          <w:p>
            <w:pPr>
              <w:spacing w:after="0"/>
              <w:rPr>
                <w:sz w:val="19"/>
                <w:szCs w:val="19"/>
                <w:color w:val="auto"/>
              </w:rPr>
            </w:pPr>
          </w:p>
        </w:tc>
        <w:tc>
          <w:tcPr>
            <w:tcW w:w="1160" w:type="dxa"/>
            <w:vAlign w:val="bottom"/>
          </w:tcPr>
          <w:p>
            <w:pPr>
              <w:jc w:val="right"/>
              <w:ind w:right="351"/>
              <w:spacing w:after="0"/>
              <w:rPr>
                <w:sz w:val="20"/>
                <w:szCs w:val="20"/>
                <w:color w:val="auto"/>
              </w:rPr>
            </w:pPr>
            <w:r>
              <w:rPr>
                <w:rFonts w:ascii="Arial" w:cs="Arial" w:eastAsia="Arial" w:hAnsi="Arial"/>
                <w:sz w:val="16"/>
                <w:szCs w:val="16"/>
                <w:b w:val="1"/>
                <w:bCs w:val="1"/>
                <w:color w:val="auto"/>
              </w:rPr>
              <w:t>Leases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Within 1 year</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Future minimum lease payments required under noncancelable operating leases, including minimum concession fees charged by airport authorities, which in many locations are recoverable from vehicle rental customers, as of December 31, 2018, were as follows:</w:t>
      </w:r>
    </w:p>
    <w:p>
      <w:pPr>
        <w:spacing w:after="0" w:line="134" w:lineRule="exact"/>
        <w:rPr>
          <w:sz w:val="20"/>
          <w:szCs w:val="20"/>
          <w:color w:val="auto"/>
        </w:rPr>
      </w:pPr>
    </w:p>
    <w:tbl>
      <w:tblPr>
        <w:tblLayout w:type="fixed"/>
        <w:tblInd w:w="820" w:type="dxa"/>
        <w:tblCellMar>
          <w:top w:w="0" w:type="dxa"/>
          <w:left w:w="0" w:type="dxa"/>
          <w:bottom w:w="0" w:type="dxa"/>
          <w:right w:w="0" w:type="dxa"/>
        </w:tblCellMar>
      </w:tblPr>
      <w:tr>
        <w:trPr>
          <w:trHeight w:val="246"/>
        </w:trPr>
        <w:tc>
          <w:tcPr>
            <w:tcW w:w="280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2019</w:t>
            </w:r>
          </w:p>
        </w:tc>
        <w:tc>
          <w:tcPr>
            <w:tcW w:w="6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2020</w:t>
            </w:r>
          </w:p>
        </w:tc>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2021</w:t>
            </w:r>
          </w:p>
        </w:tc>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2022</w:t>
            </w:r>
          </w:p>
        </w:tc>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2023</w:t>
            </w:r>
          </w:p>
        </w:tc>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6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840" w:type="dxa"/>
            <w:vAlign w:val="bottom"/>
            <w:vMerge w:val="restart"/>
          </w:tcPr>
          <w:p>
            <w:pPr>
              <w:jc w:val="right"/>
              <w:ind w:right="3550"/>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0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40"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7340" w:hanging="492"/>
        <w:spacing w:after="0" w:line="513" w:lineRule="auto"/>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1"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During third quarter 2019, the Company initiated a restructuring plan to exit its operations in Brazil by closing rental facilities, disposing of assets and terminating personnel (“Brazil”). During the three months ended September 30, 2019, as part of this initiative, the Company formally communicated the termination of employment to approximately 175 employees. The Company recorded $6 million of restructuring expense for the three months ended September 30, 2019 related to this initiative and expects further expense of approximately $10 million to be incurred.</w:t>
      </w:r>
    </w:p>
    <w:p>
      <w:pPr>
        <w:spacing w:after="0" w:line="205" w:lineRule="exact"/>
        <w:rPr>
          <w:rFonts w:ascii="Arial" w:cs="Arial" w:eastAsia="Arial" w:hAnsi="Arial"/>
          <w:sz w:val="18"/>
          <w:szCs w:val="18"/>
          <w:b w:val="1"/>
          <w:bCs w:val="1"/>
          <w:color w:val="auto"/>
        </w:rPr>
      </w:pPr>
    </w:p>
    <w:p>
      <w:pPr>
        <w:ind w:left="500" w:right="1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U.S. truck rental operations by reducing headcount, large vehicles and rental locations (“T19”). During the nine months ended September 30, 2019, as part of this process, the Company formally communicated the termination of employment to approximately 470 employees, and as of September 30, 2019, the Company had terminated approximately 365 of these employees. The Company expects further restructuring expense of approximately $15 million related to this initiative to be incurred in 2019.</w:t>
      </w:r>
    </w:p>
    <w:p>
      <w:pPr>
        <w:spacing w:after="0" w:line="208"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2018, the Company initiated a strategic restructuring plan to improve processes and reduce headcount in response to its new workforce planning technology that allows more effective management of staff levels (“Workforce planning”). The costs associated with this initiative primarily represent severance, outplacement services and other costs associated with employee terminations, the majority of which have been settled in cash. This initiative is complete.</w:t>
      </w:r>
    </w:p>
    <w:p>
      <w:pPr>
        <w:spacing w:after="0" w:line="204" w:lineRule="exact"/>
        <w:rPr>
          <w:rFonts w:ascii="Arial" w:cs="Arial" w:eastAsia="Arial" w:hAnsi="Arial"/>
          <w:sz w:val="18"/>
          <w:szCs w:val="18"/>
          <w:b w:val="1"/>
          <w:bCs w:val="1"/>
          <w:color w:val="auto"/>
        </w:rPr>
      </w:pPr>
    </w:p>
    <w:p>
      <w:pPr>
        <w:ind w:left="500" w:right="7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following tables summarize the changes to our restructuring-related liabilities and identifies the amounts recorded within the Company’s reporting segments for restructuring charges and corresponding payments and utilizations: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rPr>
              <w:t>Americas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Balance as of January 1, 2019</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54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4540" w:type="dxa"/>
            <w:vAlign w:val="bottom"/>
          </w:tcPr>
          <w:p>
            <w:pPr>
              <w:ind w:left="10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4540" w:type="dxa"/>
            <w:vAlign w:val="bottom"/>
          </w:tcPr>
          <w:p>
            <w:pPr>
              <w:ind w:left="240"/>
              <w:spacing w:after="0"/>
              <w:rPr>
                <w:sz w:val="20"/>
                <w:szCs w:val="20"/>
                <w:color w:val="auto"/>
              </w:rPr>
            </w:pPr>
            <w:r>
              <w:rPr>
                <w:rFonts w:ascii="Arial" w:cs="Arial" w:eastAsia="Arial" w:hAnsi="Arial"/>
                <w:sz w:val="18"/>
                <w:szCs w:val="18"/>
                <w:color w:val="auto"/>
              </w:rPr>
              <w:t>Workforce planning</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Balance as of September 30, 2019</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08"/>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Facility</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Personnel</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1"/>
              <w:spacing w:after="0" w:line="234"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Balance as of January 1, 2019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54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4540" w:type="dxa"/>
            <w:vAlign w:val="bottom"/>
          </w:tcPr>
          <w:p>
            <w:pPr>
              <w:ind w:left="10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4540" w:type="dxa"/>
            <w:vAlign w:val="bottom"/>
          </w:tcPr>
          <w:p>
            <w:pPr>
              <w:ind w:left="240"/>
              <w:spacing w:after="0"/>
              <w:rPr>
                <w:sz w:val="20"/>
                <w:szCs w:val="20"/>
                <w:color w:val="auto"/>
              </w:rPr>
            </w:pPr>
            <w:r>
              <w:rPr>
                <w:rFonts w:ascii="Arial" w:cs="Arial" w:eastAsia="Arial" w:hAnsi="Arial"/>
                <w:sz w:val="18"/>
                <w:szCs w:val="18"/>
                <w:color w:val="auto"/>
              </w:rPr>
              <w:t>Workforce planning</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Balance as of September 30,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9" w:lineRule="auto"/>
        <w:tabs>
          <w:tab w:leader="none" w:pos="82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40"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43"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In March 2019, the Company announced the resignation of Mark J. Servodidio as the Company’s President, International effective June 14, 2019. In connection with Mr. Servodidio’s departure, the Company recorded other related charges of approximately $3 million, inclusive of accelerated stock-based compensation expense.</w:t>
      </w:r>
    </w:p>
    <w:p>
      <w:pPr>
        <w:spacing w:after="0" w:line="202"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In May 2019, the Company announced the resignation of Larry D. De Shon as the Company’s President and Chief Executive Officer. Mr. De Shon will continue to serve in his role until a successor has been named and will be employed by the Company through December 31, 2019. In connection with Mr. De Shon’s departure, the Company recorded other related charges of approximately $12 million, inclusive of accelerated stock-based compensation expense and executive search firm fees, and expects approximately $2 million to be incurred in 2019 for the remaining portion of accelerated stock-based compensation expense.</w:t>
      </w:r>
    </w:p>
    <w:p>
      <w:pPr>
        <w:spacing w:after="0" w:line="18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Net income for basic and 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500"/>
        </w:trPr>
        <w:tc>
          <w:tcPr>
            <w:tcW w:w="53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84"/>
        </w:trPr>
        <w:tc>
          <w:tcPr>
            <w:tcW w:w="5320" w:type="dxa"/>
            <w:vAlign w:val="bottom"/>
          </w:tcPr>
          <w:p>
            <w:pPr>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53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hanging="326"/>
        <w:spacing w:after="0"/>
        <w:tabs>
          <w:tab w:leader="none" w:pos="820" w:val="left"/>
        </w:tabs>
        <w:numPr>
          <w:ilvl w:val="1"/>
          <w:numId w:val="12"/>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2019 and 2018, 0.4 million and 0.5 million non-vested stock awards, respectively, have an anti-dilutive effect and therefore are excluded from the computation of diluted weighted average shares outstanding. For the nine months ended September 30, 2019 and 2018, 0.5 million and 0.2 million non-vested stock awards, respectively, have an anti-dilutive effect and therefore are excluded from the computation of diluted weighted average shares outstanding.</w:t>
      </w:r>
    </w:p>
    <w:p>
      <w:pPr>
        <w:spacing w:after="0" w:line="253"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Avis and Budget Licensees</w:t>
      </w:r>
    </w:p>
    <w:p>
      <w:pPr>
        <w:spacing w:after="0" w:line="247"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In 2019, the Company completed the acquisitions of various licensees primarily in North America, for approximately $40 million, plus $27 million for acquired fleet, of which $64 million was paid. The remaining $3 million of the purchase price will be paid primarily in 2020. These investments were in-line with the Company’s strategy to re-acquire licensees when advantageous to expand its footprint of Company-operated locations. The acquired fleet was financed under the Company’s existing financing arrangements. The excess of the purchase price over preliminary fair value of net assets acquired was allocated to goodwill, which was assigned to the Company’s Americas reportable segment. In connection with these acquisitions, approximately $21 million was recorded in goodwill, other intangibles of $12 million related to license agreements and $7 million related to customer relationships. The license agreements and customer relationships are being amortized over a weighted average useful life of approximately three years. The goodwill is expected to be deductible for tax purposes. The fair value of the assets acquired and liabilities assumed has not yet been finalized and is therefore subject to change.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40"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As of</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7"/>
                <w:szCs w:val="17"/>
                <w:color w:val="auto"/>
              </w:rPr>
            </w:pPr>
          </w:p>
        </w:tc>
        <w:tc>
          <w:tcPr>
            <w:tcW w:w="15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As of December</w:t>
            </w:r>
          </w:p>
        </w:tc>
      </w:tr>
      <w:tr>
        <w:trPr>
          <w:trHeight w:val="246"/>
        </w:trPr>
        <w:tc>
          <w:tcPr>
            <w:tcW w:w="68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31, 2018</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2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September 30, 2019</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2018</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68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80" w:type="dxa"/>
            <w:vAlign w:val="bottom"/>
          </w:tcPr>
          <w:p>
            <w:pPr>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1"/>
        </w:trPr>
        <w:tc>
          <w:tcPr>
            <w:tcW w:w="268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68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80" w:type="dxa"/>
            <w:vAlign w:val="bottom"/>
          </w:tcPr>
          <w:p>
            <w:pPr>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For the three months ended September 30, 2019 and 2018, amortization expense related to amortizable intangible assets was approximately $13 million and $15 million, respectively. For the nine months ended September 30, 2019 and 2018, amortization expense related to amortizable intangible assets was approximately $44 million and $ 48 million, respectively. Based on the Company’s amortizable intangible assets at September 30, 2019, the Company expects amortization expense of approximately $13 million for the remainder of 2019, $52 million for 2020, $39 million for 2021, $28 million for 2022, $22 million for 2023 and $19 million for 2024, excluding effects of currency exchange rates.</w:t>
      </w:r>
    </w:p>
    <w:p>
      <w:pPr>
        <w:spacing w:after="0" w:line="187"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Rental vehicles</w:t>
            </w:r>
          </w:p>
        </w:tc>
        <w:tc>
          <w:tcPr>
            <w:tcW w:w="3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13,691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color w:val="auto"/>
              </w:rPr>
              <w:t>Vehicles held for sale</w:t>
            </w:r>
          </w:p>
        </w:tc>
        <w:tc>
          <w:tcPr>
            <w:tcW w:w="3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0"/>
                <w:szCs w:val="20"/>
                <w:color w:val="auto"/>
              </w:rPr>
            </w:pPr>
            <w:r>
              <w:rPr>
                <w:rFonts w:ascii="Arial" w:cs="Arial" w:eastAsia="Arial" w:hAnsi="Arial"/>
                <w:sz w:val="18"/>
                <w:szCs w:val="18"/>
                <w:color w:val="auto"/>
              </w:rPr>
              <w:t>Vehicles, net</w:t>
            </w:r>
          </w:p>
        </w:tc>
        <w:tc>
          <w:tcPr>
            <w:tcW w:w="3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12,752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20" w:type="dxa"/>
            <w:vAlign w:val="bottom"/>
            <w:vMerge w:val="restart"/>
          </w:tcPr>
          <w:p>
            <w:pPr>
              <w:jc w:val="right"/>
              <w:ind w:right="1450"/>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0"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1920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5"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14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540</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w:t>
            </w:r>
          </w:p>
        </w:tc>
      </w:tr>
      <w:tr>
        <w:trPr>
          <w:trHeight w:val="20"/>
        </w:trPr>
        <w:tc>
          <w:tcPr>
            <w:tcW w:w="4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5"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1,457</w:t>
        <w:tab/>
        <w:t>$</w:t>
      </w:r>
      <w:r>
        <w:rPr>
          <w:sz w:val="20"/>
          <w:szCs w:val="20"/>
          <w:color w:val="auto"/>
        </w:rPr>
        <w:tab/>
      </w:r>
      <w:r>
        <w:rPr>
          <w:rFonts w:ascii="Arial" w:cs="Arial" w:eastAsia="Arial" w:hAnsi="Arial"/>
          <w:sz w:val="18"/>
          <w:szCs w:val="18"/>
          <w:color w:val="auto"/>
        </w:rPr>
        <w:t>1,536</w:t>
      </w:r>
    </w:p>
    <w:p>
      <w:pPr>
        <w:spacing w:after="0" w:line="63" w:lineRule="exact"/>
        <w:rPr>
          <w:sz w:val="20"/>
          <w:szCs w:val="20"/>
          <w:color w:val="auto"/>
        </w:rPr>
      </w:pPr>
    </w:p>
    <w:p>
      <w:pPr>
        <w:ind w:left="2620" w:hanging="1576"/>
        <w:spacing w:after="0"/>
        <w:tabs>
          <w:tab w:leader="none" w:pos="2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192</w:t>
      </w:r>
    </w:p>
    <w:p>
      <w:pPr>
        <w:spacing w:after="0" w:line="63" w:lineRule="exact"/>
        <w:rPr>
          <w:rFonts w:ascii="Arial" w:cs="Arial" w:eastAsia="Arial" w:hAnsi="Arial"/>
          <w:sz w:val="18"/>
          <w:szCs w:val="18"/>
          <w:color w:val="auto"/>
        </w:rPr>
      </w:pPr>
    </w:p>
    <w:p>
      <w:pPr>
        <w:ind w:left="2660" w:hanging="1575"/>
        <w:spacing w:after="0"/>
        <w:tabs>
          <w:tab w:leader="none" w:pos="2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1920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1,579</w:t>
        <w:tab/>
        <w:t>$</w:t>
      </w:r>
      <w:r>
        <w:rPr>
          <w:sz w:val="20"/>
          <w:szCs w:val="20"/>
          <w:color w:val="auto"/>
        </w:rPr>
        <w:tab/>
      </w:r>
      <w:r>
        <w:rPr>
          <w:rFonts w:ascii="Arial" w:cs="Arial" w:eastAsia="Arial" w:hAnsi="Arial"/>
          <w:sz w:val="18"/>
          <w:szCs w:val="18"/>
          <w:color w:val="auto"/>
        </w:rPr>
        <w:t>1,693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700" w:space="120"/>
            <w:col w:w="3600"/>
          </w:cols>
          <w:pgMar w:left="240" w:top="140" w:right="239" w:bottom="1440" w:gutter="0" w:footer="0" w:header="0"/>
        </w:sectPr>
      </w:pPr>
    </w:p>
    <w:p>
      <w:pPr>
        <w:spacing w:after="0" w:line="23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September 30, 2019 and 2018, the Company had payables related to vehicle purchases included in liabilities under vehicle programs - other of $297 million and $269 million, respectively, and receivables related to vehicle sales included in assets under vehicle programs - receivables from vehicle manufacturers and other of $693 million and $757 million, respectively.</w:t>
      </w:r>
    </w:p>
    <w:p>
      <w:pPr>
        <w:spacing w:after="0" w:line="18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jc w:val="both"/>
        <w:ind w:left="50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2019 was a provision of 41.4%. Such rate differed from the Federal statutory rate of 21.0% primarily due to foreign taxes on our international operations, state taxes, and a one-time net tax effect from the sale of equity investment in Anji during the second quarter of 2019.</w:t>
      </w:r>
    </w:p>
    <w:p>
      <w:pPr>
        <w:spacing w:after="0" w:line="201" w:lineRule="exact"/>
        <w:rPr>
          <w:rFonts w:ascii="Arial" w:cs="Arial" w:eastAsia="Arial" w:hAnsi="Arial"/>
          <w:sz w:val="18"/>
          <w:szCs w:val="18"/>
          <w:b w:val="1"/>
          <w:bCs w:val="1"/>
          <w:color w:val="auto"/>
        </w:rPr>
      </w:pPr>
    </w:p>
    <w:p>
      <w:pPr>
        <w:ind w:left="50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2018 was a provision of 42.4%. Such rate differed from the Federal statutory rate of 21.0% primarily due to an adjustment of the one-time transition tax on the deemed repatriation of cumulative foreign subsidiary earnings initially recorded during the three months ended December 31, 2017 and taxes on the Company’s international operations.</w:t>
      </w:r>
    </w:p>
    <w:p>
      <w:pPr>
        <w:spacing w:after="0" w:line="178" w:lineRule="exact"/>
        <w:rPr>
          <w:rFonts w:ascii="Arial" w:cs="Arial" w:eastAsia="Arial" w:hAnsi="Arial"/>
          <w:sz w:val="18"/>
          <w:szCs w:val="18"/>
          <w:b w:val="1"/>
          <w:bCs w:val="1"/>
          <w:color w:val="auto"/>
        </w:rPr>
      </w:pPr>
    </w:p>
    <w:p>
      <w:pPr>
        <w:ind w:left="500" w:right="6300" w:hanging="492"/>
        <w:spacing w:after="0" w:line="497" w:lineRule="auto"/>
        <w:tabs>
          <w:tab w:leader="none" w:pos="5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Current Liabilities </w:t>
      </w:r>
      <w:r>
        <w:rPr>
          <w:rFonts w:ascii="Arial" w:cs="Arial" w:eastAsia="Arial" w:hAnsi="Arial"/>
          <w:sz w:val="17"/>
          <w:szCs w:val="17"/>
          <w:color w:val="auto"/>
        </w:rPr>
        <w:t>Accounts payable and other current liabilities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sales and use taxes</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advertising and marketing</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payroll and related</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Deferred lease revenues – current</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7"/>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510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5480" w:hanging="492"/>
        <w:spacing w:after="0" w:line="488" w:lineRule="auto"/>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tbl>
      <w:tblPr>
        <w:tblLayout w:type="fixed"/>
        <w:tblInd w:w="52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44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440" w:type="dxa"/>
            <w:vAlign w:val="bottom"/>
          </w:tcPr>
          <w:p>
            <w:pPr>
              <w:spacing w:after="0"/>
              <w:rPr>
                <w:sz w:val="20"/>
                <w:szCs w:val="20"/>
                <w:color w:val="auto"/>
              </w:rPr>
            </w:pPr>
            <w:r>
              <w:rPr>
                <w:rFonts w:ascii="Arial" w:cs="Arial" w:eastAsia="Arial" w:hAnsi="Arial"/>
                <w:sz w:val="16"/>
                <w:szCs w:val="16"/>
                <w:color w:val="auto"/>
              </w:rPr>
              <w:t xml:space="preserve">5½% Senior Notes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1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46"/>
        </w:trPr>
        <w:tc>
          <w:tcPr>
            <w:tcW w:w="5440" w:type="dxa"/>
            <w:vAlign w:val="bottom"/>
          </w:tcPr>
          <w:p>
            <w:pPr>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2025</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1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6"/>
                <w:szCs w:val="16"/>
                <w:color w:val="auto"/>
              </w:rPr>
              <w:t>4½%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6"/>
                <w:szCs w:val="16"/>
                <w:color w:val="auto"/>
              </w:rPr>
              <w:t>4¾%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6"/>
                <w:szCs w:val="16"/>
                <w:color w:val="auto"/>
              </w:rPr>
              <w:t>5¾%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5440" w:type="dxa"/>
            <w:vAlign w:val="bottom"/>
          </w:tcPr>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3,551</w:t>
            </w:r>
          </w:p>
        </w:tc>
        <w:tc>
          <w:tcPr>
            <w:tcW w:w="0" w:type="dxa"/>
            <w:vAlign w:val="bottom"/>
          </w:tcPr>
          <w:p>
            <w:pPr>
              <w:spacing w:after="0"/>
              <w:rPr>
                <w:sz w:val="1"/>
                <w:szCs w:val="1"/>
                <w:color w:val="auto"/>
              </w:rPr>
            </w:pPr>
          </w:p>
        </w:tc>
      </w:tr>
      <w:tr>
        <w:trPr>
          <w:trHeight w:val="283"/>
        </w:trPr>
        <w:tc>
          <w:tcPr>
            <w:tcW w:w="544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0"/>
        </w:trPr>
        <w:tc>
          <w:tcPr>
            <w:tcW w:w="5440" w:type="dxa"/>
            <w:vAlign w:val="bottom"/>
          </w:tcPr>
          <w:p>
            <w:pPr>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7" w:lineRule="auto"/>
        <w:tabs>
          <w:tab w:leader="none" w:pos="8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 portion of these notes have been called for redemption.</w:t>
      </w:r>
    </w:p>
    <w:p>
      <w:pPr>
        <w:ind w:left="820" w:hanging="326"/>
        <w:spacing w:after="0" w:line="225" w:lineRule="auto"/>
        <w:tabs>
          <w:tab w:leader="none" w:pos="8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September 30, 2019, the floating rate term loan due 2025 bears interest at one-month LIBOR plus 200 basis points, for an aggregate rate of 4.05%. The Company has entered into a swap to hedge $700 million of its interest rate exposure related to the floating rate term loan at an aggregate rate of 3.67%.</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14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In July 2019, the Company issued $400 million of its 5¾% Senior Notes due July 2027, at par. The Company used the net proceeds from the offering to redeem $400 million principal amount of its 5½% Senior Notes due April 2023 for $407 million plus accrued interest.</w:t>
      </w:r>
    </w:p>
    <w:p>
      <w:pPr>
        <w:spacing w:after="0" w:line="196"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In September 2019, the Company called $75 million principal amount of its 5</w:t>
      </w:r>
      <w:r>
        <w:rPr>
          <w:rFonts w:ascii="Arial" w:cs="Arial" w:eastAsia="Arial" w:hAnsi="Arial"/>
          <w:sz w:val="16"/>
          <w:szCs w:val="16"/>
          <w:color w:val="auto"/>
        </w:rPr>
        <w:t>½%</w:t>
      </w:r>
      <w:r>
        <w:rPr>
          <w:rFonts w:ascii="Arial" w:cs="Arial" w:eastAsia="Arial" w:hAnsi="Arial"/>
          <w:sz w:val="18"/>
          <w:szCs w:val="18"/>
          <w:color w:val="auto"/>
        </w:rPr>
        <w:t xml:space="preserve"> Senior Notes due April 2023 to be redeemed in October 2019 (see Note 19</w:t>
      </w:r>
      <w:r>
        <w:rPr>
          <w:rFonts w:ascii="Arial" w:cs="Arial" w:eastAsia="Arial" w:hAnsi="Arial"/>
          <w:sz w:val="14"/>
          <w:szCs w:val="14"/>
          <w:color w:val="auto"/>
        </w:rPr>
        <w:t>–</w:t>
      </w:r>
      <w:r>
        <w:rPr>
          <w:rFonts w:ascii="Arial" w:cs="Arial" w:eastAsia="Arial" w:hAnsi="Arial"/>
          <w:sz w:val="18"/>
          <w:szCs w:val="18"/>
          <w:color w:val="auto"/>
        </w:rPr>
        <w:t>Subsequent event).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2019,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58"/>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17"/>
                <w:szCs w:val="17"/>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853</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right="40" w:hanging="326"/>
        <w:spacing w:after="0"/>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329" w:lineRule="exact"/>
        <w:rPr>
          <w:sz w:val="20"/>
          <w:szCs w:val="20"/>
          <w:color w:val="auto"/>
        </w:rPr>
      </w:pPr>
    </w:p>
    <w:p>
      <w:pPr>
        <w:ind w:left="500" w:right="380"/>
        <w:spacing w:after="0" w:line="262" w:lineRule="auto"/>
        <w:rPr>
          <w:sz w:val="20"/>
          <w:szCs w:val="20"/>
          <w:color w:val="auto"/>
        </w:rPr>
      </w:pPr>
      <w:r>
        <w:rPr>
          <w:rFonts w:ascii="Arial" w:cs="Arial" w:eastAsia="Arial" w:hAnsi="Arial"/>
          <w:sz w:val="18"/>
          <w:szCs w:val="18"/>
          <w:color w:val="auto"/>
        </w:rPr>
        <w:t>At September 30, 2019, the Company had various uncommitted credit facilities available, under which it had drawn approximately $1 million, which bear interest at rates between 0.79% and 1.53%.</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40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consolidated first lien leverage ratio requirement. As of September 30, 2019, the Company was in compliance with the financial covenants governing its indebtedness.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40"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3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9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7,910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2"/>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Finance leases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820" w:right="220" w:hanging="326"/>
        <w:spacing w:after="0" w:line="218"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September 30, 2019 and December 31, 2018 was $40 million and $35 million, respectively.</w:t>
      </w:r>
    </w:p>
    <w:p>
      <w:pPr>
        <w:spacing w:after="0" w:line="200" w:lineRule="exact"/>
        <w:rPr>
          <w:sz w:val="20"/>
          <w:szCs w:val="20"/>
          <w:color w:val="auto"/>
        </w:rPr>
      </w:pPr>
    </w:p>
    <w:p>
      <w:pPr>
        <w:ind w:left="500" w:right="200"/>
        <w:spacing w:after="0" w:line="262" w:lineRule="auto"/>
        <w:rPr>
          <w:sz w:val="20"/>
          <w:szCs w:val="20"/>
          <w:color w:val="auto"/>
        </w:rPr>
      </w:pPr>
      <w:r>
        <w:rPr>
          <w:rFonts w:ascii="Arial" w:cs="Arial" w:eastAsia="Arial" w:hAnsi="Arial"/>
          <w:sz w:val="18"/>
          <w:szCs w:val="18"/>
          <w:color w:val="auto"/>
        </w:rPr>
        <w:t>In February 2019, the Company’s Avis Budget Rental Car Funding subsidiary issued approximately $600 million in asset-backed notes with an expected final payment date of March 2022 incurring interest at a weighted average rate of 3.56%.</w:t>
      </w:r>
    </w:p>
    <w:p>
      <w:pPr>
        <w:spacing w:after="0" w:line="196" w:lineRule="exact"/>
        <w:rPr>
          <w:sz w:val="20"/>
          <w:szCs w:val="20"/>
          <w:color w:val="auto"/>
        </w:rPr>
      </w:pPr>
    </w:p>
    <w:p>
      <w:pPr>
        <w:ind w:left="500" w:right="200"/>
        <w:spacing w:after="0" w:line="262" w:lineRule="auto"/>
        <w:rPr>
          <w:sz w:val="20"/>
          <w:szCs w:val="20"/>
          <w:color w:val="auto"/>
        </w:rPr>
      </w:pPr>
      <w:r>
        <w:rPr>
          <w:rFonts w:ascii="Arial" w:cs="Arial" w:eastAsia="Arial" w:hAnsi="Arial"/>
          <w:sz w:val="18"/>
          <w:szCs w:val="18"/>
          <w:color w:val="auto"/>
        </w:rPr>
        <w:t>In April 2019, the Company’s Avis Budget Rental Car Funding subsidiary issued approximately $ 650 million in asset-backed notes with an expected final payment date of September 2024 incurring interest at a weighted average rate of 3.44%.</w:t>
      </w:r>
    </w:p>
    <w:p>
      <w:pPr>
        <w:spacing w:after="0" w:line="196"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In August 2019, the Company’s Avis Budget Rental Car Funding subsidiary issued approximately $650 million in asset-backed notes with an expected final payment date of March 2025 incurring interest at a weighted average rate of 2.45%.</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September 30, 2019.</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6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r>
      <w:tr>
        <w:trPr>
          <w:trHeight w:val="252"/>
        </w:trPr>
        <w:tc>
          <w:tcPr>
            <w:tcW w:w="8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1"/>
                <w:szCs w:val="21"/>
                <w:b w:val="1"/>
                <w:bCs w:val="1"/>
                <w:color w:val="auto"/>
                <w:vertAlign w:val="superscript"/>
              </w:rPr>
              <w:t>(a)</w:t>
            </w:r>
          </w:p>
        </w:tc>
      </w:tr>
      <w:tr>
        <w:trPr>
          <w:trHeight w:val="237"/>
        </w:trPr>
        <w:tc>
          <w:tcPr>
            <w:tcW w:w="8640" w:type="dxa"/>
            <w:vAlign w:val="bottom"/>
          </w:tcPr>
          <w:p>
            <w:pPr>
              <w:spacing w:after="0"/>
              <w:rPr>
                <w:sz w:val="20"/>
                <w:szCs w:val="20"/>
                <w:color w:val="auto"/>
              </w:rPr>
            </w:pPr>
            <w:r>
              <w:rPr>
                <w:rFonts w:ascii="Arial" w:cs="Arial" w:eastAsia="Arial" w:hAnsi="Arial"/>
                <w:sz w:val="18"/>
                <w:szCs w:val="18"/>
                <w:color w:val="auto"/>
              </w:rPr>
              <w:t>Within 1 year</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96"/>
        </w:trPr>
        <w:tc>
          <w:tcPr>
            <w:tcW w:w="8640" w:type="dxa"/>
            <w:vAlign w:val="bottom"/>
          </w:tcPr>
          <w:p>
            <w:pPr>
              <w:spacing w:after="0"/>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1"/>
                <w:szCs w:val="21"/>
                <w:color w:val="auto"/>
                <w:vertAlign w:val="superscript"/>
              </w:rPr>
              <w:t>(b)</w:t>
            </w: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4,783</w:t>
            </w:r>
          </w:p>
        </w:tc>
      </w:tr>
      <w:tr>
        <w:trPr>
          <w:trHeight w:val="217"/>
        </w:trPr>
        <w:tc>
          <w:tcPr>
            <w:tcW w:w="8640" w:type="dxa"/>
            <w:vAlign w:val="bottom"/>
          </w:tcPr>
          <w:p>
            <w:pPr>
              <w:spacing w:after="0"/>
              <w:rPr>
                <w:sz w:val="20"/>
                <w:szCs w:val="20"/>
                <w:color w:val="auto"/>
              </w:rPr>
            </w:pPr>
            <w:r>
              <w:rPr>
                <w:rFonts w:ascii="Arial" w:cs="Arial" w:eastAsia="Arial" w:hAnsi="Arial"/>
                <w:sz w:val="18"/>
                <w:szCs w:val="18"/>
                <w:color w:val="auto"/>
              </w:rPr>
              <w:t>Between 2 and 3 years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3 and 4 years</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4 and 5 years</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64"/>
        </w:trPr>
        <w:tc>
          <w:tcPr>
            <w:tcW w:w="864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11,642</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7"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Vehicle-backed debt primarily represents asset-backed securities.</w:t>
      </w:r>
    </w:p>
    <w:p>
      <w:pPr>
        <w:ind w:left="820" w:hanging="326"/>
        <w:spacing w:after="0" w:line="199"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$3.7 billion of bank and bank-sponsored facilities.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color w:val="auto"/>
        </w:rPr>
        <w:t>As of September 30, 2019, available funding under the Company’s vehicle programs, including related party debt due to Avis Budget Rental Car Funding, consisted of:</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60" w:type="dxa"/>
            <w:vAlign w:val="bottom"/>
          </w:tcPr>
          <w:p>
            <w:pPr>
              <w:spacing w:after="0"/>
              <w:rPr>
                <w:sz w:val="17"/>
                <w:szCs w:val="17"/>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Available</w:t>
            </w:r>
          </w:p>
        </w:tc>
      </w:tr>
      <w:tr>
        <w:trPr>
          <w:trHeight w:val="252"/>
        </w:trPr>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18"/>
                <w:szCs w:val="18"/>
                <w:color w:val="auto"/>
                <w:w w:val="94"/>
                <w:vertAlign w:val="superscript"/>
              </w:rPr>
              <w:t>(a)</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 xml:space="preserve">Borrowings </w:t>
            </w:r>
            <w:r>
              <w:rPr>
                <w:rFonts w:ascii="Arial" w:cs="Arial" w:eastAsia="Arial" w:hAnsi="Arial"/>
                <w:sz w:val="18"/>
                <w:szCs w:val="18"/>
                <w:color w:val="auto"/>
                <w:w w:val="95"/>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7"/>
        </w:trPr>
        <w:tc>
          <w:tcPr>
            <w:tcW w:w="53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7"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right="540" w:hanging="326"/>
        <w:spacing w:after="0" w:line="218"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$9.4 billion for Americas - Debt due to Avis Budget Rental Car Funding; $1.2 billion for Americas - Debt borrowings; $3.0 billion for International - Debt borrowings; and $0.3 billion for International - Finance leases.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September 30, 2019,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20" w:hanging="492"/>
        <w:spacing w:after="0" w:line="513" w:lineRule="auto"/>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92" w:lineRule="exact"/>
        <w:rPr>
          <w:rFonts w:ascii="Arial" w:cs="Arial" w:eastAsia="Arial" w:hAnsi="Arial"/>
          <w:sz w:val="18"/>
          <w:szCs w:val="18"/>
          <w:b w:val="1"/>
          <w:bCs w:val="1"/>
          <w:color w:val="auto"/>
        </w:rPr>
      </w:pPr>
    </w:p>
    <w:p>
      <w:pPr>
        <w:ind w:left="500" w:right="1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is appealing both verdicts and considers the attribution of liability to the Company, and the amount of damages awarded, to be unsupported by the facts of these cases. The Company has recognized a liability for the expected loss related to these cases, net of recoverable insurance proceeds, of approximately $12 million.</w:t>
      </w:r>
    </w:p>
    <w:p>
      <w:pPr>
        <w:spacing w:after="0" w:line="208"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$30 million in excess of amounts accrued as of September 30, 2019. The Company does not believe that the impact should result in a material liability to the Company in relation to its consolidated financial</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40"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condition or results of operations.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$8.0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Concentrations of credit risk at September 30, 2019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$25 million and $15 million, respectively, related to certain contingent, income tax and other corporate liabilities assumed by Realogy and Wyndham in connection with their disposition.</w:t>
      </w:r>
    </w:p>
    <w:p>
      <w:pPr>
        <w:spacing w:after="0" w:line="184" w:lineRule="exact"/>
        <w:rPr>
          <w:sz w:val="20"/>
          <w:szCs w:val="20"/>
          <w:color w:val="auto"/>
        </w:rPr>
      </w:pPr>
    </w:p>
    <w:p>
      <w:pPr>
        <w:ind w:left="500" w:right="9140" w:hanging="492"/>
        <w:spacing w:after="0" w:line="544" w:lineRule="auto"/>
        <w:tabs>
          <w:tab w:leader="none" w:pos="50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24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$1.8 billion of its common stock under a plan originally approved in 2013 and subsequently expanded, most recently in August 2019. During the nine months ended September 30, 2019, the Company repurchased approximately 2.1 million shares of common stock at a cost of approximately $59 million under the program. During the nine months ended September 30, 2018, the Company repurchased approximately 3.5 million shares of common stock at a cost of approximately $129 million under the program. As of September 30, 2019, approximately $192 million of authorization remains available to repurchase common stock under this plan.</w:t>
      </w:r>
    </w:p>
    <w:p>
      <w:pPr>
        <w:spacing w:after="0" w:line="208" w:lineRule="exact"/>
        <w:rPr>
          <w:rFonts w:ascii="Arial" w:cs="Arial" w:eastAsia="Arial" w:hAnsi="Arial"/>
          <w:sz w:val="17"/>
          <w:szCs w:val="17"/>
          <w:b w:val="1"/>
          <w:bCs w:val="1"/>
          <w:color w:val="auto"/>
        </w:rPr>
      </w:pPr>
    </w:p>
    <w:p>
      <w:pPr>
        <w:ind w:left="5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In June 2019, as part of its share repurchase program, the Company entered into a structured repurchase agreement involving the use of capped call options for the purchase of its common stock. The Company paid a fixed sum upon the execution of the agreement in exchange for the right to receive either a pre-determined amount of cash or stock. The Company paid net premiums of $16 million to enter into this agreement, which was recorded as a reduction of additional paid in capital. In September 2019, the capped call options expired and all outstanding options settled for 0.6 million shares.</w:t>
      </w:r>
    </w:p>
    <w:p>
      <w:pPr>
        <w:spacing w:after="0" w:line="183"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 (Loss)</w:t>
      </w:r>
    </w:p>
    <w:p>
      <w:pPr>
        <w:spacing w:after="0" w:line="247" w:lineRule="exact"/>
        <w:rPr>
          <w:rFonts w:ascii="Arial" w:cs="Arial" w:eastAsia="Arial" w:hAnsi="Arial"/>
          <w:sz w:val="17"/>
          <w:szCs w:val="17"/>
          <w:b w:val="1"/>
          <w:bCs w:val="1"/>
          <w:color w:val="auto"/>
        </w:rPr>
      </w:pPr>
    </w:p>
    <w:p>
      <w:pPr>
        <w:ind w:left="500" w:right="18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320" w:type="dxa"/>
            <w:vAlign w:val="bottom"/>
            <w:gridSpan w:val="5"/>
          </w:tcPr>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24"/>
                <w:szCs w:val="24"/>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1"/>
                <w:szCs w:val="21"/>
                <w:color w:val="auto"/>
              </w:rPr>
            </w:pPr>
          </w:p>
        </w:tc>
        <w:tc>
          <w:tcPr>
            <w:tcW w:w="26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4780" w:type="dxa"/>
            <w:vAlign w:val="bottom"/>
            <w:gridSpan w:val="2"/>
          </w:tcPr>
          <w:p>
            <w:pPr>
              <w:ind w:left="5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4780" w:type="dxa"/>
            <w:vAlign w:val="bottom"/>
            <w:gridSpan w:val="2"/>
          </w:tcPr>
          <w:p>
            <w:pPr>
              <w:ind w:left="5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780" w:type="dxa"/>
            <w:vAlign w:val="bottom"/>
            <w:gridSpan w:val="2"/>
          </w:tcPr>
          <w:p>
            <w:pPr>
              <w:ind w:left="620"/>
              <w:spacing w:after="0"/>
              <w:rPr>
                <w:sz w:val="20"/>
                <w:szCs w:val="20"/>
                <w:color w:val="auto"/>
              </w:rPr>
            </w:pPr>
            <w:r>
              <w:rPr>
                <w:rFonts w:ascii="Arial" w:cs="Arial" w:eastAsia="Arial" w:hAnsi="Arial"/>
                <w:sz w:val="18"/>
                <w:szCs w:val="18"/>
                <w:color w:val="auto"/>
              </w:rPr>
              <w:t>Currency translation adjustments (net of tax of</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80" w:type="dxa"/>
            <w:vAlign w:val="bottom"/>
            <w:gridSpan w:val="2"/>
          </w:tcPr>
          <w:p>
            <w:pPr>
              <w:ind w:left="800"/>
              <w:spacing w:after="0"/>
              <w:rPr>
                <w:sz w:val="20"/>
                <w:szCs w:val="20"/>
                <w:color w:val="auto"/>
              </w:rPr>
            </w:pPr>
            <w:r>
              <w:rPr>
                <w:rFonts w:ascii="Arial" w:cs="Arial" w:eastAsia="Arial" w:hAnsi="Arial"/>
                <w:sz w:val="18"/>
                <w:szCs w:val="18"/>
                <w:color w:val="auto"/>
              </w:rPr>
              <w:t>$(12), $(1), $(14), and $(6)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2"/>
        </w:trPr>
        <w:tc>
          <w:tcPr>
            <w:tcW w:w="4780" w:type="dxa"/>
            <w:vAlign w:val="bottom"/>
            <w:gridSpan w:val="2"/>
          </w:tcPr>
          <w:p>
            <w:pPr>
              <w:ind w:left="620"/>
              <w:spacing w:after="0"/>
              <w:rPr>
                <w:sz w:val="20"/>
                <w:szCs w:val="20"/>
                <w:color w:val="auto"/>
              </w:rPr>
            </w:pPr>
            <w:r>
              <w:rPr>
                <w:rFonts w:ascii="Arial" w:cs="Arial" w:eastAsia="Arial" w:hAnsi="Arial"/>
                <w:sz w:val="18"/>
                <w:szCs w:val="18"/>
                <w:color w:val="auto"/>
              </w:rPr>
              <w:t>Net unrealized gain (loss) on cash flow hedges (net</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80" w:type="dxa"/>
            <w:vAlign w:val="bottom"/>
            <w:gridSpan w:val="2"/>
          </w:tcPr>
          <w:p>
            <w:pPr>
              <w:ind w:left="800"/>
              <w:spacing w:after="0"/>
              <w:rPr>
                <w:sz w:val="20"/>
                <w:szCs w:val="20"/>
                <w:color w:val="auto"/>
              </w:rPr>
            </w:pPr>
            <w:r>
              <w:rPr>
                <w:rFonts w:ascii="Arial" w:cs="Arial" w:eastAsia="Arial" w:hAnsi="Arial"/>
                <w:sz w:val="18"/>
                <w:szCs w:val="18"/>
                <w:color w:val="auto"/>
              </w:rPr>
              <w:t>of tax of $2, $0, and $9, and $(3)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2"/>
        </w:trPr>
        <w:tc>
          <w:tcPr>
            <w:tcW w:w="4780" w:type="dxa"/>
            <w:vAlign w:val="bottom"/>
            <w:gridSpan w:val="2"/>
          </w:tcPr>
          <w:p>
            <w:pPr>
              <w:ind w:left="620"/>
              <w:spacing w:after="0"/>
              <w:rPr>
                <w:sz w:val="20"/>
                <w:szCs w:val="20"/>
                <w:color w:val="auto"/>
              </w:rPr>
            </w:pPr>
            <w:r>
              <w:rPr>
                <w:rFonts w:ascii="Arial" w:cs="Arial" w:eastAsia="Arial" w:hAnsi="Arial"/>
                <w:sz w:val="18"/>
                <w:szCs w:val="18"/>
                <w:color w:val="auto"/>
              </w:rPr>
              <w:t>Minimum pension liability adjustment (net of tax of</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80" w:type="dxa"/>
            <w:vAlign w:val="bottom"/>
            <w:gridSpan w:val="2"/>
          </w:tcPr>
          <w:p>
            <w:pPr>
              <w:ind w:left="800"/>
              <w:spacing w:after="0"/>
              <w:rPr>
                <w:sz w:val="20"/>
                <w:szCs w:val="20"/>
                <w:color w:val="auto"/>
              </w:rPr>
            </w:pPr>
            <w:r>
              <w:rPr>
                <w:rFonts w:ascii="Arial" w:cs="Arial" w:eastAsia="Arial" w:hAnsi="Arial"/>
                <w:sz w:val="18"/>
                <w:szCs w:val="18"/>
                <w:color w:val="auto"/>
              </w:rPr>
              <w:t>$(1), $0, $(1), and $(1), respectively)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4780" w:type="dxa"/>
            <w:vAlign w:val="bottom"/>
            <w:gridSpan w:val="2"/>
          </w:tcPr>
          <w:p>
            <w:pPr>
              <w:ind w:left="5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500"/>
              <w:spacing w:after="0"/>
              <w:rPr>
                <w:sz w:val="20"/>
                <w:szCs w:val="20"/>
                <w:color w:val="auto"/>
              </w:rPr>
            </w:pPr>
            <w:r>
              <w:rPr>
                <w:rFonts w:ascii="Arial" w:cs="Arial" w:eastAsia="Arial" w:hAnsi="Arial"/>
                <w:sz w:val="18"/>
                <w:szCs w:val="18"/>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 Unrealized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Currency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Net Unrealized Gains</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12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99"/>
              </w:rPr>
              <w:t>Adjustments</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for-Sale Securities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December 31,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80"/>
        </w:trPr>
        <w:tc>
          <w:tcPr>
            <w:tcW w:w="2660" w:type="dxa"/>
            <w:vAlign w:val="bottom"/>
          </w:tcPr>
          <w:p>
            <w:pPr>
              <w:ind w:left="120"/>
              <w:spacing w:after="0"/>
              <w:rPr>
                <w:sz w:val="20"/>
                <w:szCs w:val="20"/>
                <w:color w:val="auto"/>
              </w:rPr>
            </w:pPr>
            <w:r>
              <w:rPr>
                <w:rFonts w:ascii="Arial" w:cs="Arial" w:eastAsia="Arial" w:hAnsi="Arial"/>
                <w:sz w:val="13"/>
                <w:szCs w:val="13"/>
                <w:color w:val="auto"/>
              </w:rPr>
              <w:t xml:space="preserve">Cumulative effect of accounting change </w:t>
            </w:r>
            <w:r>
              <w:rPr>
                <w:rFonts w:ascii="Arial" w:cs="Arial" w:eastAsia="Arial" w:hAnsi="Arial"/>
                <w:sz w:val="8"/>
                <w:szCs w:val="8"/>
                <w:b w:val="1"/>
                <w:bCs w:val="1"/>
                <w:color w:val="auto"/>
              </w:rPr>
              <w:t>(c)</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2019</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42"/>
        </w:trPr>
        <w:tc>
          <w:tcPr>
            <w:tcW w:w="2660" w:type="dxa"/>
            <w:vAlign w:val="bottom"/>
          </w:tcPr>
          <w:p>
            <w:pPr>
              <w:ind w:left="20"/>
              <w:spacing w:after="0"/>
              <w:rPr>
                <w:sz w:val="20"/>
                <w:szCs w:val="20"/>
                <w:color w:val="auto"/>
              </w:rPr>
            </w:pPr>
            <w:r>
              <w:rPr>
                <w:rFonts w:ascii="Arial" w:cs="Arial" w:eastAsia="Arial" w:hAnsi="Arial"/>
                <w:sz w:val="13"/>
                <w:szCs w:val="13"/>
                <w:color w:val="auto"/>
              </w:rPr>
              <w:t>Balance, September 30, 2019</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660" w:type="dxa"/>
            <w:vAlign w:val="bottom"/>
          </w:tcPr>
          <w:p>
            <w:pPr>
              <w:ind w:left="20"/>
              <w:spacing w:after="0"/>
              <w:rPr>
                <w:sz w:val="20"/>
                <w:szCs w:val="20"/>
                <w:color w:val="auto"/>
              </w:rPr>
            </w:pPr>
            <w:r>
              <w:rPr>
                <w:rFonts w:ascii="Arial" w:cs="Arial" w:eastAsia="Arial" w:hAnsi="Arial"/>
                <w:sz w:val="13"/>
                <w:szCs w:val="13"/>
                <w:color w:val="auto"/>
              </w:rPr>
              <w:t>Balance, December 31, 2017</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80"/>
        </w:trPr>
        <w:tc>
          <w:tcPr>
            <w:tcW w:w="2660" w:type="dxa"/>
            <w:vAlign w:val="bottom"/>
          </w:tcPr>
          <w:p>
            <w:pPr>
              <w:ind w:left="120"/>
              <w:spacing w:after="0"/>
              <w:rPr>
                <w:sz w:val="20"/>
                <w:szCs w:val="20"/>
                <w:color w:val="auto"/>
              </w:rPr>
            </w:pPr>
            <w:r>
              <w:rPr>
                <w:rFonts w:ascii="Arial" w:cs="Arial" w:eastAsia="Arial" w:hAnsi="Arial"/>
                <w:sz w:val="13"/>
                <w:szCs w:val="13"/>
                <w:color w:val="auto"/>
              </w:rPr>
              <w:t>Cumulative effect of accounting change</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September 30,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$101 million gain, net of tax, as of September 30, 2019 related to the Company’s hedge of its net investment in euro-denominated foreign operations (see Note 16–Financial Instruments).</w:t>
      </w:r>
    </w:p>
    <w:p>
      <w:pPr>
        <w:spacing w:after="0" w:line="5" w:lineRule="exact"/>
        <w:rPr>
          <w:sz w:val="20"/>
          <w:szCs w:val="20"/>
          <w:color w:val="auto"/>
        </w:rPr>
      </w:pPr>
    </w:p>
    <w:p>
      <w:pPr>
        <w:ind w:left="820" w:right="360" w:hanging="326"/>
        <w:spacing w:after="0" w:line="220"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2019, the amount reclassified from accumulated other comprehensive income (loss) into corporate interest expense was $1 million ($0 million, net of tax) and $4 million ($2 million, net of tax), respectively. For the three and nine months ended September 30, 2018, the amounts reclassified from accumulated other comprehensive income (loss) into corporate interest expense were $2 million ($1 million, net of tax), in each period.</w:t>
      </w:r>
    </w:p>
    <w:p>
      <w:pPr>
        <w:spacing w:after="0" w:line="1" w:lineRule="exact"/>
        <w:rPr>
          <w:rFonts w:ascii="Arial" w:cs="Arial" w:eastAsia="Arial" w:hAnsi="Arial"/>
          <w:sz w:val="18"/>
          <w:szCs w:val="18"/>
          <w:color w:val="auto"/>
          <w:vertAlign w:val="superscript"/>
        </w:rPr>
      </w:pPr>
    </w:p>
    <w:p>
      <w:pPr>
        <w:ind w:left="820" w:right="20" w:hanging="326"/>
        <w:spacing w:after="0" w:line="225"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2019, amounts reclassified from accumulated other comprehensive income (loss) into selling, general and administrative expenses were $2 million ($1 million, net of tax) and $6 million ($4 million, net of tax), respectively. For the three and nine months ended September 30, 2018, amounts reclassified from accumulated other</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08"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7" w:lineRule="exact"/>
        <w:rPr>
          <w:sz w:val="20"/>
          <w:szCs w:val="20"/>
          <w:color w:val="auto"/>
        </w:rPr>
      </w:pPr>
    </w:p>
    <w:p>
      <w:pPr>
        <w:ind w:left="820" w:right="660"/>
        <w:spacing w:after="0" w:line="348" w:lineRule="auto"/>
        <w:rPr>
          <w:sz w:val="20"/>
          <w:szCs w:val="20"/>
          <w:color w:val="auto"/>
        </w:rPr>
      </w:pPr>
      <w:r>
        <w:rPr>
          <w:rFonts w:ascii="Arial" w:cs="Arial" w:eastAsia="Arial" w:hAnsi="Arial"/>
          <w:sz w:val="14"/>
          <w:szCs w:val="14"/>
          <w:color w:val="auto"/>
        </w:rPr>
        <w:t>comprehensive income (loss) into selling, general and administrative expenses were $2 million ($2 million, net of tax) and $6 million ($4 million, net of tax), respectively.</w:t>
      </w:r>
    </w:p>
    <w:p>
      <w:pPr>
        <w:ind w:left="820" w:hanging="326"/>
        <w:spacing w:after="0" w:line="206" w:lineRule="auto"/>
        <w:tabs>
          <w:tab w:leader="none" w:pos="820" w:val="left"/>
        </w:tabs>
        <w:numPr>
          <w:ilvl w:val="1"/>
          <w:numId w:val="29"/>
        </w:numPr>
        <w:rPr>
          <w:rFonts w:ascii="Arial" w:cs="Arial" w:eastAsia="Arial" w:hAnsi="Arial"/>
          <w:sz w:val="18"/>
          <w:szCs w:val="18"/>
          <w:color w:val="auto"/>
          <w:vertAlign w:val="superscript"/>
        </w:rPr>
      </w:pPr>
      <w:r>
        <w:rPr>
          <w:rFonts w:ascii="Arial" w:cs="Arial" w:eastAsia="Arial" w:hAnsi="Arial"/>
          <w:sz w:val="14"/>
          <w:szCs w:val="14"/>
          <w:color w:val="auto"/>
        </w:rPr>
        <w:t>See Note 1–Basis of Presentation for the impact of adoption of ASU 2017-12.</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jc w:val="both"/>
        <w:ind w:left="5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$6 million and $7 million ($5 million and $5 million, net of tax) during the three months ended September 30, 2019 and 2018, respectively, and $18 million ($14 million, net of tax) during the nine months ended September 30, 2019 and 2018, in each period.</w:t>
      </w:r>
    </w:p>
    <w:p>
      <w:pPr>
        <w:spacing w:after="0" w:line="20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restricted stock units (“RSUs”) consisted of (in thousands of shares):</w:t>
      </w:r>
    </w:p>
    <w:p>
      <w:pPr>
        <w:spacing w:after="0" w:line="154" w:lineRule="exact"/>
        <w:rPr>
          <w:sz w:val="20"/>
          <w:szCs w:val="20"/>
          <w:color w:val="auto"/>
        </w:rPr>
      </w:pPr>
    </w:p>
    <w:tbl>
      <w:tblPr>
        <w:tblLayout w:type="fixed"/>
        <w:tblInd w:w="576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126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1260" w:type="dxa"/>
            <w:vAlign w:val="bottom"/>
          </w:tcPr>
          <w:p>
            <w:pPr>
              <w:jc w:val="center"/>
              <w:ind w:left="5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1080" w:type="dxa"/>
            <w:vAlign w:val="bottom"/>
          </w:tcPr>
          <w:p>
            <w:pPr>
              <w:jc w:val="center"/>
              <w:ind w:right="179"/>
              <w:spacing w:after="0"/>
              <w:rPr>
                <w:sz w:val="20"/>
                <w:szCs w:val="20"/>
                <w:color w:val="auto"/>
              </w:rPr>
            </w:pPr>
            <w:r>
              <w:rPr>
                <w:rFonts w:ascii="Arial" w:cs="Arial" w:eastAsia="Arial" w:hAnsi="Arial"/>
                <w:sz w:val="16"/>
                <w:szCs w:val="16"/>
                <w:b w:val="1"/>
                <w:bCs w:val="1"/>
                <w:color w:val="auto"/>
              </w:rPr>
              <w:t>Number of</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Grant Date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Intrinsic Value</w:t>
            </w:r>
          </w:p>
        </w:tc>
      </w:tr>
      <w:tr>
        <w:trPr>
          <w:trHeight w:val="215"/>
        </w:trPr>
        <w:tc>
          <w:tcPr>
            <w:tcW w:w="1080" w:type="dxa"/>
            <w:vAlign w:val="bottom"/>
          </w:tcPr>
          <w:p>
            <w:pPr>
              <w:jc w:val="center"/>
              <w:ind w:right="179"/>
              <w:spacing w:after="0"/>
              <w:rPr>
                <w:sz w:val="20"/>
                <w:szCs w:val="20"/>
                <w:color w:val="auto"/>
              </w:rPr>
            </w:pPr>
            <w:r>
              <w:rPr>
                <w:rFonts w:ascii="Arial" w:cs="Arial" w:eastAsia="Arial" w:hAnsi="Arial"/>
                <w:sz w:val="16"/>
                <w:szCs w:val="16"/>
                <w:b w:val="1"/>
                <w:bCs w:val="1"/>
                <w:color w:val="auto"/>
              </w:rPr>
              <w:t>Shares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60" w:type="dxa"/>
            <w:vAlign w:val="bottom"/>
          </w:tcPr>
          <w:p>
            <w:pPr>
              <w:jc w:val="center"/>
              <w:ind w:left="59"/>
              <w:spacing w:after="0"/>
              <w:rPr>
                <w:sz w:val="20"/>
                <w:szCs w:val="20"/>
                <w:color w:val="auto"/>
              </w:rPr>
            </w:pPr>
            <w:r>
              <w:rPr>
                <w:rFonts w:ascii="Arial" w:cs="Arial" w:eastAsia="Arial" w:hAnsi="Arial"/>
                <w:sz w:val="16"/>
                <w:szCs w:val="16"/>
                <w:b w:val="1"/>
                <w:bCs w:val="1"/>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12700</wp:posOffset>
            </wp:positionV>
            <wp:extent cx="3344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Time-based RSUs</w:t>
      </w:r>
    </w:p>
    <w:p>
      <w:pPr>
        <w:sectPr>
          <w:pgSz w:w="11900" w:h="16838" w:orient="portrait"/>
          <w:cols w:equalWidth="0" w:num="1">
            <w:col w:w="11300"/>
          </w:cols>
          <w:pgMar w:left="240" w:top="140" w:right="359" w:bottom="1440" w:gutter="0" w:footer="0" w:header="0"/>
        </w:sectPr>
      </w:pPr>
    </w:p>
    <w:p>
      <w:pPr>
        <w:spacing w:after="0" w:line="1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Outstanding at January 1, 2019</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Forfeited</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Outstanding and expected to vest at September 30, 2019 </w:t>
      </w:r>
      <w:r>
        <w:rPr>
          <w:rFonts w:ascii="Arial" w:cs="Arial" w:eastAsia="Arial" w:hAnsi="Arial"/>
          <w:sz w:val="21"/>
          <w:szCs w:val="21"/>
          <w:color w:val="auto"/>
          <w:vertAlign w:val="superscript"/>
        </w:rPr>
        <w:t>(c)</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Performance-based and market-based RSUs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51" w:type="dxa"/>
        <w:tblCellMar>
          <w:top w:w="0" w:type="dxa"/>
          <w:left w:w="0" w:type="dxa"/>
          <w:bottom w:w="0" w:type="dxa"/>
          <w:right w:w="0" w:type="dxa"/>
        </w:tblCellMar>
      </w:tblPr>
      <w:tr>
        <w:trPr>
          <w:trHeight w:val="195"/>
        </w:trPr>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838</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38.67</w:t>
            </w:r>
          </w:p>
        </w:tc>
      </w:tr>
      <w:tr>
        <w:trPr>
          <w:trHeight w:val="270"/>
        </w:trPr>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606</w:t>
            </w:r>
          </w:p>
        </w:tc>
        <w:tc>
          <w:tcPr>
            <w:tcW w:w="5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34.17</w:t>
            </w:r>
          </w:p>
        </w:tc>
      </w:tr>
    </w:tbl>
    <w:p>
      <w:pPr>
        <w:spacing w:after="0" w:line="75" w:lineRule="exact"/>
        <w:rPr>
          <w:sz w:val="20"/>
          <w:szCs w:val="20"/>
          <w:color w:val="auto"/>
        </w:rPr>
      </w:pPr>
    </w:p>
    <w:p>
      <w:pPr>
        <w:ind w:left="1271" w:hanging="1271"/>
        <w:spacing w:after="0"/>
        <w:tabs>
          <w:tab w:leader="none" w:pos="12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36.00</w:t>
      </w:r>
    </w:p>
    <w:p>
      <w:pPr>
        <w:spacing w:after="0" w:line="86" w:lineRule="exact"/>
        <w:rPr>
          <w:sz w:val="20"/>
          <w:szCs w:val="20"/>
          <w:color w:val="auto"/>
        </w:rPr>
      </w:pPr>
    </w:p>
    <w:p>
      <w:pPr>
        <w:ind w:left="1271" w:hanging="1181"/>
        <w:spacing w:after="0"/>
        <w:tabs>
          <w:tab w:leader="none" w:pos="12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38.76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19050</wp:posOffset>
            </wp:positionV>
            <wp:extent cx="780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3" w:lineRule="exact"/>
        <w:rPr>
          <w:sz w:val="20"/>
          <w:szCs w:val="20"/>
          <w:color w:val="auto"/>
        </w:rPr>
      </w:pPr>
    </w:p>
    <w:p>
      <w:pPr>
        <w:ind w:left="51"/>
        <w:spacing w:after="0"/>
        <w:tabs>
          <w:tab w:leader="none" w:pos="531" w:val="left"/>
          <w:tab w:leader="none" w:pos="1251" w:val="left"/>
          <w:tab w:leader="none" w:pos="2831" w:val="left"/>
          <w:tab w:leader="none" w:pos="3231" w:val="left"/>
          <w:tab w:leader="none" w:pos="4171" w:val="left"/>
        </w:tabs>
        <w:rPr>
          <w:sz w:val="20"/>
          <w:szCs w:val="20"/>
          <w:color w:val="auto"/>
        </w:rPr>
      </w:pPr>
      <w:r>
        <w:rPr>
          <w:rFonts w:ascii="Arial" w:cs="Arial" w:eastAsia="Arial" w:hAnsi="Arial"/>
          <w:sz w:val="16"/>
          <w:szCs w:val="16"/>
          <w:color w:val="auto"/>
        </w:rPr>
        <w:t>886</w:t>
        <w:tab/>
        <w:t>$</w:t>
      </w:r>
      <w:r>
        <w:rPr>
          <w:sz w:val="20"/>
          <w:szCs w:val="20"/>
          <w:color w:val="auto"/>
        </w:rPr>
        <w:tab/>
      </w:r>
      <w:r>
        <w:rPr>
          <w:rFonts w:ascii="Arial" w:cs="Arial" w:eastAsia="Arial" w:hAnsi="Arial"/>
          <w:sz w:val="16"/>
          <w:szCs w:val="16"/>
          <w:color w:val="auto"/>
        </w:rPr>
        <w:t>37.10</w:t>
      </w:r>
      <w:r>
        <w:rPr>
          <w:sz w:val="20"/>
          <w:szCs w:val="20"/>
          <w:color w:val="auto"/>
        </w:rPr>
        <w:tab/>
      </w:r>
      <w:r>
        <w:rPr>
          <w:rFonts w:ascii="Arial" w:cs="Arial" w:eastAsia="Arial" w:hAnsi="Arial"/>
          <w:sz w:val="16"/>
          <w:szCs w:val="16"/>
          <w:color w:val="auto"/>
        </w:rPr>
        <w:t>1.3</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19050</wp:posOffset>
            </wp:positionV>
            <wp:extent cx="780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36195</wp:posOffset>
            </wp:positionV>
            <wp:extent cx="7804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5649" w:space="720"/>
            <w:col w:w="4931"/>
          </w:cols>
          <w:pgMar w:left="240" w:top="140" w:right="35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Outstanding at January 1, 2019</w:t>
      </w:r>
    </w:p>
    <w:p>
      <w:pPr>
        <w:spacing w:after="0" w:line="8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Forfeited</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Outstanding at September 30, 2019</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Outstanding and expected to vest at September 30, 2019 </w:t>
      </w:r>
      <w:r>
        <w:rPr>
          <w:rFonts w:ascii="Arial" w:cs="Arial" w:eastAsia="Arial" w:hAnsi="Arial"/>
          <w:sz w:val="21"/>
          <w:szCs w:val="21"/>
          <w:color w:val="auto"/>
          <w:vertAlign w:val="superscript"/>
        </w:rPr>
        <w:t>(c)</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720"/>
        <w:spacing w:after="0"/>
        <w:tabs>
          <w:tab w:leader="none" w:pos="1340" w:val="left"/>
          <w:tab w:leader="none" w:pos="2060" w:val="left"/>
        </w:tabs>
        <w:rPr>
          <w:sz w:val="20"/>
          <w:szCs w:val="20"/>
          <w:color w:val="auto"/>
        </w:rPr>
      </w:pPr>
      <w:r>
        <w:rPr>
          <w:rFonts w:ascii="Arial" w:cs="Arial" w:eastAsia="Arial" w:hAnsi="Arial"/>
          <w:sz w:val="16"/>
          <w:szCs w:val="16"/>
          <w:color w:val="auto"/>
        </w:rPr>
        <w:t>1,169</w:t>
        <w:tab/>
        <w:t>$</w:t>
      </w:r>
      <w:r>
        <w:rPr>
          <w:sz w:val="20"/>
          <w:szCs w:val="20"/>
          <w:color w:val="auto"/>
        </w:rPr>
        <w:tab/>
      </w:r>
      <w:r>
        <w:rPr>
          <w:rFonts w:ascii="Arial" w:cs="Arial" w:eastAsia="Arial" w:hAnsi="Arial"/>
          <w:sz w:val="15"/>
          <w:szCs w:val="15"/>
          <w:color w:val="auto"/>
        </w:rPr>
        <w:t>35.14</w:t>
      </w:r>
    </w:p>
    <w:p>
      <w:pPr>
        <w:spacing w:after="0" w:line="86" w:lineRule="exact"/>
        <w:rPr>
          <w:sz w:val="20"/>
          <w:szCs w:val="20"/>
          <w:color w:val="auto"/>
        </w:rPr>
      </w:pPr>
    </w:p>
    <w:p>
      <w:pPr>
        <w:ind w:left="2080" w:hanging="1217"/>
        <w:spacing w:after="0"/>
        <w:tabs>
          <w:tab w:leader="none" w:pos="2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34.56</w:t>
      </w:r>
    </w:p>
    <w:p>
      <w:pPr>
        <w:spacing w:after="0" w:line="8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ind w:left="2080" w:hanging="1271"/>
        <w:spacing w:after="0"/>
        <w:tabs>
          <w:tab w:leader="none" w:pos="2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804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38.27</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1220" w:type="dxa"/>
            <w:vAlign w:val="bottom"/>
          </w:tcPr>
          <w:p>
            <w:pPr>
              <w:jc w:val="right"/>
              <w:spacing w:after="0"/>
              <w:rPr>
                <w:sz w:val="20"/>
                <w:szCs w:val="20"/>
                <w:color w:val="auto"/>
              </w:rPr>
            </w:pPr>
            <w:r>
              <w:rPr>
                <w:rFonts w:ascii="Arial" w:cs="Arial" w:eastAsia="Arial" w:hAnsi="Arial"/>
                <w:sz w:val="16"/>
                <w:szCs w:val="16"/>
                <w:color w:val="auto"/>
              </w:rPr>
              <w:t>524</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39.31</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240" w:lineRule="exact"/>
        <w:rPr>
          <w:sz w:val="20"/>
          <w:szCs w:val="20"/>
          <w:color w:val="auto"/>
        </w:rPr>
      </w:pPr>
    </w:p>
    <w:p>
      <w:pPr>
        <w:sectPr>
          <w:pgSz w:w="11900" w:h="16838" w:orient="portrait"/>
          <w:cols w:equalWidth="0" w:num="2">
            <w:col w:w="4920" w:space="640"/>
            <w:col w:w="5740"/>
          </w:cols>
          <w:pgMar w:left="240" w:top="140" w:right="359" w:bottom="1440" w:gutter="0" w:footer="0" w:header="0"/>
          <w:type w:val="continuous"/>
        </w:sectPr>
      </w:pPr>
    </w:p>
    <w:p>
      <w:pPr>
        <w:ind w:left="820" w:hanging="326"/>
        <w:spacing w:after="0" w:line="220"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nine months ended September 30, 2018 was $48.41 and $48.52,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September 30, 2019 and 2018 was $18 million and $20 million, respectively.</w:t>
      </w:r>
    </w:p>
    <w:p>
      <w:pPr>
        <w:ind w:left="820" w:right="120" w:hanging="326"/>
        <w:spacing w:after="0" w:line="218"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RSUs amounted to $36 million and will be recognized over a weighted average vesting period of 1.5 years.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8"/>
        </w:trPr>
        <w:tc>
          <w:tcPr>
            <w:tcW w:w="466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Outstanding at January 1, 2019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9"/>
        </w:trPr>
        <w:tc>
          <w:tcPr>
            <w:tcW w:w="4660" w:type="dxa"/>
            <w:vAlign w:val="bottom"/>
          </w:tcPr>
          <w:p>
            <w:pPr>
              <w:ind w:left="140"/>
              <w:spacing w:after="0"/>
              <w:rPr>
                <w:sz w:val="20"/>
                <w:szCs w:val="20"/>
                <w:color w:val="auto"/>
              </w:rPr>
            </w:pPr>
            <w:r>
              <w:rPr>
                <w:rFonts w:ascii="Arial" w:cs="Arial" w:eastAsia="Arial" w:hAnsi="Arial"/>
                <w:sz w:val="16"/>
                <w:szCs w:val="16"/>
                <w:color w:val="auto"/>
              </w:rPr>
              <w:t xml:space="preserve">Exercised </w:t>
            </w:r>
            <w:r>
              <w:rPr>
                <w:rFonts w:ascii="Arial" w:cs="Arial" w:eastAsia="Arial" w:hAnsi="Arial"/>
                <w:sz w:val="21"/>
                <w:szCs w:val="21"/>
                <w:color w:val="auto"/>
                <w:vertAlign w:val="superscript"/>
              </w:rPr>
              <w:t>(a)</w:t>
            </w:r>
          </w:p>
        </w:tc>
        <w:tc>
          <w:tcPr>
            <w:tcW w:w="13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4660" w:type="dxa"/>
            <w:vAlign w:val="bottom"/>
          </w:tcPr>
          <w:p>
            <w:pPr>
              <w:ind w:left="14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Outstanding and exercisable at September 30, 2019</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6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1"/>
          <w:numId w:val="36"/>
        </w:numPr>
        <w:rPr>
          <w:rFonts w:ascii="Arial" w:cs="Arial" w:eastAsia="Arial" w:hAnsi="Arial"/>
          <w:sz w:val="18"/>
          <w:szCs w:val="18"/>
          <w:color w:val="auto"/>
          <w:vertAlign w:val="superscript"/>
        </w:rPr>
      </w:pPr>
      <w:r>
        <w:rPr>
          <w:rFonts w:ascii="Arial" w:cs="Arial" w:eastAsia="Arial" w:hAnsi="Arial"/>
          <w:sz w:val="14"/>
          <w:szCs w:val="14"/>
          <w:color w:val="auto"/>
        </w:rPr>
        <w:t>Stock options exercised during the nine months ended September 30, 2018 had an aggregate intrinsic value of $8 million and the cash received was $2 million.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jc w:val="both"/>
        <w:ind w:left="500" w:right="600"/>
        <w:spacing w:after="0" w:line="26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w:t>
      </w:r>
    </w:p>
    <w:p>
      <w:pPr>
        <w:sectPr>
          <w:pgSz w:w="11900" w:h="16838" w:orient="portrait"/>
          <w:cols w:equalWidth="0" w:num="1">
            <w:col w:w="11300"/>
          </w:cols>
          <w:pgMar w:left="240" w:top="140" w:right="359" w:bottom="1440" w:gutter="0" w:footer="0" w:header="0"/>
          <w:type w:val="continuous"/>
        </w:sect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00"/>
          </w:cols>
          <w:pgMar w:left="240" w:top="140" w:right="3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55"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17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an immaterial amount of loss currently recorded in accumulated other comprehensive income (loss) will be recognized in earnings over the next 12 months.</w:t>
      </w:r>
    </w:p>
    <w:p>
      <w:pPr>
        <w:spacing w:after="0" w:line="189" w:lineRule="exact"/>
        <w:rPr>
          <w:sz w:val="20"/>
          <w:szCs w:val="20"/>
          <w:color w:val="auto"/>
        </w:rPr>
      </w:pPr>
    </w:p>
    <w:p>
      <w:pPr>
        <w:jc w:val="both"/>
        <w:ind w:left="500" w:right="2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September 30,</w:t>
            </w:r>
          </w:p>
        </w:tc>
      </w:tr>
      <w:tr>
        <w:trPr>
          <w:trHeight w:val="228"/>
        </w:trPr>
        <w:tc>
          <w:tcPr>
            <w:tcW w:w="8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24"/>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1,445</w:t>
            </w:r>
          </w:p>
        </w:tc>
      </w:tr>
      <w:tr>
        <w:trPr>
          <w:trHeight w:val="292"/>
        </w:trPr>
        <w:tc>
          <w:tcPr>
            <w:tcW w:w="866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7,754</w:t>
            </w:r>
          </w:p>
        </w:tc>
      </w:tr>
      <w:tr>
        <w:trPr>
          <w:trHeight w:val="195"/>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473"/>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Represents $5.4 billion of interest rate caps sold, partially offset by approximately $2.4 billion of interest rate caps purchased. These amounts exclude $3.0 billion of interest rate caps purchased by the Company’s Avis Budget Rental Car Funding subsidiary as it is not consolidated by the Company.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As of September 30, 2019</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2018</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219"/>
              <w:spacing w:after="0"/>
              <w:rPr>
                <w:sz w:val="20"/>
                <w:szCs w:val="20"/>
                <w:color w:val="auto"/>
              </w:rPr>
            </w:pPr>
            <w:r>
              <w:rPr>
                <w:rFonts w:ascii="Arial" w:cs="Arial" w:eastAsia="Arial" w:hAnsi="Arial"/>
                <w:sz w:val="16"/>
                <w:szCs w:val="16"/>
                <w:b w:val="1"/>
                <w:bCs w:val="1"/>
                <w:color w:val="auto"/>
                <w:w w:val="98"/>
              </w:rPr>
              <w:t>Fair Value,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7"/>
                <w:szCs w:val="17"/>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Derivative</w:t>
            </w:r>
          </w:p>
        </w:tc>
        <w:tc>
          <w:tcPr>
            <w:tcW w:w="0" w:type="dxa"/>
            <w:vAlign w:val="bottom"/>
          </w:tcPr>
          <w:p>
            <w:pPr>
              <w:spacing w:after="0"/>
              <w:rPr>
                <w:sz w:val="1"/>
                <w:szCs w:val="1"/>
                <w:color w:val="auto"/>
              </w:rPr>
            </w:pPr>
          </w:p>
        </w:tc>
      </w:tr>
      <w:tr>
        <w:trPr>
          <w:trHeight w:val="228"/>
        </w:trPr>
        <w:tc>
          <w:tcPr>
            <w:tcW w:w="4240" w:type="dxa"/>
            <w:vAlign w:val="bottom"/>
          </w:tcPr>
          <w:p>
            <w:pPr>
              <w:spacing w:after="0"/>
              <w:rPr>
                <w:sz w:val="19"/>
                <w:szCs w:val="19"/>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left="219"/>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51"/>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2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4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24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(b)</w:t>
            </w:r>
          </w:p>
        </w:tc>
        <w:tc>
          <w:tcPr>
            <w:tcW w:w="11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4240" w:type="dxa"/>
            <w:vAlign w:val="bottom"/>
          </w:tcPr>
          <w:p>
            <w:pPr>
              <w:ind w:left="12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left="500" w:right="26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14–Stockholders’ Equity.</w:t>
      </w:r>
    </w:p>
    <w:p>
      <w:pPr>
        <w:ind w:left="820" w:hanging="326"/>
        <w:spacing w:after="0" w:line="195"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20" w:hanging="326"/>
        <w:spacing w:after="0" w:line="199"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5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28"/>
        </w:trPr>
        <w:tc>
          <w:tcPr>
            <w:tcW w:w="43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64"/>
        </w:trPr>
        <w:tc>
          <w:tcPr>
            <w:tcW w:w="43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21"/>
        </w:trPr>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55"/>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9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5"/>
        </w:trPr>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9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430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4300" w:type="dxa"/>
            <w:vAlign w:val="bottom"/>
          </w:tcPr>
          <w:p>
            <w:pPr>
              <w:ind w:left="10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3810</wp:posOffset>
            </wp:positionV>
            <wp:extent cx="380746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0746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right="60" w:hanging="326"/>
        <w:spacing w:after="0" w:line="211"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14–Stockholders’ Equity for amounts reclassified from accumulated other comprehensive income into earnings.</w:t>
      </w:r>
    </w:p>
    <w:p>
      <w:pPr>
        <w:ind w:left="820" w:hanging="326"/>
        <w:spacing w:after="0" w:line="187"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225"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2019, included a $9 million gain in interest expense and a $1 million gain in operating expense and for the nine months ended September 30, 2019, included a $20 million gain in interest expense and a $1 million gain operating expense. For the three months ended September 30, 2018, included $5 million gain in interest expense and a $1 million gain in operating expense and for the nine months ended September 30, 2018, included a $12 million gain in interest expense and a $13 million gain in operating expense.</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Included primarily in vehicle interest, net.</w:t>
      </w:r>
    </w:p>
    <w:p>
      <w:pPr>
        <w:ind w:left="820" w:hanging="326"/>
        <w:spacing w:after="0" w:line="199"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September 30, 2019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2018</w:t>
            </w: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3,462</w:t>
            </w:r>
          </w:p>
        </w:tc>
      </w:tr>
      <w:tr>
        <w:trPr>
          <w:trHeight w:val="500"/>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4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7,870</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8,053</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7,383</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2,881</w:t>
            </w:r>
          </w:p>
        </w:tc>
      </w:tr>
      <w:tr>
        <w:trPr>
          <w:trHeight w:val="289"/>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41"/>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decision-maker assesses performance and allocates resources based upon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2"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Anji and income taxes. Net charges for unprecedented personal-injury legal matters and gain on sale of equity method investment in Anji are recorded within operating expenses in the Company’s Consolidated Condensed Statement of Comprehensive Income. Non-operational charges related to shareholder activist activity include third party advisory, legal and other professional service fees and are recorded within selling, general and administrative expenses in the Company’s Consolidated Condensed Statement of Comprehensive Income. The Company has revised the definition of Adjusted EBITDA to exclude the gain on sale of equity method investment in Anji. The Company did not revise prior years’ Adjusted EBITDA because there were no gains similar in nature to this gain. The Company’s presentation of Adjusted EBITDA may not be comparable to similarly-titled measures used by other companies.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spacing w:after="0"/>
              <w:rPr>
                <w:sz w:val="22"/>
                <w:szCs w:val="22"/>
                <w:color w:val="auto"/>
              </w:rPr>
            </w:pPr>
          </w:p>
        </w:tc>
      </w:tr>
      <w:tr>
        <w:trPr>
          <w:trHeight w:val="207"/>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4520" w:type="dxa"/>
            <w:vAlign w:val="bottom"/>
          </w:tcPr>
          <w:p>
            <w:pPr>
              <w:ind w:left="4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4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7"/>
          <w:szCs w:val="17"/>
          <w:color w:val="auto"/>
        </w:rPr>
        <w:t>Less:</w:t>
      </w:r>
      <w:r>
        <w:rPr>
          <w:sz w:val="20"/>
          <w:szCs w:val="20"/>
          <w:color w:val="auto"/>
        </w:rPr>
        <w:tab/>
      </w: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5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540"/>
        </w:trPr>
        <w:tc>
          <w:tcPr>
            <w:tcW w:w="5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540" w:type="dxa"/>
            <w:vAlign w:val="bottom"/>
          </w:tcPr>
          <w:p>
            <w:pPr>
              <w:spacing w:after="0"/>
              <w:rPr>
                <w:sz w:val="24"/>
                <w:szCs w:val="24"/>
                <w:color w:val="auto"/>
              </w:rPr>
            </w:pPr>
          </w:p>
        </w:tc>
        <w:tc>
          <w:tcPr>
            <w:tcW w:w="24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1580" w:type="dxa"/>
            <w:vAlign w:val="bottom"/>
          </w:tcPr>
          <w:p>
            <w:pPr>
              <w:spacing w:after="0"/>
              <w:rPr>
                <w:sz w:val="21"/>
                <w:szCs w:val="21"/>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5800" w:space="720"/>
            <w:col w:w="4900"/>
          </w:cols>
          <w:pgMar w:left="240" w:top="140" w:right="2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62"/>
        </w:trPr>
        <w:tc>
          <w:tcPr>
            <w:tcW w:w="14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spacing w:after="0"/>
              <w:rPr>
                <w:sz w:val="22"/>
                <w:szCs w:val="22"/>
                <w:color w:val="auto"/>
              </w:rPr>
            </w:pPr>
          </w:p>
        </w:tc>
      </w:tr>
      <w:tr>
        <w:trPr>
          <w:trHeight w:val="207"/>
        </w:trPr>
        <w:tc>
          <w:tcPr>
            <w:tcW w:w="14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14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4,822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0"/>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84"/>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5040" w:type="dxa"/>
            <w:vAlign w:val="bottom"/>
            <w:gridSpan w:val="2"/>
          </w:tcPr>
          <w:p>
            <w:pPr>
              <w:ind w:left="92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6400" w:type="dxa"/>
            <w:vAlign w:val="bottom"/>
            <w:gridSpan w:val="4"/>
          </w:tcPr>
          <w:p>
            <w:pPr>
              <w:ind w:left="520"/>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14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320"/>
          </w:cols>
          <w:pgMar w:left="240" w:top="108" w:right="339" w:bottom="1440" w:gutter="0" w:footer="0" w:header="0"/>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8"/>
          <w:szCs w:val="18"/>
          <w:color w:val="auto"/>
        </w:rPr>
        <w:t>Less:</w:t>
      </w:r>
      <w:r>
        <w:rPr>
          <w:sz w:val="20"/>
          <w:szCs w:val="20"/>
          <w:color w:val="auto"/>
        </w:rPr>
        <w:tab/>
      </w:r>
      <w:r>
        <w:rPr>
          <w:rFonts w:ascii="Arial" w:cs="Arial" w:eastAsia="Arial" w:hAnsi="Arial"/>
          <w:sz w:val="18"/>
          <w:szCs w:val="18"/>
          <w:color w:val="auto"/>
        </w:rPr>
        <w:t>Non-vehicle related depreciation and amortization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50" w:lineRule="exact"/>
        <w:rPr>
          <w:sz w:val="20"/>
          <w:szCs w:val="20"/>
          <w:color w:val="auto"/>
        </w:rPr>
      </w:pPr>
    </w:p>
    <w:p>
      <w:pPr>
        <w:ind w:left="1320"/>
        <w:spacing w:after="0" w:line="328" w:lineRule="auto"/>
        <w:rPr>
          <w:sz w:val="20"/>
          <w:szCs w:val="20"/>
          <w:color w:val="auto"/>
        </w:rPr>
      </w:pPr>
      <w:r>
        <w:rPr>
          <w:rFonts w:ascii="Arial" w:cs="Arial" w:eastAsia="Arial" w:hAnsi="Arial"/>
          <w:sz w:val="18"/>
          <w:szCs w:val="18"/>
          <w:color w:val="auto"/>
        </w:rPr>
        <w:t>Non-operational charges related to shareholder activist activity Gain on sale of equity method investment in Anji</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5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540"/>
        </w:trPr>
        <w:tc>
          <w:tcPr>
            <w:tcW w:w="5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40" w:type="dxa"/>
            <w:vAlign w:val="bottom"/>
          </w:tcPr>
          <w:p>
            <w:pPr>
              <w:spacing w:after="0"/>
              <w:rPr>
                <w:sz w:val="23"/>
                <w:szCs w:val="23"/>
                <w:color w:val="auto"/>
              </w:rPr>
            </w:pPr>
          </w:p>
        </w:tc>
        <w:tc>
          <w:tcPr>
            <w:tcW w:w="24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5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5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300" w:space="220"/>
            <w:col w:w="4800"/>
          </w:cols>
          <w:pgMar w:left="240" w:top="108" w:right="3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47" w:lineRule="exact"/>
        <w:rPr>
          <w:sz w:val="20"/>
          <w:szCs w:val="20"/>
          <w:color w:val="auto"/>
        </w:rPr>
      </w:pPr>
    </w:p>
    <w:p>
      <w:pPr>
        <w:ind w:left="500" w:right="260"/>
        <w:spacing w:after="0" w:line="254" w:lineRule="auto"/>
        <w:rPr>
          <w:sz w:val="20"/>
          <w:szCs w:val="20"/>
          <w:color w:val="auto"/>
        </w:rPr>
      </w:pPr>
      <w:r>
        <w:rPr>
          <w:rFonts w:ascii="Arial" w:cs="Arial" w:eastAsia="Arial" w:hAnsi="Arial"/>
          <w:sz w:val="18"/>
          <w:szCs w:val="18"/>
          <w:color w:val="auto"/>
        </w:rPr>
        <w:t>As of September 30, 2019 and December 31, 2018, Americas’ segment assets exclusive of assets under vehicle programs were approximately $5.8 billion and $3.8 billion, respectively, and International segment assets exclusive of assets under vehicle programs were approximately $2.8 billion and $2.5 billion, respectively. The increases in assets exclusive of assets under vehicle programs is primarily due to the adoption of ASU 2016-02 (see Note 1</w:t>
      </w:r>
      <w:r>
        <w:rPr>
          <w:rFonts w:ascii="Arial" w:cs="Arial" w:eastAsia="Arial" w:hAnsi="Arial"/>
          <w:sz w:val="14"/>
          <w:szCs w:val="14"/>
          <w:color w:val="auto"/>
        </w:rPr>
        <w:t>–</w:t>
      </w:r>
      <w:r>
        <w:rPr>
          <w:rFonts w:ascii="Arial" w:cs="Arial" w:eastAsia="Arial" w:hAnsi="Arial"/>
          <w:sz w:val="18"/>
          <w:szCs w:val="18"/>
          <w:color w:val="auto"/>
        </w:rPr>
        <w:t>Basis of Presentation).</w:t>
      </w:r>
    </w:p>
    <w:p>
      <w:pPr>
        <w:spacing w:after="0" w:line="204"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As of September 30, 2019 and December 31, 2018, Americas’ assets under vehicle programs were approximately $10.8 billion and $9.7 billion, respectively, and International assets under vehicle programs were approximately $3.6 billion and $3.1 billion, respectively. The increases in assets under vehicle programs is primarily due to seasonality.</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108"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nine months ended September 30, 2019 and 2018, Consolidating Condensed Balance Sheets as of September 30, 2019 and December 31, 2018, and Consolidating Condensed Statements of Cash Flows for the nine months ended September 30, 2019 and 2018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11–Long-term Corporate Debt and Borrowing Arrangements for additional description of these guaranteed notes. The Senior Notes are guaranteed by the Parent and certain subsidiaries.</w:t>
      </w:r>
    </w:p>
    <w:p>
      <w:pPr>
        <w:spacing w:after="0" w:line="211"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04" w:lineRule="exact"/>
        <w:rPr>
          <w:rFonts w:ascii="Arial" w:cs="Arial" w:eastAsia="Arial" w:hAnsi="Arial"/>
          <w:sz w:val="18"/>
          <w:szCs w:val="18"/>
          <w:b w:val="1"/>
          <w:bCs w:val="1"/>
          <w:color w:val="auto"/>
        </w:rPr>
      </w:pPr>
    </w:p>
    <w:p>
      <w:pPr>
        <w:jc w:val="both"/>
        <w:ind w:left="500" w:right="90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4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As of September 30,</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Non-Guarantor</w:t>
            </w:r>
          </w:p>
        </w:tc>
        <w:tc>
          <w:tcPr>
            <w:tcW w:w="32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Non-Guarantor</w:t>
            </w:r>
          </w:p>
        </w:tc>
        <w:tc>
          <w:tcPr>
            <w:tcW w:w="320" w:type="dxa"/>
            <w:vAlign w:val="bottom"/>
          </w:tcPr>
          <w:p>
            <w:pPr>
              <w:spacing w:after="0"/>
              <w:rPr>
                <w:sz w:val="22"/>
                <w:szCs w:val="22"/>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Program cash</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vertAlign w:val="superscript"/>
              </w:rPr>
              <w:t>(a)</w:t>
            </w: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cash and cash equivalents, program and</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7"/>
        </w:trPr>
        <w:tc>
          <w:tcPr>
            <w:tcW w:w="44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5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0</wp:posOffset>
            </wp:positionV>
            <wp:extent cx="36188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26035"/>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09" w:lineRule="auto"/>
        <w:tabs>
          <w:tab w:leader="none" w:pos="82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7,010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6,737</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40" w:type="dxa"/>
            <w:vAlign w:val="bottom"/>
            <w:vMerge w:val="continue"/>
          </w:tcPr>
          <w:p>
            <w:pPr>
              <w:spacing w:after="0"/>
              <w:rPr>
                <w:sz w:val="21"/>
                <w:szCs w:val="21"/>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2,778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2,423</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0"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(1,792)</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7,074</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6,810</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5,035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9,314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12,542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12,752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14,388</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9,469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18,852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(13,577)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23,108</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2,195</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7,366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3,722</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7,870</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14,221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5,035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(9,340)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9,469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18,852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111"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40" w:right="259" w:bottom="1111"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11,474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12,779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19,149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6,011</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16,987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140"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(10,563)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(10,621)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7,826</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(2,879)</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16,004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16,042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(14,838)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 program and restricted cash</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40"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(10,079)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6,752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(3,421)</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13,371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 program and restricted cash</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140" w:right="2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October 2019, the Company redeemed $75 million principal amount of its 5½% Senior Notes due April 2023 for $76 million plus accrued interest.</w:t>
      </w:r>
    </w:p>
    <w:p>
      <w:pPr>
        <w:spacing w:after="0" w:line="200" w:lineRule="exact"/>
        <w:rPr>
          <w:rFonts w:ascii="Arial" w:cs="Arial" w:eastAsia="Arial" w:hAnsi="Arial"/>
          <w:sz w:val="18"/>
          <w:szCs w:val="18"/>
          <w:b w:val="1"/>
          <w:bCs w:val="1"/>
          <w:color w:val="auto"/>
        </w:rPr>
      </w:pPr>
    </w:p>
    <w:p>
      <w:pPr>
        <w:spacing w:after="0" w:line="220" w:lineRule="exact"/>
        <w:rPr>
          <w:rFonts w:ascii="Arial" w:cs="Arial" w:eastAsia="Arial" w:hAnsi="Arial"/>
          <w:sz w:val="18"/>
          <w:szCs w:val="18"/>
          <w:b w:val="1"/>
          <w:bCs w:val="1"/>
          <w:color w:val="auto"/>
        </w:rPr>
      </w:pPr>
    </w:p>
    <w:p>
      <w:pPr>
        <w:ind w:left="5700"/>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40"/>
          </w:cols>
          <w:pgMar w:left="240" w:top="140" w:right="8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2018 Form 10-K. Our actual results of operations may differ materially from those discussed in forward-looking statements as a result of various factors, including but not limited to those included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2018 Form 10-K. Unless otherwise noted, all dollar amounts in tables are in millions.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regional brands well recognized in their respective markets. We are a leading vehicle rental operator in North America, Europe and Australasia with an average rental fleet during 2018 of nearly 650,000 vehicles. We also license the use of our trademarks to licensees in the areas in which we do not operate directly. We and our licensees operate our brands in approximately 180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 operations and include:</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time &amp; mileage fees charged to our customers for vehicle rentals;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loss damage waivers and insurance and other supplemental items in conjunction with vehicle rentals; and</w:t>
      </w:r>
    </w:p>
    <w:p>
      <w:pPr>
        <w:spacing w:after="0" w:line="171"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vehicle licensing fees and concession fees, which provide the right to operate at airports and other locations.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receive revenue for royalties and associated fees from our licensees in conjunction with their vehicle rental transactions.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To date in 2019, worldwide demand for mobility solutions has increased, and used-vehicle values in the U.S. have stabilized, counterbalanced by the incremental impact of rising interest rates, higher salaries, wages and related benefits. We expect such economic conditions to continue in the remainder of 2019.</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pursue opportunities to enhance profitability and increase return on invested capital. Our strategies are intended to support and strengthen our brands, to grow our margins and earnings over time and to achieve growth and efficiency opportunities as mobility solutions continue to evolve.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operate in a highly competitive industry and we expect to continue to face challenges and risks in managing our business. We seek to mitigate our exposure to risks in numerous ways, including delivering upon our core strategic initiatives and through continued optimization of fleet levels to match changes in demand for vehicle rentals, maintenance of liquidity to fund our fleet investment and operations, appropriate investments in technology, and adjustments in the size and the nature and terms of our relationships with vehicle manufacturers.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average rental fleet times the number of days in the period, and</w:t>
      </w:r>
    </w:p>
    <w:p>
      <w:pPr>
        <w:spacing w:after="0" w:line="1" w:lineRule="exact"/>
        <w:rPr>
          <w:sz w:val="20"/>
          <w:szCs w:val="20"/>
          <w:color w:val="auto"/>
        </w:rPr>
      </w:pPr>
    </w:p>
    <w:p>
      <w:pPr>
        <w:ind w:right="40" w:firstLine="8"/>
        <w:spacing w:after="0" w:line="252"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Anji and income taxes. Net charges for unprecedented personal-injury legal matters and gain on sale of equity method investment in Anji are recorded within operating expenses in our consolidated condensed statement of operations. Non-operational charges related to shareholder activist activity include third party advisory, legal and other professional service fees and are recorded within selling, general and administrative expenses in our consolidated results of operations. We have revised our definition of Adjusted EBITDA to exclude the gain on sale of equity method investment in Anji. We did not revise prior years’ Adjusted EBITDA amounts because there were no gains similar in nature to this gain.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2019:</w:t>
      </w:r>
    </w:p>
    <w:p>
      <w:pPr>
        <w:spacing w:after="0" w:line="225" w:lineRule="exact"/>
        <w:rPr>
          <w:sz w:val="20"/>
          <w:szCs w:val="20"/>
          <w:color w:val="auto"/>
        </w:rPr>
      </w:pPr>
    </w:p>
    <w:p>
      <w:pPr>
        <w:ind w:left="660" w:right="38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revenues totaled $7.0 billion and decreased 1% compared to the similar period in 2018, primarily due to a 2% negative impact from currency exchange rate movements.</w:t>
      </w:r>
    </w:p>
    <w:p>
      <w:pPr>
        <w:spacing w:after="0" w:line="196" w:lineRule="exact"/>
        <w:rPr>
          <w:rFonts w:ascii="Arial" w:cs="Arial" w:eastAsia="Arial" w:hAnsi="Arial"/>
          <w:sz w:val="18"/>
          <w:szCs w:val="18"/>
          <w:color w:val="auto"/>
        </w:rPr>
      </w:pPr>
    </w:p>
    <w:p>
      <w:pPr>
        <w:jc w:val="both"/>
        <w:ind w:left="660" w:right="160" w:hanging="328"/>
        <w:spacing w:after="0" w:line="25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net income was $160 million, representing an $8 million year-over-year improvement in earnings, and our Adjusted EBITDA was $645 million, representing a $6 million year-over-year increase, primarily due to Americas’ lower per-unit fleet costs, partially offset by lower revenues, higher salaries, wages and related benefits and higher interest rates.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repurchased $59 million of our common stock, reducing our shares outstanding by approximately 2.1 million shares, or 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acquired various licensees primarily in North America.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0"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vs. Three Months Ended September 30,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decreased during the three months ended September 30, 2019 compared to the similar period in 2018, primarily as a result of a $44 million negative impact from currency exchange rate movements and a 1% decrease in revenue per day excluding exchange rate effects, partially offset by a 2% increase in volume. Total expenses were primarily unchanged during the three months ended September 30, 2019 compared to the similar period in 2018.</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expenses increased to 46.9% of revenue during the three months ended September 30, 2019 compared to 46.6% during the similar period in 2018. Vehicle depreciation and lease charges decreased to 20.0% of revenue during the three months ended September 30, 2019 compared to 21.2% during the similar period in 2018, primarily due to Americas’ lower per-unit fleet costs. Selling, general and administrative costs increased to 12.7% of revenue during the three months ended September 30, 2019 compared to 12.1% during the similar period in 2018, primarily due to higher salaries, wages, and related benefits, partially offset by lower marketing commissions. Vehicle interest costs increased to 3.3% of revenue during the three months ended September 30, 2019 compared to 3.1% during the similar period in 2018, primarily due to higher interest rates.</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effective tax rates were provisions of 42% and 40% for the three months ended September 30, 2019 and 2018, respectively. As a result of these items, our net income decreased by $24 million compared to the similar period in 2018.</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0"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EBITDA</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83"/>
        </w:trPr>
        <w:tc>
          <w:tcPr>
            <w:tcW w:w="51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512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7"/>
        </w:trPr>
        <w:tc>
          <w:tcPr>
            <w:tcW w:w="51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500"/>
        </w:trPr>
        <w:tc>
          <w:tcPr>
            <w:tcW w:w="51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3"/>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99"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2"/>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1340" w:type="dxa"/>
            <w:vAlign w:val="bottom"/>
          </w:tcPr>
          <w:p>
            <w:pPr>
              <w:spacing w:after="0"/>
              <w:rPr>
                <w:sz w:val="24"/>
                <w:szCs w:val="24"/>
                <w:color w:val="auto"/>
              </w:rPr>
            </w:pPr>
          </w:p>
        </w:tc>
      </w:tr>
      <w:tr>
        <w:trPr>
          <w:trHeight w:val="246"/>
        </w:trPr>
        <w:tc>
          <w:tcPr>
            <w:tcW w:w="7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1340" w:type="dxa"/>
            <w:vAlign w:val="bottom"/>
          </w:tcPr>
          <w:p>
            <w:pPr>
              <w:spacing w:after="0"/>
              <w:rPr>
                <w:sz w:val="21"/>
                <w:szCs w:val="21"/>
                <w:color w:val="auto"/>
              </w:rPr>
            </w:pPr>
          </w:p>
        </w:tc>
      </w:tr>
      <w:tr>
        <w:trPr>
          <w:trHeight w:val="264"/>
        </w:trPr>
        <w:tc>
          <w:tcPr>
            <w:tcW w:w="75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Revenues increased 1% during the three months ended September 30, 2019 compared to the similar period in 2018, primarily due to 3% increase in volume, partially offset by a 2% decrease in revenue per day.</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expenses increased to 46.9% of revenue during the three months ended September 30, 2019 compared to 46.5% during the similar period in 2018, primarily due to higher salaries, wages, and related benefits. Vehicle depreciation and lease charges decreased to 20.1% of revenue during the three months ended September 30, 2019 compared to 21.9% during the similar period in 2018, primarily due to a 9% decrease in per-unit fleet costs. Selling, general and administrative costs increased to 11.8% of revenue during the three months ended September 30, 2019 compared to 11.0% during the similar period in 2018, primarily due to higher salaries, wages, and related benefits, partially offset by lower marketing commissions. Vehicle interest costs increased to 4.0% of revenue during the three months ended September 30, 2019 compared to 3.6% during the similar period in 2018, due to higher interest rates.</w:t>
      </w:r>
    </w:p>
    <w:p>
      <w:pPr>
        <w:spacing w:after="0" w:line="2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Adjusted EBITDA was $8 million higher in third quarter 2019 compared to the similar period in 2018, primarily due to lower per-unit fleet costs and increased revenues, partially offset by higher salaries, wages, and related benefits.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0"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1400" w:type="dxa"/>
            <w:vAlign w:val="bottom"/>
          </w:tcPr>
          <w:p>
            <w:pPr>
              <w:spacing w:after="0"/>
              <w:rPr>
                <w:sz w:val="24"/>
                <w:szCs w:val="24"/>
                <w:color w:val="auto"/>
              </w:rPr>
            </w:pPr>
          </w:p>
        </w:tc>
      </w:tr>
      <w:tr>
        <w:trPr>
          <w:trHeight w:val="246"/>
        </w:trPr>
        <w:tc>
          <w:tcPr>
            <w:tcW w:w="140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400" w:type="dxa"/>
            <w:vAlign w:val="bottom"/>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Revenues decreased 5% during the three months ended September 30, 2019, compared to the similar period in 2018, primarily due to a $42 million negative impact from currency exchange rate movements and a 1% decrease in volume.</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Operating expenses increased to 46.8% of revenue during the three months ended September 30, 2019 compared to 46.5% during the similar period in 2018. Vehicle depreciation and lease charges increased to 19.8% of revenue during the three months ended September 30, 2019 compared to 19.7% during the similar period in 2018. Selling, general and administrative costs decreased to 12.5% of revenue during the three months ended September 30, 2019 compared to 12.8% during the similar period in 2018. Vehicle interest costs decreased to 1.8% of revenue during the three months ended September 30, 2019 compared to 2.0% during the similar period in 2018.</w:t>
      </w:r>
    </w:p>
    <w:p>
      <w:pPr>
        <w:spacing w:after="0" w:line="20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Adjusted EBITDA was $9 million lower in third quarter 2019 compared to the similar period in 2018, primarily due to a $9 million negative impact from currency exchange rate movements, partially offset by mitigating cost reduction 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vs. Nine Months Ended September 30,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6,810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decreased during the nine months ended September 30, 2019 compared to the similar period in 2018, primarily as a result of a $146 million negative impact from currency exchange rate movements and a 1% decrease in revenue per day excluding exchange rate effects, partially offset by a 2% increase in volume. Total expenses decreased during the nine months ended September 30, 2019 compared to the similar period in 2018, primarily due to a $127 million favorable impact from currency exchange rate movements, lower Americas’ per-unit fleet costs and a $44 million gain on the sale of an equity method investment in Anji, partially offset by higher</w:t>
      </w:r>
    </w:p>
    <w:p>
      <w:pPr>
        <w:sectPr>
          <w:pgSz w:w="11900" w:h="16838" w:orient="portrait"/>
          <w:cols w:equalWidth="0" w:num="1">
            <w:col w:w="11400"/>
          </w:cols>
          <w:pgMar w:left="240" w:top="108" w:right="259" w:bottom="1440" w:gutter="0" w:footer="0" w:header="0"/>
        </w:sect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108" w:right="2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related charges and higher interest rates.</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Operating expenses increased to 50.4% of revenue, during the nine months ended September 30, 2019 compared to 50.3% during the similar period in 2018. Vehicle depreciation and lease charges decreased to 22.5% of revenue during the nine months ended September 30, 2019 compared to 23.9% during the similar period in 2018, primarily due to Americas’ lower per-unit fleet costs. Selling, general and administrative costs, at 13.5% of revenue, remained unchanged during the nine months ended September 30, 2019 compared to similar period in 2018. Vehicle interest costs increased to 3.7% of revenue during the nine months ended September 30, 2019 compared to 3.4% during the similar period in 2018, primarily due to higher interest rates.</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effective tax rates were provisions of 41% and 42% for the nine months ended September 30, 2019 and 2018, respectively. As a result of these items, our net income increased by $8 million compared to the similar period in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EBITDA</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83"/>
        </w:trPr>
        <w:tc>
          <w:tcPr>
            <w:tcW w:w="51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0"/>
        </w:trPr>
        <w:tc>
          <w:tcPr>
            <w:tcW w:w="512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7"/>
        </w:trPr>
        <w:tc>
          <w:tcPr>
            <w:tcW w:w="51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500"/>
        </w:trPr>
        <w:tc>
          <w:tcPr>
            <w:tcW w:w="51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3"/>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720" w:type="dxa"/>
            <w:vAlign w:val="bottom"/>
            <w:gridSpan w:val="4"/>
          </w:tcPr>
          <w:p>
            <w:pPr>
              <w:ind w:left="62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(c)</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Gain on sale of equity method investment in Anji </w:t>
            </w:r>
            <w:r>
              <w:rPr>
                <w:rFonts w:ascii="Arial" w:cs="Arial" w:eastAsia="Arial" w:hAnsi="Arial"/>
                <w:sz w:val="18"/>
                <w:szCs w:val="18"/>
                <w:color w:val="auto"/>
                <w:vertAlign w:val="superscript"/>
              </w:rPr>
              <w:t>(d)</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 in our consolidated results of operations.</w:t>
      </w:r>
    </w:p>
    <w:p>
      <w:pPr>
        <w:ind w:left="340" w:hanging="332"/>
        <w:spacing w:after="0" w:line="199"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results of operations (see Note 1 to our Consolidated Condensed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2"/>
        </w:trPr>
        <w:tc>
          <w:tcPr>
            <w:tcW w:w="7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340" w:type="dxa"/>
            <w:vAlign w:val="bottom"/>
          </w:tcPr>
          <w:p>
            <w:pPr>
              <w:spacing w:after="0"/>
              <w:rPr>
                <w:sz w:val="24"/>
                <w:szCs w:val="24"/>
                <w:color w:val="auto"/>
              </w:rPr>
            </w:pPr>
          </w:p>
        </w:tc>
      </w:tr>
      <w:tr>
        <w:trPr>
          <w:trHeight w:val="246"/>
        </w:trPr>
        <w:tc>
          <w:tcPr>
            <w:tcW w:w="7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tcPr>
          <w:p>
            <w:pPr>
              <w:spacing w:after="0"/>
              <w:rPr>
                <w:sz w:val="21"/>
                <w:szCs w:val="21"/>
                <w:color w:val="auto"/>
              </w:rPr>
            </w:pPr>
          </w:p>
        </w:tc>
      </w:tr>
      <w:tr>
        <w:trPr>
          <w:trHeight w:val="264"/>
        </w:trPr>
        <w:tc>
          <w:tcPr>
            <w:tcW w:w="75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Revenues increased 1% during the nine months ended September 30, 2019 compared to the similar period in 2018, primarily due to a 1% increase in volume, partially offset by an $11 million negative impact from currency exchange rate movements.</w:t>
      </w:r>
    </w:p>
    <w:p>
      <w:pPr>
        <w:sectPr>
          <w:pgSz w:w="11900" w:h="16838" w:orient="portrait"/>
          <w:cols w:equalWidth="0" w:num="1">
            <w:col w:w="11400"/>
          </w:cols>
          <w:pgMar w:left="240" w:top="140" w:right="259" w:bottom="1440"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140" w:right="2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Operating expenses increased to 49.6% of revenue during the nine months ended September 30, 2019 compared to 49.3% during the similar period in 2018. Vehicle depreciation and lease charges decreased to 23.3% of revenue during the nine months ended September 30, 2019 compared to 25.7% during the similar period in 2018, primarily due to a 9% decrease in per-unit fleet costs excluding exchange rate effects. Selling, general and administrative costs increased to 12.1% of revenue during the nine months ended September 30, 2019 compared to 11.9% during the similar period in 2018. Vehicle interest costs increased to 4.5% of revenue during the nine months ended September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2019 compared to 4.0% during the similar period in 2018, due to higher interest rates.</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Adjusted EBITDA increased 17% in the nine months ended September 30, 2019 compared to the similar period in 2018, due to lower per-unit fleet costs and increased revenues, partially offset by higher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2"/>
        </w:trPr>
        <w:tc>
          <w:tcPr>
            <w:tcW w:w="7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400" w:type="dxa"/>
            <w:vAlign w:val="bottom"/>
          </w:tcPr>
          <w:p>
            <w:pPr>
              <w:spacing w:after="0"/>
              <w:rPr>
                <w:sz w:val="24"/>
                <w:szCs w:val="24"/>
                <w:color w:val="auto"/>
              </w:rPr>
            </w:pPr>
          </w:p>
        </w:tc>
      </w:tr>
      <w:tr>
        <w:trPr>
          <w:trHeight w:val="246"/>
        </w:trPr>
        <w:tc>
          <w:tcPr>
            <w:tcW w:w="7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tcPr>
          <w:p>
            <w:pPr>
              <w:spacing w:after="0"/>
              <w:rPr>
                <w:sz w:val="21"/>
                <w:szCs w:val="21"/>
                <w:color w:val="auto"/>
              </w:rPr>
            </w:pPr>
          </w:p>
        </w:tc>
      </w:tr>
      <w:tr>
        <w:trPr>
          <w:trHeight w:val="264"/>
        </w:trPr>
        <w:tc>
          <w:tcPr>
            <w:tcW w:w="74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2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Revenues decreased 5% during the nine months ended September 30, 2019 compared to the similar period in 2018, primarily due to a $135 million negative impact from currency exchange rate movements and a 2% decrease in revenue per day excluding exchange rate effects, partially offset by a 3% increase in volume.</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Operating expenses increased to 52.1% of revenue during the nine months ended September 30, 2019 compared to 52.0% during the similar period in 2018. Vehicle depreciation and lease charges increased to 20.9% of revenue during the nine months ended September 30, 2019 compared to 20.4% during the similar period in 2018, primarily due to lower revenues. Selling, general and administrative costs decreased to 14.5% of revenue during the nine months ended September 30, 2019 compared to 14.6% during the similar period in 2018. Vehicle interest costs increased to 2.1% of revenue during the nine months ended September 30, 2019 compared to 2.0% during the similar period in 2018.</w:t>
      </w:r>
    </w:p>
    <w:p>
      <w:pPr>
        <w:spacing w:after="0" w:line="2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Adjusted EBITDA was $65 million lower during the nine months ended September 30, 2019, compared to the similar period in 2018, primarily due to lower revenues and a $21 million negative effect from currency exchange rate movements.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2"/>
        </w:trPr>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5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8,720</w:t>
            </w:r>
          </w:p>
        </w:tc>
        <w:tc>
          <w:tcPr>
            <w:tcW w:w="1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2,350</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2,381</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14,388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1,609</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14,221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1,497</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689"/>
        </w:trPr>
        <w:tc>
          <w:tcPr>
            <w:tcW w:w="520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Total assets exclusive of assets under vehicle programs and total liabilities exclusive of liabilities under vehicle programs increased primarily due to the adoption of ASU 2016-02 (see Note 1 to our Consolidated Condensed Financial Statements).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and operating leases recognized upon the adoption of ASU 2016-02 (see Note 1 to our Consolidated Condensed Financial Statements). The increase in stockholders’ equity is primarily due to our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nine months ended September 30, 2019, our Avis Budget Rental Car Funding subsidiary issued approximately $600 million, $650 million, and $650 million in asset-backed notes with an expected final payment date of March 2022, September 2024, and March 2025, and a weighted average interest rate of 3.56%, 3.44%, and 2.45%, respectively. The proceeds from these borrowings were used to fund the repayment of maturing vehicle-backed debt and the acquisition of rental cars in the United States. In July 2019, we issued $400 million of our 5¾% Senior Notes due July 2027 to redeem a portion of our outstanding 5</w:t>
      </w:r>
      <w:r>
        <w:rPr>
          <w:rFonts w:ascii="Arial" w:cs="Arial" w:eastAsia="Arial" w:hAnsi="Arial"/>
          <w:sz w:val="16"/>
          <w:szCs w:val="16"/>
          <w:color w:val="auto"/>
        </w:rPr>
        <w:t>½</w:t>
      </w:r>
      <w:r>
        <w:rPr>
          <w:rFonts w:ascii="Arial" w:cs="Arial" w:eastAsia="Arial" w:hAnsi="Arial"/>
          <w:sz w:val="18"/>
          <w:szCs w:val="18"/>
          <w:color w:val="auto"/>
        </w:rPr>
        <w:t>% Senior Notes due April 2023. In September 2019, we called $75 million of our 5</w:t>
      </w:r>
      <w:r>
        <w:rPr>
          <w:rFonts w:ascii="Arial" w:cs="Arial" w:eastAsia="Arial" w:hAnsi="Arial"/>
          <w:sz w:val="16"/>
          <w:szCs w:val="16"/>
          <w:color w:val="auto"/>
        </w:rPr>
        <w:t>½%</w:t>
      </w:r>
      <w:r>
        <w:rPr>
          <w:rFonts w:ascii="Arial" w:cs="Arial" w:eastAsia="Arial" w:hAnsi="Arial"/>
          <w:sz w:val="18"/>
          <w:szCs w:val="18"/>
          <w:color w:val="auto"/>
        </w:rPr>
        <w:t xml:space="preserve"> Senior Notes due April 2023 to be redeemed in October 2019. During the nine months ended September 30, 2019, we repurchased approximately 2.1 million shares of our outstanding common stock for approximately $59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Nine Months Ended September 30,</w:t>
            </w: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42"/>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decrease in cash provided by operating activities during the nine months ended September 30, 2019 compared with the same period in 2018 is primarily due to changes in the components of working capital.</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decrease in cash used in investing activities during the nine months ended September 30, 2019 compared with the same period in 2018 is primarily due to an increase in proceeds received on the disposition of vehicles, partially offset by an increase in investment in vehicles.</w:t>
      </w:r>
    </w:p>
    <w:p>
      <w:pPr>
        <w:spacing w:after="0" w:line="1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decrease in cash provided by financing activities during the nine months ended September 30, 2019 compared with the same period in 2018 is primarily due to a decrease in net borrowings under vehicle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September 30, 2019, we had approximately $15.1 billion of indebtedness, including corporate indebtedness of approximately $3.5 billion and debt under vehicle programs of approximately $11.6 billion. For detailed information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440"/>
        <w:spacing w:after="0" w:line="449" w:lineRule="auto"/>
        <w:rPr>
          <w:sz w:val="20"/>
          <w:szCs w:val="20"/>
          <w:color w:val="auto"/>
        </w:rPr>
      </w:pPr>
      <w:r>
        <w:rPr>
          <w:rFonts w:ascii="Arial" w:cs="Arial" w:eastAsia="Arial" w:hAnsi="Arial"/>
          <w:sz w:val="18"/>
          <w:szCs w:val="18"/>
          <w:color w:val="auto"/>
        </w:rPr>
        <w:t xml:space="preserve">regarding our debt and borrowing arrangements, see Notes 11 and 12 to our Consolidated Condensed Financial Statements. </w:t>
      </w:r>
      <w:r>
        <w:rPr>
          <w:rFonts w:ascii="Arial" w:cs="Arial" w:eastAsia="Arial" w:hAnsi="Arial"/>
          <w:sz w:val="18"/>
          <w:szCs w:val="18"/>
          <w:b w:val="1"/>
          <w:bCs w:val="1"/>
          <w:color w:val="auto"/>
        </w:rPr>
        <w:t>LIQUIDITY RISK</w:t>
      </w:r>
    </w:p>
    <w:p>
      <w:pPr>
        <w:spacing w:after="0" w:line="3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September 30, 2019, we have cash and cash equivalents of $0.6 billion, available borrowing capacity under our committed credit facilities of $0.9 billion and available capacity under our vehicle programs of approximately $2.4 billion.</w:t>
      </w:r>
    </w:p>
    <w:p>
      <w:pPr>
        <w:spacing w:after="0" w:line="19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liquidity position could be negatively affected by financial market disruptions or a downturn in the U.S. and worldwide economies, which may result in unfavorable conditions in the mobility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2" w:lineRule="exact"/>
        <w:rPr>
          <w:sz w:val="20"/>
          <w:szCs w:val="20"/>
          <w:color w:val="auto"/>
        </w:rPr>
      </w:pPr>
    </w:p>
    <w:p>
      <w:pPr>
        <w:jc w:val="both"/>
        <w:ind w:right="60" w:firstLine="8"/>
        <w:spacing w:after="0" w:line="254"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revolving credit facility and other borrowings, including a maximum leverage ratio. As of September 30, 2019, we were in compliance with the financial covenants governing our indebtedness. For additional information regarding our liquidity risks, see Part I, Item 1A, “Risk Factors” of our 2018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2018 Form 10-K with the exception of our commitment to purchase vehicles, which decreased by approximately $0.7 billion from December 31, 2018, to approximately $8.0 billion at September 30, 2019 due to seasonality. Changes to our obligations related to corporate indebtedness and debt under vehicle programs are presented above within the section titled “Liquidity and Capital Resources—Debt and Financing Arrangements” and also within Notes 11 and 12 to our Consolidated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2018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2019 reported results. There have been no significant changes to those accounting policies or our assessment of which accounting policies we would consider to be critical accounting policies.</w:t>
      </w:r>
    </w:p>
    <w:p>
      <w:pPr>
        <w:spacing w:after="0" w:line="18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impairment assessment in the fourth quarter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year at the reporting unit level, or more frequently if events or circumstances indicate that the carrying amount of goodwill may be impaired. As of September 30, 2019, we observed pricing pressure and increased market competition for our Europe, Middle East and Africa (“EMEA”) reporting unit. We evaluated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0"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qualitative factors to determine if it is more likely than not that the fair value of this reporting unit is less than its carrying value. Based on our qualitative assessment as of September 30, 2019, we determined that an interim impairment test of goodwill was not required as we believe it is more likely than not that the fair value exceeds the carrying value. We continue to monitor the key inputs to fair value and the market conditions of the EMEA reporting unit. Additional declines in economic factors or business conditions could result in an impairment charge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2019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2019. For additional information regarding our long-term borrowings and financial instruments, see Notes 11, 12 and 16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2019.</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the quarter ended September 30, 2019, the Company had no material developments to report with respect to its legal proceedings. For additional information regarding the Company’s legal proceedings, see Note 13 to our Consolidated Condensed Financial Statements and refer to the Company’s 2018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During the quarter ended September 30, 2019, the Company had no material developments to report with respect to its risk factors. For additional information regarding the Company’s risk factors, please refer to the Company’s 2018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September 30,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July 2019</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150,501,899</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August 2019</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1,480,395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1,480,395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210,987,586</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September 2019</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660,872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660,872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191,703,211</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2,141,267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2,141,267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191,703,211</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right="100" w:hanging="332"/>
        <w:spacing w:after="0" w:line="218"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Excludes, for the three months ended September 30, 2019, 50,749 shares which were withheld by the Company to satisfy employees’ income tax liabilities attributable to the vesting of restricted stock unit awards.</w:t>
      </w:r>
    </w:p>
    <w:p>
      <w:pPr>
        <w:spacing w:after="0" w:line="2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$1.8 billion of its common stock under a plan originally approved in 2013 and subsequently expanded, most recently in August 2019</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Cathleen DeGenova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Cathleen DeGenova</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240" w:top="140" w:right="5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80" w:type="dxa"/>
            <w:vAlign w:val="bottom"/>
            <w:gridSpan w:val="9"/>
          </w:tcPr>
          <w:p>
            <w:pPr>
              <w:ind w:left="94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80" w:type="dxa"/>
            <w:vAlign w:val="bottom"/>
            <w:gridSpan w:val="8"/>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0"/>
                <w:szCs w:val="20"/>
                <w:color w:val="auto"/>
              </w:rPr>
            </w:pPr>
          </w:p>
        </w:tc>
        <w:tc>
          <w:tcPr>
            <w:tcW w:w="9760" w:type="dxa"/>
            <w:vAlign w:val="bottom"/>
            <w:tcBorders>
              <w:bottom w:val="single" w:sz="8" w:color="0000FF"/>
            </w:tcBorders>
            <w:gridSpan w:val="10"/>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Series 2019-3 Supplement, dated as of August 27, 2019, between Avis Budget Rental Car Funding (AESOP) LLC and The</w:t>
              </w:r>
            </w:hyperlink>
          </w:p>
        </w:tc>
        <w:tc>
          <w:tcPr>
            <w:tcW w:w="120" w:type="dxa"/>
            <w:vAlign w:val="bottom"/>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8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Bank of New York Mellon Trust Company, N.A., as trustee and as Series 2019-3 Agent. (Incorporated by reference to Exhibit</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6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Company’s Current Report on Form 8-K dated August 29, 2019).</w:t>
              </w:r>
            </w:hyperlink>
          </w:p>
        </w:tc>
        <w:tc>
          <w:tcPr>
            <w:tcW w:w="3820" w:type="dxa"/>
            <w:vAlign w:val="bottom"/>
            <w:gridSpan w:val="6"/>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0"/>
                <w:szCs w:val="20"/>
                <w:color w:val="auto"/>
              </w:rPr>
            </w:pPr>
          </w:p>
        </w:tc>
        <w:tc>
          <w:tcPr>
            <w:tcW w:w="810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Severance Agreement between John F. North, III and Avis Budget Group, Inc. dated August 15, 2019.</w:t>
              </w:r>
            </w:hyperlink>
          </w:p>
        </w:tc>
        <w:tc>
          <w:tcPr>
            <w:tcW w:w="1780" w:type="dxa"/>
            <w:vAlign w:val="bottom"/>
            <w:gridSpan w:val="5"/>
          </w:tcPr>
          <w:p>
            <w:pPr>
              <w:spacing w:after="0"/>
              <w:rPr>
                <w:sz w:val="20"/>
                <w:szCs w:val="20"/>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0"/>
                <w:szCs w:val="20"/>
                <w:color w:val="auto"/>
              </w:rPr>
            </w:pPr>
          </w:p>
        </w:tc>
        <w:tc>
          <w:tcPr>
            <w:tcW w:w="924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Amendment to Amended and Restated Letter Agreement between Martyn Smith and Avis Budget Group, Inc., dated</w:t>
              </w:r>
            </w:hyperlink>
          </w:p>
        </w:tc>
        <w:tc>
          <w:tcPr>
            <w:tcW w:w="640" w:type="dxa"/>
            <w:vAlign w:val="bottom"/>
            <w:gridSpan w:val="4"/>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tcBorders>
              <w:bottom w:val="single" w:sz="8" w:color="0000FF"/>
            </w:tcBorders>
          </w:tcPr>
          <w:p>
            <w:pPr>
              <w:spacing w:after="0" w:line="182" w:lineRule="exact"/>
              <w:rPr>
                <w:rFonts w:ascii="Arial" w:cs="Arial" w:eastAsia="Arial" w:hAnsi="Arial"/>
                <w:sz w:val="18"/>
                <w:szCs w:val="18"/>
                <w:color w:val="0000FF"/>
                <w:w w:val="98"/>
              </w:rPr>
            </w:pPr>
            <w:hyperlink w:anchor="page60">
              <w:r>
                <w:rPr>
                  <w:rFonts w:ascii="Arial" w:cs="Arial" w:eastAsia="Arial" w:hAnsi="Arial"/>
                  <w:sz w:val="18"/>
                  <w:szCs w:val="18"/>
                  <w:color w:val="0000FF"/>
                  <w:w w:val="98"/>
                </w:rPr>
                <w:t>September 11, 2019.</w:t>
              </w:r>
            </w:hyperlink>
          </w:p>
        </w:tc>
        <w:tc>
          <w:tcPr>
            <w:tcW w:w="8200" w:type="dxa"/>
            <w:vAlign w:val="bottom"/>
            <w:gridSpan w:val="10"/>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0"/>
                <w:szCs w:val="20"/>
                <w:color w:val="auto"/>
              </w:rPr>
            </w:pPr>
          </w:p>
        </w:tc>
        <w:tc>
          <w:tcPr>
            <w:tcW w:w="944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62">
              <w:r>
                <w:rPr>
                  <w:rFonts w:ascii="Arial" w:cs="Arial" w:eastAsia="Arial" w:hAnsi="Arial"/>
                  <w:sz w:val="18"/>
                  <w:szCs w:val="18"/>
                  <w:color w:val="0000FF"/>
                  <w:w w:val="99"/>
                </w:rPr>
                <w:t>Certification of Chief Executive Officer pursuant to Rules 13(a)-14(a) and 15(d)-14(a) promulgated under the Securities</w:t>
              </w:r>
            </w:hyperlink>
          </w:p>
        </w:tc>
        <w:tc>
          <w:tcPr>
            <w:tcW w:w="440" w:type="dxa"/>
            <w:vAlign w:val="bottom"/>
            <w:gridSpan w:val="2"/>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w:anchor="page62">
              <w:r>
                <w:rPr>
                  <w:rFonts w:ascii="Arial" w:cs="Arial" w:eastAsia="Arial" w:hAnsi="Arial"/>
                  <w:sz w:val="18"/>
                  <w:szCs w:val="18"/>
                  <w:color w:val="0000FF"/>
                  <w:w w:val="99"/>
                </w:rPr>
                <w:t>Exchange Act of 1934, as amended.</w:t>
              </w:r>
            </w:hyperlink>
          </w:p>
        </w:tc>
        <w:tc>
          <w:tcPr>
            <w:tcW w:w="6980" w:type="dxa"/>
            <w:vAlign w:val="bottom"/>
            <w:gridSpan w:val="9"/>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0"/>
                <w:szCs w:val="20"/>
                <w:color w:val="auto"/>
              </w:rPr>
            </w:pPr>
          </w:p>
        </w:tc>
        <w:tc>
          <w:tcPr>
            <w:tcW w:w="938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63">
              <w:r>
                <w:rPr>
                  <w:rFonts w:ascii="Arial" w:cs="Arial" w:eastAsia="Arial" w:hAnsi="Arial"/>
                  <w:sz w:val="18"/>
                  <w:szCs w:val="18"/>
                  <w:color w:val="0000FF"/>
                  <w:w w:val="99"/>
                </w:rPr>
                <w:t>Certification of Chief Financial Officer pursuant to Rules 13(a)-14(a) and 15(d)-14(a) promulgated under the Securities</w:t>
              </w:r>
            </w:hyperlink>
          </w:p>
        </w:tc>
        <w:tc>
          <w:tcPr>
            <w:tcW w:w="500" w:type="dxa"/>
            <w:vAlign w:val="bottom"/>
            <w:gridSpan w:val="3"/>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w:anchor="page63">
              <w:r>
                <w:rPr>
                  <w:rFonts w:ascii="Arial" w:cs="Arial" w:eastAsia="Arial" w:hAnsi="Arial"/>
                  <w:sz w:val="18"/>
                  <w:szCs w:val="18"/>
                  <w:color w:val="0000FF"/>
                  <w:w w:val="99"/>
                </w:rPr>
                <w:t>Exchange Act of 1934, as amended.</w:t>
              </w:r>
            </w:hyperlink>
          </w:p>
        </w:tc>
        <w:tc>
          <w:tcPr>
            <w:tcW w:w="6980" w:type="dxa"/>
            <w:vAlign w:val="bottom"/>
            <w:gridSpan w:val="9"/>
          </w:tcPr>
          <w:p>
            <w:pPr>
              <w:spacing w:after="0"/>
              <w:rPr>
                <w:sz w:val="15"/>
                <w:szCs w:val="15"/>
                <w:color w:val="auto"/>
              </w:rPr>
            </w:pPr>
          </w:p>
        </w:tc>
      </w:tr>
    </w:tbl>
    <w:p>
      <w:pPr>
        <w:spacing w:after="0" w:line="67" w:lineRule="exact"/>
        <w:rPr>
          <w:sz w:val="20"/>
          <w:szCs w:val="20"/>
          <w:color w:val="auto"/>
        </w:rPr>
      </w:pPr>
    </w:p>
    <w:p>
      <w:pPr>
        <w:ind w:left="1300" w:hanging="1265"/>
        <w:spacing w:after="0"/>
        <w:tabs>
          <w:tab w:leader="none" w:pos="1300" w:val="left"/>
        </w:tabs>
        <w:numPr>
          <w:ilvl w:val="0"/>
          <w:numId w:val="56"/>
        </w:numPr>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ind w:left="28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98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r>
        <w:trPr>
          <w:trHeight w:val="473"/>
        </w:trPr>
        <w:tc>
          <w:tcPr>
            <w:tcW w:w="980" w:type="dxa"/>
            <w:vAlign w:val="bottom"/>
          </w:tcPr>
          <w:p>
            <w:pPr>
              <w:spacing w:after="0"/>
              <w:rPr>
                <w:sz w:val="24"/>
                <w:szCs w:val="24"/>
                <w:color w:val="auto"/>
              </w:rPr>
            </w:pPr>
          </w:p>
        </w:tc>
        <w:tc>
          <w:tcPr>
            <w:tcW w:w="9980" w:type="dxa"/>
            <w:vAlign w:val="bottom"/>
          </w:tcPr>
          <w:p>
            <w:pPr>
              <w:ind w:left="460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180"/>
          </w:cols>
          <w:pgMar w:left="240" w:top="140" w:right="47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August 15,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Mr. John North</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John:</w:t>
      </w:r>
    </w:p>
    <w:p>
      <w:pPr>
        <w:spacing w:after="0" w:line="229" w:lineRule="exact"/>
        <w:rPr>
          <w:sz w:val="20"/>
          <w:szCs w:val="20"/>
          <w:color w:val="auto"/>
        </w:rPr>
      </w:pPr>
    </w:p>
    <w:p>
      <w:pPr>
        <w:jc w:val="both"/>
        <w:ind w:right="420"/>
        <w:spacing w:after="0" w:line="272" w:lineRule="auto"/>
        <w:rPr>
          <w:sz w:val="20"/>
          <w:szCs w:val="20"/>
          <w:color w:val="auto"/>
        </w:rPr>
      </w:pPr>
      <w:r>
        <w:rPr>
          <w:rFonts w:ascii="Arial" w:cs="Arial" w:eastAsia="Arial" w:hAnsi="Arial"/>
          <w:sz w:val="19"/>
          <w:szCs w:val="19"/>
          <w:color w:val="auto"/>
        </w:rPr>
        <w:t>Reference is made to your offer letter dated February 6, 2019 (the “Offer Letter”) pursuant to which you are employed by Avis Budget Car Rental, LLC (“ABCR”), a subsidiary of Avis Budget Group, Inc. (“ABG,” and together with ABCR, the “Company”).</w:t>
      </w:r>
    </w:p>
    <w:p>
      <w:pPr>
        <w:spacing w:after="0" w:line="19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This letter is to confirm that if your employment is terminated by the Company other than: (i) for “Cause" (as defined below); (ii) in connection with your disability which prevents you or is reasonably expected to prevent you from performing services for the Company for a period of 12 months (your "Disability"); or (iii) your death, you will receive (1) a lump-sum severance payment within 15 days following the Release Date (as defined below) equal to 200% of the sum of your base salary plus your target annual incentive, and (2) perquisites to include continued access to company car usage and financial planning in accordance with the terms of the respective program documents.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provision of all payments and benefits under this letter is subject to, and contingent upon, your executing within forty-five days following your termination of employment and failing to revoke a separation agreement with the Company (the date on which the release is no longer revocable, the "Release Date"), in such form determined by the Company, which requires you, in part, to release all actual and purported claims against the Company and its affiliates and which also requires you to agree to: (i) protect and not disclose all confidential and proprietary information of the Company; (ii) not compete, directly or indirectly, against the Company for a period of two years after your employment separation; and (iii) not solicit any employees, consultants, agents or customers of the Company during and for two years after your employment separation.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In addition, if your employment is terminated by the Company other than for “Cause," and other than as a result of your Disability, death or resignation, your then outstanding unvested stock-based awards granted by the Company and scheduled to vest within two years following your separation of employment will become vested effective as of the date of termination, subject to the satisfaction of the release execution requirement set forth in the preceding paragraph of this letter; provided that, any awards that vest based on the achievement of specified objective performance goals shall not vest as of the date of termination, but instead, shall remain outstanding and become vested or be forfeited at such time(s) as provided in accordance with the terms and conditions of the applicable award agreement based on actual achievement of the performance goals. If you experience a termination of employment from the Company due to your Disability or death, your then outstanding unvested stock-based awards granted by the Company will become fully vested effective as of the date of termination, subject to the satisfaction of the release execution requirement set forth in the preceding paragraph of this letter.</w:t>
      </w:r>
    </w:p>
    <w:p>
      <w:pPr>
        <w:spacing w:after="0" w:line="226"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"Termination for Cause" shall mean: (i) your willful failure to substantially perform your duties as an employee of the Company or any subsidiary (other than any such failure resulting from your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333333"/>
        </w:rPr>
        <w:t>1</w:t>
      </w:r>
    </w:p>
    <w:p>
      <w:pPr>
        <w:sectPr>
          <w:pgSz w:w="11900" w:h="16838" w:orient="portrait"/>
          <w:cols w:equalWidth="0" w:num="1">
            <w:col w:w="11380"/>
          </w:cols>
          <w:pgMar w:left="240" w:top="771" w:right="27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The payments and benefits described in this letter are intended to comply with Section 409A and, accordingly, to the maximum extent permitted, the terms of this letter shall be interpreted and administered to be in compliance with Section 409A of the Internal Revenue. Each amount to be paid or benefit to be provided in this letter shall be construed as a separate identified payment for purposes of Section 409A. Any payments described in this Agreement that are paid pursuant to a "separation pay plan" as described in Treas. Reg. 1.409A-1(b)(9)(iii) or that are due within the "short term deferral period" as defined in Section 409A shall not be treated as deferred compensation unless applicable law requires otherwise. Notwithstanding anything contained herein, to the extent required in order to avoid accelerated taxation and/or tax penalties under Section 409A amounts that would otherwise be payable and benefits that would otherwise be provided pursuant to this letter (or any other plan or agreement of the Company proving you with payments or benefits upon your separation from service) during the six-month period immediately following your separation from service shall instead be paid or provided on the first business day after the date that is six months following your separation date (or death, if earlier).</w:t>
      </w:r>
    </w:p>
    <w:p>
      <w:pPr>
        <w:spacing w:after="0" w:line="225"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The payments and benefits described in this letter are in lieu of and supersede any other severance benefits otherwise payable to you under any other agreement or severance plan of the Company or its affiliates.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During your employment with the Company, you agree that:</w:t>
      </w:r>
    </w:p>
    <w:p>
      <w:pPr>
        <w:spacing w:after="0" w:line="229" w:lineRule="exact"/>
        <w:rPr>
          <w:sz w:val="20"/>
          <w:szCs w:val="20"/>
          <w:color w:val="auto"/>
        </w:rPr>
      </w:pPr>
    </w:p>
    <w:p>
      <w:pPr>
        <w:ind w:left="660" w:right="200" w:hanging="328"/>
        <w:spacing w:after="0" w:line="247"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You will not engage in any activity that competes with or adversely affects the Company or any of its subsidiaries, nor will you begin to organize or develop any competing entity (or assist anyone else in doing so).</w:t>
      </w:r>
    </w:p>
    <w:p>
      <w:pPr>
        <w:spacing w:after="0" w:line="215" w:lineRule="exact"/>
        <w:rPr>
          <w:rFonts w:ascii="Arial" w:cs="Arial" w:eastAsia="Arial" w:hAnsi="Arial"/>
          <w:sz w:val="20"/>
          <w:szCs w:val="20"/>
          <w:color w:val="auto"/>
        </w:rPr>
      </w:pPr>
    </w:p>
    <w:p>
      <w:pPr>
        <w:jc w:val="both"/>
        <w:ind w:left="660" w:right="140" w:hanging="328"/>
        <w:spacing w:after="0" w:line="242"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You will not disclose at any time (except for business purposes on behalf of the Company or any of its subsidiaries and in accordance with corporate policy) any confidential or proprietary material of the Company or any of its subsidiaries, which material shall include, but is not limited to, the names and addresses of customers, customer contacts, contracts, bidding information, business strategies, pricing information, and the Company’s policies and procedures.</w:t>
      </w:r>
    </w:p>
    <w:p>
      <w:pPr>
        <w:spacing w:after="0" w:line="220" w:lineRule="exact"/>
        <w:rPr>
          <w:rFonts w:ascii="Arial" w:cs="Arial" w:eastAsia="Arial" w:hAnsi="Arial"/>
          <w:sz w:val="20"/>
          <w:szCs w:val="20"/>
          <w:color w:val="auto"/>
        </w:rPr>
      </w:pPr>
    </w:p>
    <w:p>
      <w:pPr>
        <w:ind w:left="660" w:right="20" w:hanging="328"/>
        <w:spacing w:after="0" w:line="243"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documents (paper or electronic) and other information related in any way to the Company or any of its subsidiaries shall be the property of the respective applicable entity, and will be returned to the applicable entity upon the end of your employment with the Company.</w:t>
      </w:r>
    </w:p>
    <w:p>
      <w:pPr>
        <w:spacing w:after="0" w:line="220"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You agree that the terms of this letter shall be governed by New Jersey law, shall be resolved in a New Jersey Court or in federal Court located in New Jersey, and that the terms of this letter may be enforced by the Company or its successors or assigns.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33333"/>
        </w:rPr>
        <w:t>2</w:t>
      </w:r>
    </w:p>
    <w:p>
      <w:pPr>
        <w:sectPr>
          <w:pgSz w:w="11900" w:h="16838" w:orient="portrait"/>
          <w:cols w:equalWidth="0" w:num="1">
            <w:col w:w="11420"/>
          </w:cols>
          <w:pgMar w:left="240" w:top="771" w:right="239" w:bottom="1440" w:gutter="0" w:footer="0" w:header="0"/>
        </w:sectPr>
      </w:pPr>
    </w:p>
    <w:bookmarkStart w:id="58" w:name="page59"/>
    <w:bookmarkEnd w:id="58"/>
    <w:p>
      <w:pPr>
        <w:jc w:val="both"/>
        <w:spacing w:after="0" w:line="243" w:lineRule="auto"/>
        <w:rPr>
          <w:sz w:val="20"/>
          <w:szCs w:val="20"/>
          <w:color w:val="auto"/>
        </w:rPr>
      </w:pPr>
      <w:r>
        <w:rPr>
          <w:rFonts w:ascii="Arial" w:cs="Arial" w:eastAsia="Arial" w:hAnsi="Arial"/>
          <w:sz w:val="20"/>
          <w:szCs w:val="20"/>
          <w:color w:val="auto"/>
        </w:rPr>
        <w:t>Per the Company’s standard policies, this letter is not intended, nor should it be considered, to be an employment contract for a definite or indefinite period of time. As you know, employment with the Company is at will, and either you or the Company may terminate your employment at any time, with or without cause.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Ned Linnen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Ned Linnen</w:t>
      </w:r>
    </w:p>
    <w:p>
      <w:pPr>
        <w:spacing w:after="0"/>
        <w:rPr>
          <w:sz w:val="20"/>
          <w:szCs w:val="20"/>
          <w:color w:val="auto"/>
        </w:rPr>
      </w:pPr>
      <w:r>
        <w:rPr>
          <w:rFonts w:ascii="Arial" w:cs="Arial" w:eastAsia="Arial" w:hAnsi="Arial"/>
          <w:sz w:val="20"/>
          <w:szCs w:val="20"/>
          <w:color w:val="auto"/>
        </w:rPr>
        <w:t>Chief Human Resources Officer</w:t>
      </w:r>
    </w:p>
    <w:p>
      <w:pPr>
        <w:spacing w:after="0"/>
        <w:rPr>
          <w:sz w:val="20"/>
          <w:szCs w:val="20"/>
          <w:color w:val="auto"/>
        </w:rPr>
      </w:pPr>
      <w:r>
        <w:rPr>
          <w:rFonts w:ascii="Arial" w:cs="Arial" w:eastAsia="Arial" w:hAnsi="Arial"/>
          <w:sz w:val="20"/>
          <w:szCs w:val="20"/>
          <w:color w:val="auto"/>
        </w:rPr>
        <w:t>Avis Budget Car Rental, LLC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Understood and accepted:</w:t>
      </w:r>
    </w:p>
    <w:p>
      <w:pPr>
        <w:spacing w:after="0"/>
        <w:rPr>
          <w:sz w:val="20"/>
          <w:szCs w:val="20"/>
          <w:color w:val="auto"/>
        </w:rPr>
      </w:pPr>
      <w:r>
        <w:rPr>
          <w:rFonts w:ascii="Arial" w:cs="Arial" w:eastAsia="Arial" w:hAnsi="Arial"/>
          <w:sz w:val="20"/>
          <w:szCs w:val="20"/>
          <w:u w:val="single" w:color="auto"/>
          <w:color w:val="auto"/>
        </w:rPr>
        <w:t>/s/ John North</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John North</w:t>
      </w:r>
    </w:p>
    <w:p>
      <w:pPr>
        <w:spacing w:after="0"/>
        <w:rPr>
          <w:sz w:val="20"/>
          <w:szCs w:val="20"/>
          <w:color w:val="auto"/>
        </w:rPr>
      </w:pPr>
      <w:r>
        <w:rPr>
          <w:rFonts w:ascii="Arial" w:cs="Arial" w:eastAsia="Arial" w:hAnsi="Arial"/>
          <w:sz w:val="20"/>
          <w:szCs w:val="20"/>
          <w:color w:val="auto"/>
        </w:rPr>
        <w:t>Date: August 23,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J. Sera/J. Wooten/ K. Richards / Employee File</w:t>
      </w: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33333"/>
        </w:rPr>
        <w:t>3</w:t>
      </w:r>
    </w:p>
    <w:p>
      <w:pPr>
        <w:sectPr>
          <w:pgSz w:w="11900" w:h="16838" w:orient="portrait"/>
          <w:cols w:equalWidth="0" w:num="1">
            <w:col w:w="11140"/>
          </w:cols>
          <w:pgMar w:left="240" w:top="771" w:right="519"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September 11, 2019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Martyn Smith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61 Esmond Road</w:t>
      </w:r>
    </w:p>
    <w:p>
      <w:pPr>
        <w:spacing w:after="0"/>
        <w:rPr>
          <w:sz w:val="20"/>
          <w:szCs w:val="20"/>
          <w:color w:val="auto"/>
        </w:rPr>
      </w:pPr>
      <w:r>
        <w:rPr>
          <w:rFonts w:ascii="Arial" w:cs="Arial" w:eastAsia="Arial" w:hAnsi="Arial"/>
          <w:sz w:val="20"/>
          <w:szCs w:val="20"/>
          <w:color w:val="auto"/>
        </w:rPr>
        <w:t>London</w:t>
      </w:r>
    </w:p>
    <w:p>
      <w:pPr>
        <w:spacing w:after="0"/>
        <w:rPr>
          <w:sz w:val="20"/>
          <w:szCs w:val="20"/>
          <w:color w:val="auto"/>
        </w:rPr>
      </w:pPr>
      <w:r>
        <w:rPr>
          <w:rFonts w:ascii="Arial" w:cs="Arial" w:eastAsia="Arial" w:hAnsi="Arial"/>
          <w:sz w:val="20"/>
          <w:szCs w:val="20"/>
          <w:color w:val="auto"/>
        </w:rPr>
        <w:t>W4 1JE</w:t>
      </w:r>
    </w:p>
    <w:p>
      <w:pPr>
        <w:spacing w:after="0"/>
        <w:rPr>
          <w:sz w:val="20"/>
          <w:szCs w:val="20"/>
          <w:color w:val="auto"/>
        </w:rPr>
      </w:pPr>
      <w:r>
        <w:rPr>
          <w:rFonts w:ascii="Arial" w:cs="Arial" w:eastAsia="Arial" w:hAnsi="Arial"/>
          <w:sz w:val="20"/>
          <w:szCs w:val="20"/>
          <w:color w:val="auto"/>
        </w:rPr>
        <w:t>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Martyn,</w:t>
      </w:r>
    </w:p>
    <w:p>
      <w:pPr>
        <w:spacing w:after="0" w:line="229"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color w:val="auto"/>
        </w:rPr>
        <w:t>Reference is made to the letter agreement among Avis Budget Group, Inc. (the “Company”) and Avis Budget Services Limited, and yourself dated February 15, 2019 (the “Letter Agreement”).</w:t>
      </w:r>
    </w:p>
    <w:p>
      <w:pPr>
        <w:spacing w:after="0" w:line="215"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Unless otherwise changed herein, all terms and provisions of the Letter Agreement, including the definitions used therein, shall remain in full force and effect. The parties to the Letter Agreement agree to amend the Letter Agreement as follows:</w:t>
      </w:r>
    </w:p>
    <w:p>
      <w:pPr>
        <w:spacing w:after="0" w:line="215" w:lineRule="exact"/>
        <w:rPr>
          <w:sz w:val="20"/>
          <w:szCs w:val="20"/>
          <w:color w:val="auto"/>
        </w:rPr>
      </w:pPr>
    </w:p>
    <w:p>
      <w:pPr>
        <w:ind w:left="660" w:hanging="328"/>
        <w:spacing w:after="0" w:line="243"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last sentence of the “Duration” section shall be amended to read as follows: “Following expiration of the Initial Term, the Assignment will continue until January 31, 2020 (the period from the expiration of the Initial Term until January 31, 2020 being the “Extended Term”);</w:t>
      </w:r>
    </w:p>
    <w:p>
      <w:pPr>
        <w:spacing w:after="0" w:line="219" w:lineRule="exact"/>
        <w:rPr>
          <w:rFonts w:ascii="Arial" w:cs="Arial" w:eastAsia="Arial" w:hAnsi="Arial"/>
          <w:sz w:val="20"/>
          <w:szCs w:val="20"/>
          <w:color w:val="auto"/>
        </w:rPr>
      </w:pPr>
    </w:p>
    <w:p>
      <w:pPr>
        <w:jc w:val="both"/>
        <w:ind w:left="660" w:right="100" w:hanging="328"/>
        <w:spacing w:after="0" w:line="243"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first sentence of the section entitled “Fees Associated with Transition and Advisory Services” shall be amended to add the following language at the end of such sentence: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from September 19, 2019 through the end of the Extended Term, such base salary shall be reduced by 50%”; and</w:t>
      </w:r>
    </w:p>
    <w:p>
      <w:pPr>
        <w:spacing w:after="0" w:line="219" w:lineRule="exact"/>
        <w:rPr>
          <w:rFonts w:ascii="Arial" w:cs="Arial" w:eastAsia="Arial" w:hAnsi="Arial"/>
          <w:sz w:val="20"/>
          <w:szCs w:val="20"/>
          <w:color w:val="auto"/>
        </w:rPr>
      </w:pPr>
    </w:p>
    <w:p>
      <w:pPr>
        <w:ind w:left="660" w:hanging="328"/>
        <w:spacing w:after="0" w:line="242"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second sentence of the “Termination” section shall be amended to include the following language at the end of such sentence: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at any time following September 19, 2019 the Company terminates the Assignment or the Extended Term for any reason or no reason, the Company shall not be required to pay any amount that has not been earned under the first sentence of the section entitled “Fees Associated with Transition and Advisory Services.”</w:t>
      </w:r>
    </w:p>
    <w:p>
      <w:pPr>
        <w:spacing w:after="0" w:line="220"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This letter may be executed in counterparts, each of which shall be deemed an original, but all of which together shall constitute one and the same instrument.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Edward P. Linnen</w:t>
      </w:r>
    </w:p>
    <w:p>
      <w:pPr>
        <w:spacing w:after="0"/>
        <w:rPr>
          <w:sz w:val="20"/>
          <w:szCs w:val="20"/>
          <w:color w:val="auto"/>
        </w:rPr>
      </w:pPr>
      <w:r>
        <w:rPr>
          <w:rFonts w:ascii="Arial" w:cs="Arial" w:eastAsia="Arial" w:hAnsi="Arial"/>
          <w:sz w:val="20"/>
          <w:szCs w:val="20"/>
          <w:color w:val="auto"/>
        </w:rPr>
        <w:t>Edward P. Linnen</w:t>
      </w:r>
    </w:p>
    <w:p>
      <w:pPr>
        <w:spacing w:after="0"/>
        <w:rPr>
          <w:sz w:val="20"/>
          <w:szCs w:val="20"/>
          <w:color w:val="auto"/>
        </w:rPr>
      </w:pPr>
      <w:r>
        <w:rPr>
          <w:rFonts w:ascii="Arial" w:cs="Arial" w:eastAsia="Arial" w:hAnsi="Arial"/>
          <w:sz w:val="20"/>
          <w:szCs w:val="20"/>
          <w:color w:val="auto"/>
        </w:rPr>
        <w:t>Chief Human Resources Officer</w:t>
      </w:r>
    </w:p>
    <w:p>
      <w:pPr>
        <w:spacing w:after="0"/>
        <w:rPr>
          <w:sz w:val="20"/>
          <w:szCs w:val="20"/>
          <w:color w:val="auto"/>
        </w:rPr>
      </w:pPr>
      <w:r>
        <w:rPr>
          <w:rFonts w:ascii="Arial" w:cs="Arial" w:eastAsia="Arial" w:hAnsi="Arial"/>
          <w:sz w:val="20"/>
          <w:szCs w:val="20"/>
          <w:color w:val="auto"/>
        </w:rPr>
        <w:t>Avis Budget Group, Inc.</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79" w:right="25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AGREED AND ACKNOWLEDGED: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MARTYN SMITH</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Martyn Smith</w:t>
      </w:r>
    </w:p>
    <w:p>
      <w:pPr>
        <w:spacing w:after="0"/>
        <w:rPr>
          <w:sz w:val="20"/>
          <w:szCs w:val="20"/>
          <w:color w:val="auto"/>
        </w:rPr>
      </w:pPr>
      <w:r>
        <w:rPr>
          <w:rFonts w:ascii="Arial" w:cs="Arial" w:eastAsia="Arial" w:hAnsi="Arial"/>
          <w:sz w:val="20"/>
          <w:szCs w:val="20"/>
          <w:color w:val="auto"/>
        </w:rPr>
        <w:t>Martyn Smith</w:t>
      </w:r>
    </w:p>
    <w:p>
      <w:pPr>
        <w:spacing w:after="0"/>
        <w:rPr>
          <w:sz w:val="20"/>
          <w:szCs w:val="20"/>
          <w:color w:val="auto"/>
        </w:rPr>
      </w:pPr>
      <w:r>
        <w:rPr>
          <w:rFonts w:ascii="Arial" w:cs="Arial" w:eastAsia="Arial" w:hAnsi="Arial"/>
          <w:sz w:val="20"/>
          <w:szCs w:val="20"/>
          <w:color w:val="auto"/>
        </w:rPr>
        <w:t>Date: September 11, 2019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AVIS BUDGET SERVICES LIMITED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Paul Ford</w:t>
      </w:r>
    </w:p>
    <w:p>
      <w:pPr>
        <w:spacing w:after="0"/>
        <w:rPr>
          <w:sz w:val="20"/>
          <w:szCs w:val="20"/>
          <w:color w:val="auto"/>
        </w:rPr>
      </w:pPr>
      <w:r>
        <w:rPr>
          <w:rFonts w:ascii="Arial" w:cs="Arial" w:eastAsia="Arial" w:hAnsi="Arial"/>
          <w:sz w:val="20"/>
          <w:szCs w:val="20"/>
          <w:color w:val="auto"/>
        </w:rPr>
        <w:t>Paul Ford</w:t>
      </w:r>
    </w:p>
    <w:p>
      <w:pPr>
        <w:spacing w:after="0"/>
        <w:rPr>
          <w:sz w:val="20"/>
          <w:szCs w:val="20"/>
          <w:color w:val="auto"/>
        </w:rPr>
      </w:pPr>
      <w:r>
        <w:rPr>
          <w:rFonts w:ascii="Arial" w:cs="Arial" w:eastAsia="Arial" w:hAnsi="Arial"/>
          <w:sz w:val="20"/>
          <w:szCs w:val="20"/>
          <w:color w:val="auto"/>
        </w:rPr>
        <w:t>Date: September 16, 2019</w:t>
      </w:r>
    </w:p>
    <w:p>
      <w:pPr>
        <w:spacing w:after="0" w:line="24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825"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F. North, III, certify that:</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387"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2019, as filed with the Securities and Exchange Commission on the date hereof (the “Report”), Larry D. De Shon, as Chief Executive Officer of the Company, and John F. North, III,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November 1, 2019</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JOHN F. NORTH, III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F. North, III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November 1,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lvl w:ilvl="1">
      <w:lvlJc w:val="left"/>
      <w:lvlText w:val="•"/>
      <w:numFmt w:val="bullet"/>
      <w:start w:val="1"/>
    </w:lvl>
  </w:abstractNum>
  <w:abstractNum w:abstractNumId="5">
    <w:nsid w:val="614FD4A1"/>
    <w:multiLevelType w:val="hybridMultilevel"/>
    <w:lvl w:ilvl="0">
      <w:lvlJc w:val="left"/>
      <w:lvlText w:val="(%1)"/>
      <w:numFmt w:val="lowerLetter"/>
      <w:start w:val="1"/>
    </w:lvl>
  </w:abstractNum>
  <w:abstractNum w:abstractNumId="6">
    <w:nsid w:val="419AC241"/>
    <w:multiLevelType w:val="hybridMultilevel"/>
    <w:lvl w:ilvl="0">
      <w:lvlJc w:val="left"/>
      <w:lvlText w:val="%1."/>
      <w:numFmt w:val="decimal"/>
      <w:start w:val="2"/>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decimal"/>
      <w:start w:val="3"/>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decimal"/>
      <w:start w:val="4"/>
    </w:lvl>
  </w:abstractNum>
  <w:abstractNum w:abstractNumId="11">
    <w:nsid w:val="77465F01"/>
    <w:multiLevelType w:val="hybridMultilevel"/>
    <w:lvl w:ilvl="0">
      <w:lvlJc w:val="left"/>
      <w:lvlText w:val="%1"/>
      <w:numFmt w:val="decimal"/>
      <w:start w:val="1"/>
    </w:lvl>
    <w:lvl w:ilvl="1">
      <w:lvlJc w:val="left"/>
      <w:lvlText w:val="(%2)"/>
      <w:numFmt w:val="lowerLetter"/>
      <w:start w:val="1"/>
    </w:lvl>
  </w:abstractNum>
  <w:abstractNum w:abstractNumId="12">
    <w:nsid w:val="7724C67E"/>
    <w:multiLevelType w:val="hybridMultilevel"/>
    <w:lvl w:ilvl="0">
      <w:lvlJc w:val="left"/>
      <w:lvlText w:val="%1."/>
      <w:numFmt w:val="decimal"/>
      <w:start w:val="5"/>
    </w:lvl>
    <w:lvl w:ilvl="1">
      <w:lvlJc w:val="left"/>
      <w:lvlText w:val="%2"/>
      <w:numFmt w:val="lowerLetter"/>
      <w:start w:val="1"/>
    </w:lvl>
  </w:abstractNum>
  <w:abstractNum w:abstractNumId="13">
    <w:nsid w:val="5C482A97"/>
    <w:multiLevelType w:val="hybridMultilevel"/>
    <w:lvl w:ilvl="0">
      <w:lvlJc w:val="left"/>
      <w:lvlText w:val="%1."/>
      <w:numFmt w:val="decimal"/>
      <w:start w:val="6"/>
    </w:lvl>
  </w:abstractNum>
  <w:abstractNum w:abstractNumId="14">
    <w:nsid w:val="2463B9EA"/>
    <w:multiLevelType w:val="hybridMultilevel"/>
    <w:lvl w:ilvl="0">
      <w:lvlJc w:val="left"/>
      <w:lvlText w:val="%1."/>
      <w:numFmt w:val="decimal"/>
      <w:start w:val="7"/>
    </w:lvl>
  </w:abstractNum>
  <w:abstractNum w:abstractNumId="15">
    <w:nsid w:val="5E884ADC"/>
    <w:multiLevelType w:val="hybridMultilevel"/>
    <w:lvl w:ilvl="0">
      <w:lvlJc w:val="left"/>
      <w:lvlText w:val="%1."/>
      <w:numFmt w:val="decimal"/>
      <w:start w:val="8"/>
    </w:lvl>
  </w:abstractNum>
  <w:abstractNum w:abstractNumId="16">
    <w:nsid w:val="51EAD36B"/>
    <w:multiLevelType w:val="hybridMultilevel"/>
    <w:lvl w:ilvl="0">
      <w:lvlJc w:val="left"/>
      <w:lvlText w:val="%1"/>
      <w:numFmt w:val="decimal"/>
      <w:start w:val="191"/>
    </w:lvl>
    <w:lvl w:ilvl="1">
      <w:lvlJc w:val="left"/>
      <w:lvlText w:val="(%2)"/>
      <w:numFmt w:val="decimal"/>
      <w:start w:val="69"/>
    </w:lvl>
  </w:abstractNum>
  <w:abstractNum w:abstractNumId="17">
    <w:nsid w:val="2D517796"/>
    <w:multiLevelType w:val="hybridMultilevel"/>
    <w:lvl w:ilvl="0">
      <w:lvlJc w:val="left"/>
      <w:lvlText w:val="%1."/>
      <w:numFmt w:val="decimal"/>
      <w:start w:val="9"/>
    </w:lvl>
  </w:abstractNum>
  <w:abstractNum w:abstractNumId="18">
    <w:nsid w:val="580BD78F"/>
    <w:multiLevelType w:val="hybridMultilevel"/>
    <w:lvl w:ilvl="0">
      <w:lvlJc w:val="left"/>
      <w:lvlText w:val="%1."/>
      <w:numFmt w:val="decimal"/>
      <w:start w:val="1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decimal"/>
      <w:start w:val="12"/>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decimal"/>
      <w:start w:val="13"/>
    </w:lvl>
  </w:abstractNum>
  <w:abstractNum w:abstractNumId="26">
    <w:nsid w:val="2CD89A32"/>
    <w:multiLevelType w:val="hybridMultilevel"/>
    <w:lvl w:ilvl="0">
      <w:lvlJc w:val="left"/>
      <w:lvlText w:val="%1."/>
      <w:numFmt w:val="decimal"/>
      <w:start w:val="14"/>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decimal"/>
      <w:start w:val="1"/>
    </w:lvl>
    <w:lvl w:ilvl="1">
      <w:lvlJc w:val="left"/>
      <w:lvlText w:val="(%2)"/>
      <w:numFmt w:val="lowerLetter"/>
      <w:start w:val="3"/>
    </w:lvl>
  </w:abstractNum>
  <w:abstractNum w:abstractNumId="29">
    <w:nsid w:val="4B588F54"/>
    <w:multiLevelType w:val="hybridMultilevel"/>
    <w:lvl w:ilvl="0">
      <w:lvlJc w:val="left"/>
      <w:lvlText w:val="%1."/>
      <w:numFmt w:val="decimal"/>
      <w:start w:val="15"/>
    </w:lvl>
    <w:lvl w:ilvl="1">
      <w:lvlJc w:val="left"/>
      <w:lvlText w:val="%2"/>
      <w:numFmt w:val="lowerLetter"/>
      <w:start w:val="1"/>
    </w:lvl>
  </w:abstractNum>
  <w:abstractNum w:abstractNumId="30">
    <w:nsid w:val="542289EC"/>
    <w:multiLevelType w:val="hybridMultilevel"/>
    <w:lvl w:ilvl="0">
      <w:lvlJc w:val="left"/>
      <w:lvlText w:val="(%1)"/>
      <w:numFmt w:val="decimal"/>
      <w:start w:val="502"/>
    </w:lvl>
  </w:abstractNum>
  <w:abstractNum w:abstractNumId="31">
    <w:nsid w:val="6DE91B18"/>
    <w:multiLevelType w:val="hybridMultilevel"/>
    <w:lvl w:ilvl="0">
      <w:lvlJc w:val="left"/>
      <w:lvlText w:val="(%1)"/>
      <w:numFmt w:val="decimal"/>
      <w:start w:val="56"/>
    </w:lvl>
  </w:abstractNum>
  <w:abstractNum w:abstractNumId="32">
    <w:nsid w:val="38437FDB"/>
    <w:multiLevelType w:val="hybridMultilevel"/>
    <w:lvl w:ilvl="0">
      <w:lvlJc w:val="left"/>
      <w:lvlText w:val="%1"/>
      <w:numFmt w:val="decimal"/>
      <w:start w:val="570"/>
    </w:lvl>
  </w:abstractNum>
  <w:abstractNum w:abstractNumId="33">
    <w:nsid w:val="7644A45C"/>
    <w:multiLevelType w:val="hybridMultilevel"/>
    <w:lvl w:ilvl="0">
      <w:lvlJc w:val="left"/>
      <w:lvlText w:val="(%1)"/>
      <w:numFmt w:val="decimal"/>
      <w:start w:val="430"/>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decimal"/>
      <w:start w:val="1"/>
    </w:lvl>
    <w:lvl w:ilvl="1">
      <w:lvlJc w:val="left"/>
      <w:lvlText w:val="(%2)"/>
      <w:numFmt w:val="lowerLetter"/>
      <w:start w:val="1"/>
    </w:lvl>
  </w:abstractNum>
  <w:abstractNum w:abstractNumId="36">
    <w:nsid w:val="579478FE"/>
    <w:multiLevelType w:val="hybridMultilevel"/>
    <w:lvl w:ilvl="0">
      <w:lvlJc w:val="left"/>
      <w:lvlText w:val="%1."/>
      <w:numFmt w:val="decimal"/>
      <w:start w:val="16"/>
    </w:lvl>
    <w:lvl w:ilvl="1">
      <w:lvlJc w:val="left"/>
      <w:lvlText w:val="%2"/>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decimal"/>
      <w:start w:val="1"/>
    </w:lvl>
    <w:lvl w:ilvl="1">
      <w:lvlJc w:val="left"/>
      <w:lvlText w:val="(%2)"/>
      <w:numFmt w:val="lowerLetter"/>
      <w:start w:val="1"/>
    </w:lvl>
  </w:abstractNum>
  <w:abstractNum w:abstractNumId="41">
    <w:nsid w:val="75C6C33A"/>
    <w:multiLevelType w:val="hybridMultilevel"/>
    <w:lvl w:ilvl="0">
      <w:lvlJc w:val="left"/>
      <w:lvlText w:val="%1."/>
      <w:numFmt w:val="decimal"/>
      <w:start w:val="17"/>
    </w:lvl>
    <w:lvl w:ilvl="1">
      <w:lvlJc w:val="left"/>
      <w:lvlText w:val="%2"/>
      <w:numFmt w:val="lowerLetter"/>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decimal"/>
      <w:start w:val="18"/>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decimal"/>
      <w:start w:val="19"/>
    </w:lvl>
    <w:lvl w:ilvl="1">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lowerRoman"/>
      <w:start w:val="4"/>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Roman"/>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decimal"/>
      <w:start w:val="32"/>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Letter"/>
      <w:start w:val="29"/>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8" Type="http://schemas.openxmlformats.org/officeDocument/2006/relationships/hyperlink" Target="http://www.sec.gov/Archives/edgar/data/723612/000072361219000119/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2019-12-28T04:05:48Z</dcterms:created>
  <dcterms:modified xsi:type="dcterms:W3CDTF">2019-12-28T04:05:48Z</dcterms:modified>
</cp:coreProperties>
</file>