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0"/>
        <w:spacing w:after="0"/>
        <w:rPr>
          <w:sz w:val="20"/>
          <w:szCs w:val="20"/>
          <w:color w:val="auto"/>
        </w:rPr>
      </w:pPr>
      <w:r>
        <w:rPr>
          <w:rFonts w:ascii="Courier New" w:cs="Courier New" w:eastAsia="Courier New" w:hAnsi="Courier New"/>
          <w:sz w:val="18"/>
          <w:szCs w:val="18"/>
          <w:color w:val="auto"/>
        </w:rPr>
        <w:t>UNITED STATES</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90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13 or 15(d) of the</w:t>
            </w:r>
          </w:p>
        </w:tc>
      </w:tr>
    </w:tbl>
    <w:p>
      <w:pPr>
        <w:ind w:left="22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29, 1995</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CUC International Inc.</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1-10308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06-0918165</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280" w:space="300"/>
            <w:col w:w="1380" w:space="420"/>
            <w:col w:w="4839"/>
          </w:cols>
          <w:pgMar w:left="240" w:top="244" w:right="1440" w:bottom="0" w:gutter="0" w:footer="0" w:header="0"/>
          <w:type w:val="continuous"/>
        </w:sectPr>
      </w:pPr>
    </w:p>
    <w:p>
      <w:pPr>
        <w:spacing w:after="0" w:line="204" w:lineRule="exact"/>
        <w:rPr>
          <w:sz w:val="24"/>
          <w:szCs w:val="24"/>
          <w:color w:val="auto"/>
        </w:rPr>
      </w:pPr>
    </w:p>
    <w:p>
      <w:pPr>
        <w:jc w:val="center"/>
        <w:ind w:right="2120"/>
        <w:spacing w:after="0"/>
        <w:rPr>
          <w:sz w:val="20"/>
          <w:szCs w:val="20"/>
          <w:color w:val="auto"/>
        </w:rPr>
      </w:pPr>
      <w:r>
        <w:rPr>
          <w:rFonts w:ascii="Courier New" w:cs="Courier New" w:eastAsia="Courier New" w:hAnsi="Courier New"/>
          <w:sz w:val="18"/>
          <w:szCs w:val="18"/>
          <w:color w:val="auto"/>
        </w:rPr>
        <w:t>707 Summer Street</w:t>
      </w:r>
    </w:p>
    <w:p>
      <w:pPr>
        <w:spacing w:after="0" w:line="4" w:lineRule="exact"/>
        <w:rPr>
          <w:sz w:val="24"/>
          <w:szCs w:val="24"/>
          <w:color w:val="auto"/>
        </w:rPr>
      </w:pPr>
    </w:p>
    <w:p>
      <w:pPr>
        <w:jc w:val="center"/>
        <w:ind w:right="2120"/>
        <w:spacing w:after="0"/>
        <w:rPr>
          <w:sz w:val="20"/>
          <w:szCs w:val="20"/>
          <w:color w:val="auto"/>
        </w:rPr>
      </w:pPr>
      <w:r>
        <w:rPr>
          <w:rFonts w:ascii="Courier New" w:cs="Courier New" w:eastAsia="Courier New" w:hAnsi="Courier New"/>
          <w:sz w:val="16"/>
          <w:szCs w:val="16"/>
          <w:color w:val="auto"/>
        </w:rPr>
        <w:t>Stamford, Connecticut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06901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16"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(203)324-9261</w:t>
      </w:r>
    </w:p>
    <w:p>
      <w:pPr>
        <w:ind w:left="128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CUC INTERNATIONAL INC. AND SUBSIDIARIES</w:t>
      </w:r>
    </w:p>
    <w:p>
      <w:pPr>
        <w:spacing w:after="0" w:line="4" w:lineRule="exact"/>
        <w:rPr>
          <w:sz w:val="24"/>
          <w:szCs w:val="24"/>
          <w:color w:val="auto"/>
        </w:rPr>
      </w:pPr>
    </w:p>
    <w:p>
      <w:pPr>
        <w:ind w:left="1800" w:right="3159" w:hanging="947"/>
        <w:spacing w:after="0" w:line="290" w:lineRule="auto"/>
        <w:rPr>
          <w:sz w:val="20"/>
          <w:szCs w:val="20"/>
          <w:color w:val="auto"/>
        </w:rPr>
      </w:pPr>
      <w:r>
        <w:rPr>
          <w:rFonts w:ascii="Courier New" w:cs="Courier New" w:eastAsia="Courier New" w:hAnsi="Courier New"/>
          <w:sz w:val="16"/>
          <w:szCs w:val="16"/>
          <w:color w:val="auto"/>
        </w:rPr>
        <w:t>UNAUDITED PRO FORMA CONDENSED COMBINED FINANCIAL STATEMENTS (In thousands, except per share amounts)</w:t>
      </w:r>
    </w:p>
    <w:p>
      <w:pPr>
        <w:sectPr>
          <w:pgSz w:w="11900" w:h="16838" w:orient="portrait"/>
          <w:cols w:equalWidth="0" w:num="1">
            <w:col w:w="10219"/>
          </w:cols>
          <w:pgMar w:left="240" w:top="244" w:right="1440" w:bottom="0" w:gutter="0" w:footer="0" w:header="0"/>
          <w:type w:val="continuous"/>
        </w:sectPr>
      </w:pPr>
    </w:p>
    <w:bookmarkStart w:id="1" w:name="page2"/>
    <w:bookmarkEnd w:id="1"/>
    <w:p>
      <w:pPr>
        <w:jc w:val="both"/>
        <w:ind w:right="2319"/>
        <w:spacing w:after="0" w:line="238" w:lineRule="auto"/>
        <w:rPr>
          <w:sz w:val="20"/>
          <w:szCs w:val="20"/>
          <w:color w:val="auto"/>
        </w:rPr>
      </w:pPr>
      <w:r>
        <w:rPr>
          <w:rFonts w:ascii="Courier New" w:cs="Courier New" w:eastAsia="Courier New" w:hAnsi="Courier New"/>
          <w:sz w:val="18"/>
          <w:szCs w:val="18"/>
          <w:color w:val="auto"/>
        </w:rPr>
        <w:t>The following unaudited pro forma condensed combined balance sheet as of July 31, 1995 ("Balance Sheet") gives effect to the pending acquisition by CUC International Inc. ("CUC") of North American Outdoor Group, Inc. ("NAOG"), scheduled to be completed during September 1995, including the exchange of all of the outstanding shares of NAOG capital stock for approximately 1.5 million shares of CUC common stock, par value $.01 per share ("Common Stock"), as if the proposed transaction had occurred on July 31, 1995. The unaudited pro forma condensed combined statements of income for the year ended January 31, 1995 and the six-month period ended July 31, 1995 ("Pro Forma Statements of Income" and, collectively with the Pro Forma Balance Sheet, "Pro Forma Financial Statements") give effect to the proposed transaction as if it had occurred on February 1, 1994. In addition, the Pro Forma Statements of Income give effect to the acquisitions by CUC of CUC Europe Limited ("CUC Europe"), Credit Card Sentinel Limited ("Sentinel"), Welcome Wagon International, Inc. ("Welcome Wagon"), and GETKO Group Inc. ("GETKO") (collectively with the acquisition of NAOG, the "Acquisitions").</w:t>
      </w:r>
    </w:p>
    <w:p>
      <w:pPr>
        <w:spacing w:after="0" w:line="209" w:lineRule="exact"/>
        <w:rPr>
          <w:sz w:val="20"/>
          <w:szCs w:val="20"/>
          <w:color w:val="auto"/>
        </w:rPr>
      </w:pPr>
    </w:p>
    <w:p>
      <w:pPr>
        <w:jc w:val="both"/>
        <w:ind w:right="2319"/>
        <w:spacing w:after="0" w:line="238" w:lineRule="auto"/>
        <w:rPr>
          <w:sz w:val="20"/>
          <w:szCs w:val="20"/>
          <w:color w:val="auto"/>
        </w:rPr>
      </w:pPr>
      <w:r>
        <w:rPr>
          <w:rFonts w:ascii="Courier New" w:cs="Courier New" w:eastAsia="Courier New" w:hAnsi="Courier New"/>
          <w:sz w:val="18"/>
          <w:szCs w:val="18"/>
          <w:color w:val="auto"/>
        </w:rPr>
        <w:t>The pro forma information is based on the historical financial statements of the acquired entities for the periods prior to acquisition (see Note (a) to the unaudited pro forma financial information for the applicable periods) and the historical financial statements of CUC contained in its Annual Report on Form 10-K for the fiscal year ended January 31, 1995 and the unaudited quarterly financial information of CUC for the period ended July 31, 1995 giving effect to the assumptions and adjustments described in the accompanying notes to the unaudited pro forma financial statements. Pro forma condensed combined statements of income for the years ended January 31, 1994 and 1993 for the NAOG and GETKO acquisitions, accounted for as poolings of interests, have been excluded due to the insignificance of their historical financial statements to the consolidated financial statements of CUC. In addition, due to their insignificance the historical financial statements of CUC for periods prior to February 1, 1995 have not been restated.</w:t>
      </w:r>
    </w:p>
    <w:p>
      <w:pPr>
        <w:spacing w:after="0" w:line="208" w:lineRule="exact"/>
        <w:rPr>
          <w:sz w:val="20"/>
          <w:szCs w:val="20"/>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The Pro Forma Financial Statements may not be indicative of the operating results that actually would have occurred if the above transactions had been consummated as of the dates indicated or the operating results which may be obtained by CUC in the future. The Pro Forma Financial Statements should be read in conjunction with the audited financial statements and notes thereto of CUC.</w:t>
      </w:r>
    </w:p>
    <w:p>
      <w:pPr>
        <w:spacing w:after="0" w:line="200" w:lineRule="exact"/>
        <w:rPr>
          <w:sz w:val="20"/>
          <w:szCs w:val="20"/>
          <w:color w:val="auto"/>
        </w:r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UNAUDITED PRO FORMA CONDENSED COMBINED BALANCE SHEET</w:t>
      </w:r>
    </w:p>
    <w:p>
      <w:pPr>
        <w:ind w:left="2960"/>
        <w:spacing w:after="0" w:line="238" w:lineRule="auto"/>
        <w:rPr>
          <w:sz w:val="20"/>
          <w:szCs w:val="20"/>
          <w:color w:val="auto"/>
        </w:rPr>
      </w:pPr>
      <w:r>
        <w:rPr>
          <w:rFonts w:ascii="Courier New" w:cs="Courier New" w:eastAsia="Courier New" w:hAnsi="Courier New"/>
          <w:sz w:val="18"/>
          <w:szCs w:val="18"/>
          <w:color w:val="auto"/>
        </w:rPr>
        <w:t>July 31, 1995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CUC</w:t>
            </w: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2"/>
              </w:rPr>
              <w:t>As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NAOG</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Adjustments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 Forma</w:t>
            </w:r>
          </w:p>
        </w:tc>
      </w:tr>
      <w:tr>
        <w:trPr>
          <w:trHeight w:val="203"/>
        </w:trPr>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Cash and cash equivalents $135,204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$5,110</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$140,314</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224,355</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9,652</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234,007</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170,602</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10,599</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181,201</w:t>
            </w:r>
          </w:p>
        </w:tc>
      </w:tr>
      <w:tr>
        <w:trPr>
          <w:trHeight w:val="405"/>
        </w:trPr>
        <w:tc>
          <w:tcPr>
            <w:tcW w:w="2960" w:type="dxa"/>
            <w:vAlign w:val="bottom"/>
          </w:tcPr>
          <w:p>
            <w:pPr>
              <w:ind w:left="220"/>
              <w:spacing w:after="0"/>
              <w:rPr>
                <w:sz w:val="20"/>
                <w:szCs w:val="20"/>
                <w:color w:val="auto"/>
              </w:rPr>
            </w:pPr>
            <w:r>
              <w:rPr>
                <w:rFonts w:ascii="Courier New" w:cs="Courier New" w:eastAsia="Courier New" w:hAnsi="Courier New"/>
                <w:sz w:val="18"/>
                <w:szCs w:val="18"/>
                <w:color w:val="auto"/>
              </w:rPr>
              <w:t>Total current assets</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530,161</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25,361</w:t>
            </w:r>
          </w:p>
        </w:tc>
        <w:tc>
          <w:tcPr>
            <w:tcW w:w="152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555,522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Contract renewal rights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264,560</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264,750</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assets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75,493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7,019</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82,512</w:t>
            </w:r>
          </w:p>
        </w:tc>
      </w:tr>
      <w:tr>
        <w:trPr>
          <w:trHeight w:val="203"/>
        </w:trPr>
        <w:tc>
          <w:tcPr>
            <w:tcW w:w="3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$870,214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$32,570</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$902,784</w:t>
            </w:r>
          </w:p>
        </w:tc>
      </w:tr>
      <w:tr>
        <w:trPr>
          <w:trHeight w:val="203"/>
        </w:trPr>
        <w:tc>
          <w:tcPr>
            <w:tcW w:w="29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w w:val="97"/>
              </w:rPr>
              <w:t>Accounts payable and accrued</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and federal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$102,744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$5,877</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$108,621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memb. income, net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194,261</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23,437</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217,698</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18,323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1,009</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19,332</w:t>
            </w:r>
          </w:p>
        </w:tc>
      </w:tr>
      <w:tr>
        <w:trPr>
          <w:trHeight w:val="203"/>
        </w:trPr>
        <w:tc>
          <w:tcPr>
            <w:tcW w:w="29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315,328</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30,323</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345,651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(125)(b)</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1,828</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Add'l paid in capital</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264,184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426</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125 (b)</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264,735</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305,514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1,681</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307,195</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w:t>
            </w: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w:t>
            </w:r>
          </w:p>
        </w:tc>
      </w:tr>
      <w:tr>
        <w:trPr>
          <w:trHeight w:val="203"/>
        </w:trPr>
        <w:tc>
          <w:tcPr>
            <w:tcW w:w="48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554,886</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2,247</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557,133</w:t>
            </w:r>
          </w:p>
        </w:tc>
      </w:tr>
      <w:tr>
        <w:trPr>
          <w:trHeight w:val="203"/>
        </w:trPr>
        <w:tc>
          <w:tcPr>
            <w:tcW w:w="48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$870,214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$32,570</w:t>
            </w:r>
          </w:p>
        </w:tc>
        <w:tc>
          <w:tcPr>
            <w:tcW w:w="1520" w:type="dxa"/>
            <w:vAlign w:val="bottom"/>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$902,784</w:t>
            </w:r>
          </w:p>
        </w:tc>
      </w:tr>
      <w:tr>
        <w:trPr>
          <w:trHeight w:val="203"/>
        </w:trPr>
        <w:tc>
          <w:tcPr>
            <w:tcW w:w="29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w:t>
            </w:r>
          </w:p>
        </w:tc>
        <w:tc>
          <w:tcPr>
            <w:tcW w:w="1520" w:type="dxa"/>
            <w:vAlign w:val="bottom"/>
          </w:tcPr>
          <w:p>
            <w:pPr>
              <w:spacing w:after="0"/>
              <w:rPr>
                <w:sz w:val="17"/>
                <w:szCs w:val="17"/>
                <w:color w:val="auto"/>
              </w:rPr>
            </w:pP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2" w:name="page3"/>
    <w:bookmarkEnd w:id="2"/>
    <w:p>
      <w:pPr>
        <w:jc w:val="center"/>
        <w:ind w:right="3459"/>
        <w:spacing w:after="0"/>
        <w:rPr>
          <w:sz w:val="20"/>
          <w:szCs w:val="20"/>
          <w:color w:val="auto"/>
        </w:rPr>
      </w:pPr>
      <w:r>
        <w:rPr>
          <w:rFonts w:ascii="Courier New" w:cs="Courier New" w:eastAsia="Courier New" w:hAnsi="Courier New"/>
          <w:sz w:val="18"/>
          <w:szCs w:val="18"/>
          <w:color w:val="auto"/>
        </w:rPr>
        <w:t>UNAUDITED PRO FORMA CONDENSED COMBINED STATEMENT OF INCOME</w:t>
      </w:r>
    </w:p>
    <w:p>
      <w:pPr>
        <w:jc w:val="center"/>
        <w:ind w:right="3359"/>
        <w:spacing w:after="0" w:line="238" w:lineRule="auto"/>
        <w:rPr>
          <w:sz w:val="20"/>
          <w:szCs w:val="20"/>
          <w:color w:val="auto"/>
        </w:rPr>
      </w:pPr>
      <w:r>
        <w:rPr>
          <w:rFonts w:ascii="Courier New" w:cs="Courier New" w:eastAsia="Courier New" w:hAnsi="Courier New"/>
          <w:sz w:val="18"/>
          <w:szCs w:val="18"/>
          <w:color w:val="auto"/>
        </w:rPr>
        <w:t>For the Year Ended January 31, 1995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CUC</w:t>
            </w:r>
          </w:p>
        </w:tc>
        <w:tc>
          <w:tcPr>
            <w:tcW w:w="35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Aquisitions Adjustments Pro Forma</w:t>
            </w:r>
          </w:p>
        </w:tc>
      </w:tr>
      <w:tr>
        <w:trPr>
          <w:trHeight w:val="203"/>
        </w:trPr>
        <w:tc>
          <w:tcPr>
            <w:tcW w:w="244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Membership and service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fees</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other revenues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$1,044,669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$114,359</w:t>
            </w:r>
          </w:p>
        </w:tc>
        <w:tc>
          <w:tcPr>
            <w:tcW w:w="1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$1,159,028</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282,772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29,262</w:t>
            </w: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312,034</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Marketing</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43,420</w:t>
            </w: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465,407</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administrative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149,139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$2,630 (c)</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182,295</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expense, net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1,620 (d)</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2,469</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854,145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103,810</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4,250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962,205</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190,524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10,549</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(4,250)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196,823</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Provision for income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72,933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5,282</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(1,052)(e)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77,163</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$117,591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$5,267</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($3,198)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$119,660</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$0.66</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$0.66</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number of common and</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 common</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176,834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5,217</w:t>
            </w: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182,051</w:t>
            </w:r>
          </w:p>
        </w:tc>
      </w:tr>
      <w:tr>
        <w:trPr>
          <w:trHeight w:val="203"/>
        </w:trPr>
        <w:tc>
          <w:tcPr>
            <w:tcW w:w="24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UNAUDITED PRO FORMA CONDENSED COMBINED STATEMENT OF INCOME</w:t>
      </w:r>
    </w:p>
    <w:p>
      <w:pPr>
        <w:jc w:val="center"/>
        <w:ind w:right="3259"/>
        <w:spacing w:after="0" w:line="238" w:lineRule="auto"/>
        <w:rPr>
          <w:sz w:val="20"/>
          <w:szCs w:val="20"/>
          <w:color w:val="auto"/>
        </w:rPr>
      </w:pPr>
      <w:r>
        <w:rPr>
          <w:rFonts w:ascii="Courier New" w:cs="Courier New" w:eastAsia="Courier New" w:hAnsi="Courier New"/>
          <w:sz w:val="18"/>
          <w:szCs w:val="18"/>
          <w:color w:val="auto"/>
        </w:rPr>
        <w:t>For the Six Months Ended July 31, 1995</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CUC</w:t>
            </w:r>
          </w:p>
        </w:tc>
        <w:tc>
          <w:tcPr>
            <w:tcW w:w="146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Acquisitions</w:t>
            </w:r>
          </w:p>
        </w:tc>
        <w:tc>
          <w:tcPr>
            <w:tcW w:w="24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Adjustments Pro Forma</w:t>
            </w:r>
          </w:p>
        </w:tc>
      </w:tr>
      <w:tr>
        <w:trPr>
          <w:trHeight w:val="203"/>
        </w:trPr>
        <w:tc>
          <w:tcPr>
            <w:tcW w:w="2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Membership and service</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fees</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other revenues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$616,175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$25,881</w:t>
            </w:r>
          </w:p>
        </w:tc>
        <w:tc>
          <w:tcPr>
            <w:tcW w:w="1280" w:type="dxa"/>
            <w:vAlign w:val="bottom"/>
          </w:tcPr>
          <w:p>
            <w:pPr>
              <w:spacing w:after="0"/>
              <w:rPr>
                <w:sz w:val="17"/>
                <w:szCs w:val="17"/>
                <w:color w:val="auto"/>
              </w:rPr>
            </w:pP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7"/>
              </w:rPr>
              <w:t>$642,056</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163,797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9,792</w:t>
            </w:r>
          </w:p>
        </w:tc>
        <w:tc>
          <w:tcPr>
            <w:tcW w:w="1280" w:type="dxa"/>
            <w:vAlign w:val="bottom"/>
          </w:tcPr>
          <w:p>
            <w:pPr>
              <w:spacing w:after="0"/>
              <w:rPr>
                <w:sz w:val="17"/>
                <w:szCs w:val="17"/>
                <w:color w:val="auto"/>
              </w:rPr>
            </w:pP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173,589</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Marketing</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244,657</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8,110</w:t>
            </w:r>
          </w:p>
        </w:tc>
        <w:tc>
          <w:tcPr>
            <w:tcW w:w="1280" w:type="dxa"/>
            <w:vAlign w:val="bottom"/>
          </w:tcPr>
          <w:p>
            <w:pPr>
              <w:spacing w:after="0"/>
              <w:rPr>
                <w:sz w:val="17"/>
                <w:szCs w:val="17"/>
                <w:color w:val="auto"/>
              </w:rPr>
            </w:pP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252,767</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administrative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90,189</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5,688</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$148 (c)</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96,025</w:t>
            </w: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(income)</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 net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 (d)</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2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498,515</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23,603</w:t>
            </w:r>
          </w:p>
        </w:tc>
        <w:tc>
          <w:tcPr>
            <w:tcW w:w="12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297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522,415</w:t>
            </w:r>
          </w:p>
        </w:tc>
      </w:tr>
      <w:tr>
        <w:trPr>
          <w:trHeight w:val="203"/>
        </w:trPr>
        <w:tc>
          <w:tcPr>
            <w:tcW w:w="2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117,660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2,278</w:t>
            </w:r>
          </w:p>
        </w:tc>
        <w:tc>
          <w:tcPr>
            <w:tcW w:w="12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(297)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119,641</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Provision for income</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taxes</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44,770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(59)(e)</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45,614</w:t>
            </w:r>
          </w:p>
        </w:tc>
      </w:tr>
      <w:tr>
        <w:trPr>
          <w:trHeight w:val="203"/>
        </w:trPr>
        <w:tc>
          <w:tcPr>
            <w:tcW w:w="2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$72,890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$1,375</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$74,027</w:t>
            </w:r>
          </w:p>
        </w:tc>
      </w:tr>
      <w:tr>
        <w:trPr>
          <w:trHeight w:val="203"/>
        </w:trPr>
        <w:tc>
          <w:tcPr>
            <w:tcW w:w="2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Net income per common</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$0.40</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$0.40</w:t>
            </w:r>
          </w:p>
        </w:tc>
      </w:tr>
      <w:tr>
        <w:trPr>
          <w:trHeight w:val="203"/>
        </w:trPr>
        <w:tc>
          <w:tcPr>
            <w:tcW w:w="2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number of common and</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dilutive common</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184,440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1,530</w:t>
            </w:r>
          </w:p>
        </w:tc>
        <w:tc>
          <w:tcPr>
            <w:tcW w:w="1280" w:type="dxa"/>
            <w:vAlign w:val="bottom"/>
          </w:tcPr>
          <w:p>
            <w:pPr>
              <w:spacing w:after="0"/>
              <w:rPr>
                <w:sz w:val="17"/>
                <w:szCs w:val="17"/>
                <w:color w:val="auto"/>
              </w:rPr>
            </w:pP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185,970</w:t>
            </w:r>
          </w:p>
        </w:tc>
      </w:tr>
      <w:tr>
        <w:trPr>
          <w:trHeight w:val="203"/>
        </w:trPr>
        <w:tc>
          <w:tcPr>
            <w:tcW w:w="244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spacing w:after="0"/>
              <w:rPr>
                <w:sz w:val="17"/>
                <w:szCs w:val="17"/>
                <w:color w:val="auto"/>
              </w:rPr>
            </w:pP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44"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NOTES TO UNAUDITED PRO FORMA CONDENSED COMBINED FINANCIAL STATEMENTS</w:t>
      </w:r>
    </w:p>
    <w:p>
      <w:pPr>
        <w:spacing w:after="0" w:line="200" w:lineRule="exact"/>
        <w:rPr>
          <w:sz w:val="20"/>
          <w:szCs w:val="20"/>
          <w:color w:val="auto"/>
        </w:rPr>
      </w:pPr>
    </w:p>
    <w:p>
      <w:pPr>
        <w:spacing w:after="0" w:line="209" w:lineRule="exact"/>
        <w:rPr>
          <w:sz w:val="20"/>
          <w:szCs w:val="20"/>
          <w:color w:val="auto"/>
        </w:rPr>
      </w:pPr>
    </w:p>
    <w:p>
      <w:pPr>
        <w:jc w:val="both"/>
        <w:ind w:left="220" w:right="2319" w:hanging="210"/>
        <w:spacing w:after="0" w:line="237" w:lineRule="auto"/>
        <w:rPr>
          <w:sz w:val="20"/>
          <w:szCs w:val="20"/>
          <w:color w:val="auto"/>
        </w:rPr>
      </w:pPr>
      <w:r>
        <w:rPr>
          <w:rFonts w:ascii="Courier New" w:cs="Courier New" w:eastAsia="Courier New" w:hAnsi="Courier New"/>
          <w:sz w:val="18"/>
          <w:szCs w:val="18"/>
          <w:color w:val="auto"/>
        </w:rPr>
        <w:t>(a)During</w:t>
      </w:r>
      <w:r>
        <w:rPr>
          <w:sz w:val="20"/>
          <w:szCs w:val="20"/>
          <w:color w:val="auto"/>
        </w:rPr>
        <w:t xml:space="preserve"> </w:t>
      </w:r>
      <w:r>
        <w:rPr>
          <w:rFonts w:ascii="Courier New" w:cs="Courier New" w:eastAsia="Courier New" w:hAnsi="Courier New"/>
          <w:sz w:val="18"/>
          <w:szCs w:val="18"/>
          <w:color w:val="auto"/>
        </w:rPr>
        <w:t>February 1995, CUC acquired Welcome Wagon and substantially all of the assets of a related entity, Gifts International Inc., for $19.5 million. During March 1995, CUC acquired the parent of its European licensee, CUC Europe, for $13 million and Sentinel for $22.5 million. These acquisitions were accounted for in accordance with the purchase method of accounting and, therefore, their results of operations have been included in Pro Forma Statements of Income from the beginning of each period presented to their respective acquisition dates.</w:t>
      </w:r>
    </w:p>
    <w:p>
      <w:pPr>
        <w:spacing w:after="0" w:line="212" w:lineRule="exact"/>
        <w:rPr>
          <w:sz w:val="20"/>
          <w:szCs w:val="20"/>
          <w:color w:val="auto"/>
        </w:rPr>
      </w:pPr>
    </w:p>
    <w:p>
      <w:pPr>
        <w:ind w:left="220" w:right="2319"/>
        <w:spacing w:after="0" w:line="238" w:lineRule="auto"/>
        <w:rPr>
          <w:sz w:val="20"/>
          <w:szCs w:val="20"/>
          <w:color w:val="auto"/>
        </w:rPr>
      </w:pPr>
      <w:r>
        <w:rPr>
          <w:rFonts w:ascii="Courier New" w:cs="Courier New" w:eastAsia="Courier New" w:hAnsi="Courier New"/>
          <w:sz w:val="18"/>
          <w:szCs w:val="18"/>
          <w:color w:val="auto"/>
        </w:rPr>
        <w:t>During June 1995, CUC acquired all of the outstanding capital stock of GETKO for approximately 3.7 million shares of Common Stock in a transaction accounted for as a pooling of interests. However, CUC's historical financial statements for periods prior to February 1, 1995 have not been restated due to their insignificance. Therefore, the unaudited pro forma condensed combined statement of income for the year ended January 31, 1995 gives effect to the acquisition of GETKO from the beginning of the period. During August 1995, CUC announced that it entered into an agreement to acquire all of the outstanding capital stock of NAOG for approximately 1.5 million shares of Common Stock in a transaction to be accounted for as a pooling of interests, which acquisition is expected to be completed during September 1995. Therefore, NAOG has been included in the Pro Forma Financial Statements for all periods presented. Pro forma condensed combined statements of income for the years ended January 31, 1994 and 1993 for NAOG and GETKO have been excluded due to the insignificance of NAOG's and GETKO's historical financial statements to the consolidated financial statements of CUC.</w:t>
      </w:r>
    </w:p>
    <w:p>
      <w:pPr>
        <w:spacing w:after="0" w:line="209" w:lineRule="exact"/>
        <w:rPr>
          <w:sz w:val="20"/>
          <w:szCs w:val="20"/>
          <w:color w:val="auto"/>
        </w:rPr>
      </w:pPr>
    </w:p>
    <w:p>
      <w:pPr>
        <w:jc w:val="both"/>
        <w:ind w:left="220" w:right="2319" w:hanging="212"/>
        <w:spacing w:after="0" w:line="237" w:lineRule="auto"/>
        <w:tabs>
          <w:tab w:leader="none" w:pos="53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Financial Statements assume that all outstanding shares of NAOG capital stock will be converted and approximately 1.5 million shares of Common Stock to be issued upon the consummation of a transaction to be accounted for as a pooling of interests. The effect of this transaction was to increase Common Stock by approximately $15 and additional paid-in capital by approximately $551 and to eliminate NAOG capital stock.</w:t>
      </w:r>
    </w:p>
    <w:p>
      <w:pPr>
        <w:spacing w:after="0" w:line="211"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The following adjustments have been made to the pro forma results of operations:</w:t>
      </w:r>
    </w:p>
    <w:p>
      <w:pPr>
        <w:sectPr>
          <w:pgSz w:w="11900" w:h="16838" w:orient="portrait"/>
          <w:cols w:equalWidth="0" w:num="1">
            <w:col w:w="10219"/>
          </w:cols>
          <w:pgMar w:left="240" w:top="946"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(c)</w:t>
        <w:tab/>
        <w:t>General and Administrative: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Increase / (Decrease)</w:t>
      </w:r>
    </w:p>
    <w:p>
      <w:pPr>
        <w:ind w:left="94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1440" w:val="left"/>
        </w:tabs>
        <w:rPr>
          <w:sz w:val="20"/>
          <w:szCs w:val="20"/>
          <w:color w:val="auto"/>
        </w:rPr>
      </w:pPr>
      <w:r>
        <w:rPr>
          <w:rFonts w:ascii="Courier New" w:cs="Courier New" w:eastAsia="Courier New" w:hAnsi="Courier New"/>
          <w:sz w:val="18"/>
          <w:szCs w:val="18"/>
          <w:color w:val="auto"/>
        </w:rPr>
        <w:t>Six Months</w:t>
      </w:r>
      <w:r>
        <w:rPr>
          <w:sz w:val="20"/>
          <w:szCs w:val="20"/>
          <w:color w:val="auto"/>
        </w:rPr>
        <w:tab/>
      </w:r>
      <w:r>
        <w:rPr>
          <w:rFonts w:ascii="Courier New" w:cs="Courier New" w:eastAsia="Courier New" w:hAnsi="Courier New"/>
          <w:sz w:val="16"/>
          <w:szCs w:val="16"/>
          <w:color w:val="auto"/>
        </w:rPr>
        <w:t>Year Ended</w:t>
      </w:r>
    </w:p>
    <w:p>
      <w:pPr>
        <w:ind w:left="300"/>
        <w:spacing w:after="0" w:line="238" w:lineRule="auto"/>
        <w:tabs>
          <w:tab w:leader="none" w:pos="1240" w:val="left"/>
        </w:tabs>
        <w:rPr>
          <w:sz w:val="20"/>
          <w:szCs w:val="20"/>
          <w:color w:val="auto"/>
        </w:rPr>
      </w:pPr>
      <w:r>
        <w:rPr>
          <w:rFonts w:ascii="Courier New" w:cs="Courier New" w:eastAsia="Courier New" w:hAnsi="Courier New"/>
          <w:sz w:val="18"/>
          <w:szCs w:val="18"/>
          <w:color w:val="auto"/>
        </w:rPr>
        <w:t>Ended</w:t>
      </w:r>
      <w:r>
        <w:rPr>
          <w:sz w:val="20"/>
          <w:szCs w:val="20"/>
          <w:color w:val="auto"/>
        </w:rPr>
        <w:tab/>
      </w:r>
      <w:r>
        <w:rPr>
          <w:rFonts w:ascii="Courier New" w:cs="Courier New" w:eastAsia="Courier New" w:hAnsi="Courier New"/>
          <w:sz w:val="18"/>
          <w:szCs w:val="18"/>
          <w:color w:val="auto"/>
        </w:rPr>
        <w:t>January 31,</w:t>
      </w:r>
    </w:p>
    <w:p>
      <w:pPr>
        <w:ind w:left="100"/>
        <w:spacing w:after="0"/>
        <w:tabs>
          <w:tab w:leader="none" w:pos="1660" w:val="left"/>
        </w:tabs>
        <w:rPr>
          <w:sz w:val="20"/>
          <w:szCs w:val="20"/>
          <w:color w:val="auto"/>
        </w:rPr>
      </w:pPr>
      <w:r>
        <w:rPr>
          <w:rFonts w:ascii="Courier New" w:cs="Courier New" w:eastAsia="Courier New" w:hAnsi="Courier New"/>
          <w:sz w:val="18"/>
          <w:szCs w:val="18"/>
          <w:color w:val="auto"/>
        </w:rPr>
        <w:t>July 31,</w:t>
      </w:r>
      <w:r>
        <w:rPr>
          <w:sz w:val="20"/>
          <w:szCs w:val="20"/>
          <w:color w:val="auto"/>
        </w:rPr>
        <w:tab/>
      </w:r>
      <w:r>
        <w:rPr>
          <w:rFonts w:ascii="Courier New" w:cs="Courier New" w:eastAsia="Courier New" w:hAnsi="Courier New"/>
          <w:sz w:val="16"/>
          <w:szCs w:val="16"/>
          <w:color w:val="auto"/>
        </w:rPr>
        <w:t>1995</w:t>
      </w:r>
    </w:p>
    <w:p>
      <w:pPr>
        <w:ind w:left="300"/>
        <w:spacing w:after="0" w:line="237" w:lineRule="auto"/>
        <w:rPr>
          <w:sz w:val="20"/>
          <w:szCs w:val="20"/>
          <w:color w:val="auto"/>
        </w:rPr>
      </w:pPr>
      <w:r>
        <w:rPr>
          <w:rFonts w:ascii="Courier New" w:cs="Courier New" w:eastAsia="Courier New" w:hAnsi="Courier New"/>
          <w:sz w:val="18"/>
          <w:szCs w:val="18"/>
          <w:color w:val="auto"/>
        </w:rPr>
        <w:t>1995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ectPr>
          <w:pgSz w:w="11900" w:h="16838" w:orient="portrait"/>
          <w:cols w:equalWidth="0" w:num="2">
            <w:col w:w="3380" w:space="640"/>
            <w:col w:w="6199"/>
          </w:cols>
          <w:pgMar w:left="240" w:top="946" w:right="1440" w:bottom="352"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Amortization of excess of cost</w:t>
      </w:r>
    </w:p>
    <w:p>
      <w:pPr>
        <w:sectPr>
          <w:pgSz w:w="11900" w:h="16838" w:orient="portrait"/>
          <w:cols w:equalWidth="0" w:num="1">
            <w:col w:w="10219"/>
          </w:cols>
          <w:pgMar w:left="240" w:top="946" w:right="1440" w:bottom="352" w:gutter="0" w:footer="0" w:header="0"/>
          <w:type w:val="continuous"/>
        </w:sectPr>
      </w:pP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over net assets acquired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$(148)</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$(2,630)</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3">
            <w:col w:w="3600" w:space="720"/>
            <w:col w:w="640" w:space="520"/>
            <w:col w:w="4739"/>
          </w:cols>
          <w:pgMar w:left="240" w:top="946" w:right="1440" w:bottom="352" w:gutter="0" w:footer="0" w:header="0"/>
          <w:type w:val="continuous"/>
        </w:sectPr>
      </w:pP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(d)</w:t>
        <w:tab/>
        <w:t>Other (Income) Expense, Net:</w:t>
      </w:r>
    </w:p>
    <w:p>
      <w:pPr>
        <w:ind w:left="740"/>
        <w:spacing w:after="0"/>
        <w:rPr>
          <w:sz w:val="20"/>
          <w:szCs w:val="20"/>
          <w:color w:val="auto"/>
        </w:rPr>
      </w:pPr>
      <w:r>
        <w:rPr>
          <w:rFonts w:ascii="Courier New" w:cs="Courier New" w:eastAsia="Courier New" w:hAnsi="Courier New"/>
          <w:sz w:val="18"/>
          <w:szCs w:val="18"/>
          <w:color w:val="auto"/>
        </w:rPr>
        <w:t>Effect of cash paid to Welcome</w:t>
      </w:r>
    </w:p>
    <w:p>
      <w:pPr>
        <w:ind w:left="960"/>
        <w:spacing w:after="0" w:line="237" w:lineRule="auto"/>
        <w:rPr>
          <w:sz w:val="20"/>
          <w:szCs w:val="20"/>
          <w:color w:val="auto"/>
        </w:rPr>
      </w:pPr>
      <w:r>
        <w:rPr>
          <w:rFonts w:ascii="Courier New" w:cs="Courier New" w:eastAsia="Courier New" w:hAnsi="Courier New"/>
          <w:sz w:val="18"/>
          <w:szCs w:val="18"/>
          <w:color w:val="auto"/>
        </w:rPr>
        <w:t>Wagon shareholders on interest</w:t>
      </w:r>
    </w:p>
    <w:p>
      <w:pPr>
        <w:ind w:left="960"/>
        <w:spacing w:after="0" w:line="238" w:lineRule="auto"/>
        <w:rPr>
          <w:sz w:val="20"/>
          <w:szCs w:val="20"/>
          <w:color w:val="auto"/>
        </w:rPr>
      </w:pPr>
      <w:r>
        <w:rPr>
          <w:rFonts w:ascii="Courier New" w:cs="Courier New" w:eastAsia="Courier New" w:hAnsi="Courier New"/>
          <w:sz w:val="18"/>
          <w:szCs w:val="18"/>
          <w:color w:val="auto"/>
        </w:rPr>
        <w:t>(income) expense, net</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Effect of cash paid to CUC Europe</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shareholders on interest</w:t>
      </w:r>
    </w:p>
    <w:p>
      <w:pPr>
        <w:ind w:left="960"/>
        <w:spacing w:after="0" w:line="238" w:lineRule="auto"/>
        <w:rPr>
          <w:sz w:val="20"/>
          <w:szCs w:val="20"/>
          <w:color w:val="auto"/>
        </w:rPr>
      </w:pPr>
      <w:r>
        <w:rPr>
          <w:rFonts w:ascii="Courier New" w:cs="Courier New" w:eastAsia="Courier New" w:hAnsi="Courier New"/>
          <w:sz w:val="18"/>
          <w:szCs w:val="18"/>
          <w:color w:val="auto"/>
        </w:rPr>
        <w:t>(income) expense, net</w:t>
      </w:r>
    </w:p>
    <w:p>
      <w:pPr>
        <w:ind w:left="740"/>
        <w:spacing w:after="0"/>
        <w:rPr>
          <w:sz w:val="20"/>
          <w:szCs w:val="20"/>
          <w:color w:val="auto"/>
        </w:rPr>
      </w:pPr>
      <w:r>
        <w:rPr>
          <w:rFonts w:ascii="Courier New" w:cs="Courier New" w:eastAsia="Courier New" w:hAnsi="Courier New"/>
          <w:sz w:val="18"/>
          <w:szCs w:val="18"/>
          <w:color w:val="auto"/>
        </w:rPr>
        <w:t>Effect of cash paid to Sentinel</w:t>
      </w:r>
    </w:p>
    <w:p>
      <w:pPr>
        <w:ind w:left="960"/>
        <w:spacing w:after="0" w:line="237" w:lineRule="auto"/>
        <w:rPr>
          <w:sz w:val="20"/>
          <w:szCs w:val="20"/>
          <w:color w:val="auto"/>
        </w:rPr>
      </w:pPr>
      <w:r>
        <w:rPr>
          <w:rFonts w:ascii="Courier New" w:cs="Courier New" w:eastAsia="Courier New" w:hAnsi="Courier New"/>
          <w:sz w:val="18"/>
          <w:szCs w:val="18"/>
          <w:color w:val="auto"/>
        </w:rPr>
        <w:t>shareholders on interest</w:t>
      </w:r>
    </w:p>
    <w:p>
      <w:pPr>
        <w:ind w:left="960"/>
        <w:spacing w:after="0" w:line="238" w:lineRule="auto"/>
        <w:rPr>
          <w:sz w:val="20"/>
          <w:szCs w:val="20"/>
          <w:color w:val="auto"/>
        </w:rPr>
      </w:pPr>
      <w:r>
        <w:rPr>
          <w:rFonts w:ascii="Courier New" w:cs="Courier New" w:eastAsia="Courier New" w:hAnsi="Courier New"/>
          <w:sz w:val="18"/>
          <w:szCs w:val="18"/>
          <w:color w:val="auto"/>
        </w:rPr>
        <w:t>(income)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(585)</w:t>
      </w:r>
    </w:p>
    <w:p>
      <w:pPr>
        <w:spacing w:after="0" w:line="200" w:lineRule="exact"/>
        <w:rPr>
          <w:sz w:val="20"/>
          <w:szCs w:val="20"/>
          <w:color w:val="auto"/>
        </w:rPr>
      </w:pPr>
    </w:p>
    <w:p>
      <w:pPr>
        <w:spacing w:after="0" w:line="226" w:lineRule="exact"/>
        <w:rPr>
          <w:sz w:val="20"/>
          <w:szCs w:val="20"/>
          <w:color w:val="auto"/>
        </w:rPr>
      </w:pPr>
    </w:p>
    <w:p>
      <w:pPr>
        <w:ind w:left="320"/>
        <w:spacing w:after="0"/>
        <w:tabs>
          <w:tab w:leader="none" w:pos="15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(360)</w:t>
      </w:r>
    </w:p>
    <w:p>
      <w:pPr>
        <w:spacing w:after="0" w:line="200" w:lineRule="exact"/>
        <w:rPr>
          <w:sz w:val="20"/>
          <w:szCs w:val="20"/>
          <w:color w:val="auto"/>
        </w:rPr>
      </w:pPr>
    </w:p>
    <w:p>
      <w:pPr>
        <w:spacing w:after="0" w:line="226"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6"/>
          <w:szCs w:val="16"/>
          <w:color w:val="auto"/>
        </w:rPr>
        <w:t>(113)</w:t>
      </w:r>
      <w:r>
        <w:rPr>
          <w:sz w:val="20"/>
          <w:szCs w:val="20"/>
          <w:color w:val="auto"/>
        </w:rPr>
        <w:tab/>
      </w:r>
      <w:r>
        <w:rPr>
          <w:rFonts w:ascii="Courier New" w:cs="Courier New" w:eastAsia="Courier New" w:hAnsi="Courier New"/>
          <w:sz w:val="16"/>
          <w:szCs w:val="16"/>
          <w:color w:val="auto"/>
        </w:rPr>
        <w:t>(675)</w:t>
      </w:r>
    </w:p>
    <w:p>
      <w:pPr>
        <w:spacing w:after="0" w:line="2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6"/>
          <w:szCs w:val="16"/>
          <w:color w:val="auto"/>
        </w:rPr>
        <w:t>(149)</w:t>
      </w:r>
      <w:r>
        <w:rPr>
          <w:sz w:val="20"/>
          <w:szCs w:val="20"/>
          <w:color w:val="auto"/>
        </w:rPr>
        <w:tab/>
      </w:r>
      <w:r>
        <w:rPr>
          <w:rFonts w:ascii="Courier New" w:cs="Courier New" w:eastAsia="Courier New" w:hAnsi="Courier New"/>
          <w:sz w:val="16"/>
          <w:szCs w:val="16"/>
          <w:color w:val="auto"/>
        </w:rPr>
        <w:t>(1,620)</w:t>
      </w:r>
    </w:p>
    <w:p>
      <w:pPr>
        <w:spacing w:after="0" w:line="21" w:lineRule="exact"/>
        <w:rPr>
          <w:sz w:val="20"/>
          <w:szCs w:val="20"/>
          <w:color w:val="auto"/>
        </w:rPr>
      </w:pPr>
    </w:p>
    <w:p>
      <w:pPr>
        <w:ind w:left="320"/>
        <w:spacing w:after="0"/>
        <w:tabs>
          <w:tab w:leader="none" w:pos="16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4220" w:space="0"/>
            <w:col w:w="5999"/>
          </w:cols>
          <w:pgMar w:left="240" w:top="946" w:right="1440" w:bottom="352"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6"/>
          <w:szCs w:val="16"/>
          <w:color w:val="auto"/>
        </w:rPr>
        <w:t>(e)</w:t>
        <w:tab/>
        <w:t>Provision for Income Taxes: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Tax effect of pro forma</w:t>
      </w:r>
    </w:p>
    <w:p>
      <w:pPr>
        <w:sectPr>
          <w:pgSz w:w="11900" w:h="16838" w:orient="portrait"/>
          <w:cols w:equalWidth="0" w:num="1">
            <w:col w:w="10219"/>
          </w:cols>
          <w:pgMar w:left="240" w:top="946" w:right="1440" w:bottom="352" w:gutter="0" w:footer="0" w:header="0"/>
          <w:type w:val="continuous"/>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adjustments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$1,052</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920" w:space="720"/>
            <w:col w:w="320" w:space="640"/>
            <w:col w:w="4619"/>
          </w:cols>
          <w:pgMar w:left="240" w:top="946" w:right="1440" w:bottom="352"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946" w:right="1440" w:bottom="352" w:gutter="0" w:footer="0" w:header="0"/>
          <w:type w:val="continuous"/>
        </w:sectPr>
      </w:pPr>
    </w:p>
    <w:bookmarkStart w:id="4" w:name="page5"/>
    <w:bookmarkEnd w:id="4"/>
    <w:p>
      <w:pPr>
        <w:jc w:val="both"/>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had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CUC International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COSMO CORIGLIANO</w:t>
      </w:r>
    </w:p>
    <w:p>
      <w:pPr>
        <w:spacing w:after="0" w:line="238" w:lineRule="auto"/>
        <w:rPr>
          <w:sz w:val="20"/>
          <w:szCs w:val="20"/>
          <w:color w:val="auto"/>
        </w:rPr>
      </w:pPr>
      <w:r>
        <w:rPr>
          <w:rFonts w:ascii="Courier New" w:cs="Courier New" w:eastAsia="Courier New" w:hAnsi="Courier New"/>
          <w:sz w:val="18"/>
          <w:szCs w:val="18"/>
          <w:color w:val="auto"/>
        </w:rPr>
        <w:t>Cosmo Corigliano - Senior Vice President</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 Officer)</w:t>
      </w:r>
    </w:p>
    <w:sectPr>
      <w:pgSz w:w="11900" w:h="16838" w:orient="portrait"/>
      <w:cols w:equalWidth="0" w:num="2">
        <w:col w:w="2140" w:space="720"/>
        <w:col w:w="73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2019-12-13T13:40:46Z</dcterms:created>
  <dcterms:modified xsi:type="dcterms:W3CDTF">2019-12-13T13:40:46Z</dcterms:modified>
</cp:coreProperties>
</file>