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680" w:type="dxa"/>
        <w:tblCellMar>
          <w:top w:w="0" w:type="dxa"/>
          <w:left w:w="0" w:type="dxa"/>
          <w:bottom w:w="0" w:type="dxa"/>
          <w:right w:w="0" w:type="dxa"/>
        </w:tblCellMar>
      </w:tblPr>
      <w:tr>
        <w:trPr>
          <w:trHeight w:val="257"/>
        </w:trPr>
        <w:tc>
          <w:tcPr>
            <w:tcW w:w="2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80" w:type="dxa"/>
            <w:vAlign w:val="bottom"/>
            <w:gridSpan w:val="3"/>
          </w:tcPr>
          <w:p>
            <w:pPr>
              <w:jc w:val="center"/>
              <w:ind w:left="227"/>
              <w:spacing w:after="0"/>
              <w:rPr>
                <w:sz w:val="20"/>
                <w:szCs w:val="20"/>
                <w:color w:val="auto"/>
              </w:rPr>
            </w:pPr>
            <w:r>
              <w:rPr>
                <w:rFonts w:ascii="Arial" w:cs="Arial" w:eastAsia="Arial" w:hAnsi="Arial"/>
                <w:sz w:val="22"/>
                <w:szCs w:val="22"/>
                <w:b w:val="1"/>
                <w:bCs w:val="1"/>
                <w:color w:val="auto"/>
                <w:w w:val="96"/>
              </w:rPr>
              <w:t>UNITED STATES</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400" w:type="dxa"/>
            <w:vAlign w:val="bottom"/>
          </w:tcPr>
          <w:p>
            <w:pPr>
              <w:spacing w:after="0"/>
              <w:rPr>
                <w:sz w:val="22"/>
                <w:szCs w:val="22"/>
                <w:color w:val="auto"/>
              </w:rPr>
            </w:pPr>
          </w:p>
        </w:tc>
        <w:tc>
          <w:tcPr>
            <w:tcW w:w="7920" w:type="dxa"/>
            <w:vAlign w:val="bottom"/>
            <w:gridSpan w:val="10"/>
          </w:tcPr>
          <w:p>
            <w:pPr>
              <w:jc w:val="center"/>
              <w:ind w:right="2757"/>
              <w:spacing w:after="0"/>
              <w:rPr>
                <w:sz w:val="20"/>
                <w:szCs w:val="20"/>
                <w:color w:val="auto"/>
              </w:rPr>
            </w:pPr>
            <w:r>
              <w:rPr>
                <w:rFonts w:ascii="Arial" w:cs="Arial" w:eastAsia="Arial" w:hAnsi="Arial"/>
                <w:sz w:val="22"/>
                <w:szCs w:val="22"/>
                <w:b w:val="1"/>
                <w:bCs w:val="1"/>
                <w:color w:val="auto"/>
                <w:w w:val="98"/>
              </w:rPr>
              <w:t>SECURITIES AND EXCHANGE COMMISSION</w:t>
            </w: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3"/>
          </w:tcPr>
          <w:p>
            <w:pPr>
              <w:jc w:val="center"/>
              <w:ind w:left="247"/>
              <w:spacing w:after="0"/>
              <w:rPr>
                <w:sz w:val="20"/>
                <w:szCs w:val="20"/>
                <w:color w:val="auto"/>
              </w:rPr>
            </w:pPr>
            <w:r>
              <w:rPr>
                <w:rFonts w:ascii="Arial" w:cs="Arial" w:eastAsia="Arial" w:hAnsi="Arial"/>
                <w:sz w:val="13"/>
                <w:szCs w:val="13"/>
                <w:b w:val="1"/>
                <w:bCs w:val="1"/>
                <w:color w:val="auto"/>
                <w:w w:val="96"/>
              </w:rPr>
              <w:t>WASHINGTON, D.C. 20549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3"/>
        </w:trPr>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3"/>
          </w:tcPr>
          <w:p>
            <w:pPr>
              <w:ind w:left="600"/>
              <w:spacing w:after="0"/>
              <w:rPr>
                <w:sz w:val="20"/>
                <w:szCs w:val="20"/>
                <w:color w:val="auto"/>
              </w:rPr>
            </w:pPr>
            <w:r>
              <w:rPr>
                <w:rFonts w:ascii="Arial" w:cs="Arial" w:eastAsia="Arial" w:hAnsi="Arial"/>
                <w:sz w:val="22"/>
                <w:szCs w:val="22"/>
                <w:b w:val="1"/>
                <w:bCs w:val="1"/>
                <w:color w:val="auto"/>
              </w:rPr>
              <w:t>FORM 10-K</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400" w:type="dxa"/>
            <w:vAlign w:val="bottom"/>
            <w:vMerge w:val="restart"/>
          </w:tcPr>
          <w:p>
            <w:pPr>
              <w:ind w:left="1700"/>
              <w:spacing w:after="0" w:line="181" w:lineRule="exact"/>
              <w:rPr>
                <w:sz w:val="20"/>
                <w:szCs w:val="20"/>
                <w:color w:val="auto"/>
              </w:rPr>
            </w:pPr>
            <w:r>
              <w:rPr>
                <w:rFonts w:ascii="MS PGothic" w:cs="MS PGothic" w:eastAsia="MS PGothic" w:hAnsi="MS PGothic"/>
                <w:sz w:val="18"/>
                <w:szCs w:val="18"/>
                <w:color w:val="auto"/>
              </w:rPr>
              <w:t>☒</w:t>
            </w:r>
          </w:p>
        </w:tc>
        <w:tc>
          <w:tcPr>
            <w:tcW w:w="7920" w:type="dxa"/>
            <w:vAlign w:val="bottom"/>
            <w:gridSpan w:val="10"/>
          </w:tcPr>
          <w:p>
            <w:pPr>
              <w:jc w:val="center"/>
              <w:ind w:right="2117"/>
              <w:spacing w:after="0" w:line="135" w:lineRule="exact"/>
              <w:rPr>
                <w:sz w:val="20"/>
                <w:szCs w:val="20"/>
                <w:color w:val="auto"/>
              </w:rPr>
            </w:pPr>
            <w:r>
              <w:rPr>
                <w:rFonts w:ascii="Arial" w:cs="Arial" w:eastAsia="Arial" w:hAnsi="Arial"/>
                <w:sz w:val="13"/>
                <w:szCs w:val="13"/>
                <w:b w:val="1"/>
                <w:bCs w:val="1"/>
                <w:color w:val="auto"/>
                <w:w w:val="96"/>
              </w:rPr>
              <w:t>ANNUAL REPORT PURSUANT TO SECTION 13 OR 15(d) OF THE</w:t>
            </w:r>
          </w:p>
        </w:tc>
        <w:tc>
          <w:tcPr>
            <w:tcW w:w="0" w:type="dxa"/>
            <w:vAlign w:val="bottom"/>
          </w:tcPr>
          <w:p>
            <w:pPr>
              <w:spacing w:after="0"/>
              <w:rPr>
                <w:sz w:val="1"/>
                <w:szCs w:val="1"/>
                <w:color w:val="auto"/>
              </w:rPr>
            </w:pPr>
          </w:p>
        </w:tc>
      </w:tr>
      <w:tr>
        <w:trPr>
          <w:trHeight w:val="200"/>
        </w:trPr>
        <w:tc>
          <w:tcPr>
            <w:tcW w:w="24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20" w:type="dxa"/>
            <w:vAlign w:val="bottom"/>
            <w:gridSpan w:val="8"/>
          </w:tcPr>
          <w:p>
            <w:pPr>
              <w:jc w:val="center"/>
              <w:ind w:right="3497"/>
              <w:spacing w:after="0"/>
              <w:rPr>
                <w:sz w:val="20"/>
                <w:szCs w:val="20"/>
                <w:color w:val="auto"/>
              </w:rPr>
            </w:pPr>
            <w:r>
              <w:rPr>
                <w:rFonts w:ascii="Arial" w:cs="Arial" w:eastAsia="Arial" w:hAnsi="Arial"/>
                <w:sz w:val="13"/>
                <w:szCs w:val="13"/>
                <w:b w:val="1"/>
                <w:bCs w:val="1"/>
                <w:color w:val="auto"/>
                <w:w w:val="96"/>
              </w:rPr>
              <w:t>SECURITIES EXCHANGE ACT OF 1934</w:t>
            </w:r>
          </w:p>
        </w:tc>
        <w:tc>
          <w:tcPr>
            <w:tcW w:w="0" w:type="dxa"/>
            <w:vAlign w:val="bottom"/>
          </w:tcPr>
          <w:p>
            <w:pPr>
              <w:spacing w:after="0"/>
              <w:rPr>
                <w:sz w:val="1"/>
                <w:szCs w:val="1"/>
                <w:color w:val="auto"/>
              </w:rPr>
            </w:pPr>
          </w:p>
        </w:tc>
      </w:tr>
      <w:tr>
        <w:trPr>
          <w:trHeight w:val="448"/>
        </w:trPr>
        <w:tc>
          <w:tcPr>
            <w:tcW w:w="2400" w:type="dxa"/>
            <w:vAlign w:val="bottom"/>
          </w:tcPr>
          <w:p>
            <w:pPr>
              <w:spacing w:after="0"/>
              <w:rPr>
                <w:sz w:val="24"/>
                <w:szCs w:val="24"/>
                <w:color w:val="auto"/>
              </w:rPr>
            </w:pPr>
          </w:p>
        </w:tc>
        <w:tc>
          <w:tcPr>
            <w:tcW w:w="7920" w:type="dxa"/>
            <w:vAlign w:val="bottom"/>
            <w:gridSpan w:val="10"/>
          </w:tcPr>
          <w:p>
            <w:pPr>
              <w:jc w:val="center"/>
              <w:ind w:right="2757"/>
              <w:spacing w:after="0"/>
              <w:rPr>
                <w:sz w:val="20"/>
                <w:szCs w:val="20"/>
                <w:color w:val="auto"/>
              </w:rPr>
            </w:pPr>
            <w:r>
              <w:rPr>
                <w:rFonts w:ascii="Arial" w:cs="Arial" w:eastAsia="Arial" w:hAnsi="Arial"/>
                <w:sz w:val="13"/>
                <w:szCs w:val="13"/>
                <w:b w:val="1"/>
                <w:bCs w:val="1"/>
                <w:color w:val="auto"/>
                <w:w w:val="97"/>
              </w:rPr>
              <w:t>For the fiscal year ended December 31, 2022</w:t>
            </w: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3"/>
          </w:tcPr>
          <w:p>
            <w:pPr>
              <w:jc w:val="center"/>
              <w:ind w:left="227"/>
              <w:spacing w:after="0"/>
              <w:rPr>
                <w:sz w:val="20"/>
                <w:szCs w:val="20"/>
                <w:color w:val="auto"/>
              </w:rPr>
            </w:pPr>
            <w:r>
              <w:rPr>
                <w:rFonts w:ascii="Arial" w:cs="Arial" w:eastAsia="Arial" w:hAnsi="Arial"/>
                <w:sz w:val="13"/>
                <w:szCs w:val="13"/>
                <w:b w:val="1"/>
                <w:bCs w:val="1"/>
                <w:color w:val="auto"/>
              </w:rPr>
              <w:t>OR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400" w:type="dxa"/>
            <w:vAlign w:val="bottom"/>
            <w:vMerge w:val="restart"/>
          </w:tcPr>
          <w:p>
            <w:pPr>
              <w:ind w:left="1700"/>
              <w:spacing w:after="0" w:line="181" w:lineRule="exact"/>
              <w:rPr>
                <w:sz w:val="20"/>
                <w:szCs w:val="20"/>
                <w:color w:val="auto"/>
              </w:rPr>
            </w:pPr>
            <w:r>
              <w:rPr>
                <w:rFonts w:ascii="MS PGothic" w:cs="MS PGothic" w:eastAsia="MS PGothic" w:hAnsi="MS PGothic"/>
                <w:sz w:val="18"/>
                <w:szCs w:val="18"/>
                <w:color w:val="auto"/>
              </w:rPr>
              <w:t>☐</w:t>
            </w:r>
          </w:p>
        </w:tc>
        <w:tc>
          <w:tcPr>
            <w:tcW w:w="7920" w:type="dxa"/>
            <w:vAlign w:val="bottom"/>
            <w:gridSpan w:val="10"/>
          </w:tcPr>
          <w:p>
            <w:pPr>
              <w:jc w:val="center"/>
              <w:ind w:right="2117"/>
              <w:spacing w:after="0"/>
              <w:rPr>
                <w:sz w:val="20"/>
                <w:szCs w:val="20"/>
                <w:color w:val="auto"/>
              </w:rPr>
            </w:pPr>
            <w:r>
              <w:rPr>
                <w:rFonts w:ascii="Arial" w:cs="Arial" w:eastAsia="Arial" w:hAnsi="Arial"/>
                <w:sz w:val="13"/>
                <w:szCs w:val="13"/>
                <w:b w:val="1"/>
                <w:bCs w:val="1"/>
                <w:color w:val="auto"/>
                <w:w w:val="96"/>
              </w:rPr>
              <w:t>TRANSITION REPORT PURSUANT TO SECTION 13 OR 15(d) OF THE</w:t>
            </w:r>
          </w:p>
        </w:tc>
        <w:tc>
          <w:tcPr>
            <w:tcW w:w="0" w:type="dxa"/>
            <w:vAlign w:val="bottom"/>
          </w:tcPr>
          <w:p>
            <w:pPr>
              <w:spacing w:after="0"/>
              <w:rPr>
                <w:sz w:val="1"/>
                <w:szCs w:val="1"/>
                <w:color w:val="auto"/>
              </w:rPr>
            </w:pPr>
          </w:p>
        </w:tc>
      </w:tr>
      <w:tr>
        <w:trPr>
          <w:trHeight w:val="200"/>
        </w:trPr>
        <w:tc>
          <w:tcPr>
            <w:tcW w:w="24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20" w:type="dxa"/>
            <w:vAlign w:val="bottom"/>
            <w:gridSpan w:val="8"/>
          </w:tcPr>
          <w:p>
            <w:pPr>
              <w:jc w:val="center"/>
              <w:ind w:right="3497"/>
              <w:spacing w:after="0"/>
              <w:rPr>
                <w:sz w:val="20"/>
                <w:szCs w:val="20"/>
                <w:color w:val="auto"/>
              </w:rPr>
            </w:pPr>
            <w:r>
              <w:rPr>
                <w:rFonts w:ascii="Arial" w:cs="Arial" w:eastAsia="Arial" w:hAnsi="Arial"/>
                <w:sz w:val="13"/>
                <w:szCs w:val="13"/>
                <w:b w:val="1"/>
                <w:bCs w:val="1"/>
                <w:color w:val="auto"/>
                <w:w w:val="96"/>
              </w:rPr>
              <w:t>SECURITIES EXCHANGE ACT OF 1934</w:t>
            </w:r>
          </w:p>
        </w:tc>
        <w:tc>
          <w:tcPr>
            <w:tcW w:w="0" w:type="dxa"/>
            <w:vAlign w:val="bottom"/>
          </w:tcPr>
          <w:p>
            <w:pPr>
              <w:spacing w:after="0"/>
              <w:rPr>
                <w:sz w:val="1"/>
                <w:szCs w:val="1"/>
                <w:color w:val="auto"/>
              </w:rPr>
            </w:pPr>
          </w:p>
        </w:tc>
      </w:tr>
      <w:tr>
        <w:trPr>
          <w:trHeight w:val="439"/>
        </w:trPr>
        <w:tc>
          <w:tcPr>
            <w:tcW w:w="2400" w:type="dxa"/>
            <w:vAlign w:val="bottom"/>
          </w:tcPr>
          <w:p>
            <w:pPr>
              <w:spacing w:after="0"/>
              <w:rPr>
                <w:sz w:val="24"/>
                <w:szCs w:val="24"/>
                <w:color w:val="auto"/>
              </w:rPr>
            </w:pPr>
          </w:p>
        </w:tc>
        <w:tc>
          <w:tcPr>
            <w:tcW w:w="2940" w:type="dxa"/>
            <w:vAlign w:val="bottom"/>
            <w:gridSpan w:val="3"/>
          </w:tcPr>
          <w:p>
            <w:pPr>
              <w:ind w:left="1120"/>
              <w:spacing w:after="0"/>
              <w:rPr>
                <w:sz w:val="20"/>
                <w:szCs w:val="20"/>
                <w:color w:val="auto"/>
              </w:rPr>
            </w:pPr>
            <w:r>
              <w:rPr>
                <w:rFonts w:ascii="Arial" w:cs="Arial" w:eastAsia="Arial" w:hAnsi="Arial"/>
                <w:sz w:val="13"/>
                <w:szCs w:val="13"/>
                <w:b w:val="1"/>
                <w:bCs w:val="1"/>
                <w:color w:val="auto"/>
                <w:w w:val="98"/>
              </w:rPr>
              <w:t>For the transition period from</w:t>
            </w:r>
          </w:p>
        </w:tc>
        <w:tc>
          <w:tcPr>
            <w:tcW w:w="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3"/>
                <w:szCs w:val="13"/>
                <w:b w:val="1"/>
                <w:bCs w:val="1"/>
                <w:color w:val="auto"/>
              </w:rPr>
              <w:t>to</w:t>
            </w:r>
          </w:p>
        </w:tc>
        <w:tc>
          <w:tcPr>
            <w:tcW w:w="420" w:type="dxa"/>
            <w:vAlign w:val="bottom"/>
            <w:tcBorders>
              <w:bottom w:val="single" w:sz="8" w:color="auto"/>
            </w:tcBorders>
            <w:gridSpan w:val="3"/>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ind w:left="120"/>
              <w:spacing w:after="0"/>
              <w:rPr>
                <w:sz w:val="20"/>
                <w:szCs w:val="20"/>
                <w:color w:val="auto"/>
              </w:rPr>
            </w:pPr>
            <w:r>
              <w:rPr>
                <w:rFonts w:ascii="Arial" w:cs="Arial" w:eastAsia="Arial" w:hAnsi="Arial"/>
                <w:sz w:val="13"/>
                <w:szCs w:val="13"/>
                <w:b w:val="1"/>
                <w:bCs w:val="1"/>
                <w:color w:val="auto"/>
                <w:w w:val="97"/>
              </w:rPr>
              <w:t>COMMISSION FILE NO.</w:t>
            </w:r>
          </w:p>
        </w:tc>
        <w:tc>
          <w:tcPr>
            <w:tcW w:w="76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w w:val="96"/>
              </w:rPr>
              <w:t>001-10308</w:t>
            </w:r>
          </w:p>
        </w:tc>
        <w:tc>
          <w:tcPr>
            <w:tcW w:w="260" w:type="dxa"/>
            <w:vAlign w:val="bottom"/>
            <w:gridSpan w:val="2"/>
          </w:tcPr>
          <w:p>
            <w:pPr>
              <w:spacing w:after="0"/>
              <w:rPr>
                <w:sz w:val="14"/>
                <w:szCs w:val="14"/>
                <w:color w:val="auto"/>
              </w:rPr>
            </w:pP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5"/>
        </w:trPr>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bottom w:val="single" w:sz="8" w:color="auto"/>
            </w:tcBorders>
            <w:gridSpan w:val="6"/>
          </w:tcPr>
          <w:p>
            <w:pPr>
              <w:spacing w:after="0"/>
              <w:rPr>
                <w:sz w:val="24"/>
                <w:szCs w:val="24"/>
                <w:color w:val="auto"/>
              </w:rPr>
            </w:pPr>
          </w:p>
        </w:tc>
        <w:tc>
          <w:tcPr>
            <w:tcW w:w="4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400" w:type="dxa"/>
            <w:vAlign w:val="bottom"/>
          </w:tcPr>
          <w:p>
            <w:pPr>
              <w:spacing w:after="0"/>
              <w:rPr>
                <w:sz w:val="24"/>
                <w:szCs w:val="24"/>
                <w:color w:val="auto"/>
              </w:rPr>
            </w:pPr>
          </w:p>
        </w:tc>
        <w:tc>
          <w:tcPr>
            <w:tcW w:w="7920" w:type="dxa"/>
            <w:vAlign w:val="bottom"/>
            <w:gridSpan w:val="10"/>
          </w:tcPr>
          <w:p>
            <w:pPr>
              <w:jc w:val="center"/>
              <w:ind w:right="2777"/>
              <w:spacing w:after="0"/>
              <w:rPr>
                <w:sz w:val="20"/>
                <w:szCs w:val="20"/>
                <w:color w:val="auto"/>
              </w:rPr>
            </w:pPr>
            <w:r>
              <w:rPr>
                <w:rFonts w:ascii="Arial" w:cs="Arial" w:eastAsia="Arial" w:hAnsi="Arial"/>
                <w:sz w:val="22"/>
                <w:szCs w:val="22"/>
                <w:b w:val="1"/>
                <w:bCs w:val="1"/>
                <w:color w:val="auto"/>
                <w:w w:val="96"/>
              </w:rPr>
              <w:t>AVIS BUDGET GROUP, INC.</w:t>
            </w:r>
          </w:p>
        </w:tc>
        <w:tc>
          <w:tcPr>
            <w:tcW w:w="0" w:type="dxa"/>
            <w:vAlign w:val="bottom"/>
          </w:tcPr>
          <w:p>
            <w:pPr>
              <w:spacing w:after="0"/>
              <w:rPr>
                <w:sz w:val="1"/>
                <w:szCs w:val="1"/>
                <w:color w:val="auto"/>
              </w:rPr>
            </w:pPr>
          </w:p>
        </w:tc>
      </w:tr>
      <w:tr>
        <w:trPr>
          <w:trHeight w:val="166"/>
        </w:trPr>
        <w:tc>
          <w:tcPr>
            <w:tcW w:w="2400" w:type="dxa"/>
            <w:vAlign w:val="bottom"/>
          </w:tcPr>
          <w:p>
            <w:pPr>
              <w:spacing w:after="0"/>
              <w:rPr>
                <w:sz w:val="14"/>
                <w:szCs w:val="14"/>
                <w:color w:val="auto"/>
              </w:rPr>
            </w:pPr>
          </w:p>
        </w:tc>
        <w:tc>
          <w:tcPr>
            <w:tcW w:w="7920" w:type="dxa"/>
            <w:vAlign w:val="bottom"/>
            <w:gridSpan w:val="10"/>
          </w:tcPr>
          <w:p>
            <w:pPr>
              <w:jc w:val="center"/>
              <w:ind w:right="2777"/>
              <w:spacing w:after="0"/>
              <w:rPr>
                <w:sz w:val="20"/>
                <w:szCs w:val="20"/>
                <w:color w:val="auto"/>
              </w:rPr>
            </w:pPr>
            <w:r>
              <w:rPr>
                <w:rFonts w:ascii="Arial" w:cs="Arial" w:eastAsia="Arial" w:hAnsi="Arial"/>
                <w:sz w:val="13"/>
                <w:szCs w:val="13"/>
                <w:color w:val="auto"/>
                <w:w w:val="96"/>
              </w:rPr>
              <w:t>(Exact name of Registrant as specified in its charter)</w:t>
            </w:r>
          </w:p>
        </w:tc>
        <w:tc>
          <w:tcPr>
            <w:tcW w:w="0" w:type="dxa"/>
            <w:vAlign w:val="bottom"/>
          </w:tcPr>
          <w:p>
            <w:pPr>
              <w:spacing w:after="0"/>
              <w:rPr>
                <w:sz w:val="1"/>
                <w:szCs w:val="1"/>
                <w:color w:val="auto"/>
              </w:rPr>
            </w:pPr>
          </w:p>
        </w:tc>
      </w:tr>
      <w:tr>
        <w:trPr>
          <w:trHeight w:val="195"/>
        </w:trPr>
        <w:tc>
          <w:tcPr>
            <w:tcW w:w="2400" w:type="dxa"/>
            <w:vAlign w:val="bottom"/>
          </w:tcPr>
          <w:p>
            <w:pPr>
              <w:jc w:val="center"/>
              <w:ind w:right="192"/>
              <w:spacing w:after="0"/>
              <w:rPr>
                <w:sz w:val="20"/>
                <w:szCs w:val="20"/>
                <w:color w:val="auto"/>
              </w:rPr>
            </w:pPr>
            <w:r>
              <w:rPr>
                <w:rFonts w:ascii="Arial" w:cs="Arial" w:eastAsia="Arial" w:hAnsi="Arial"/>
                <w:sz w:val="13"/>
                <w:szCs w:val="13"/>
                <w:b w:val="1"/>
                <w:bCs w:val="1"/>
                <w:color w:val="auto"/>
                <w:w w:val="94"/>
              </w:rPr>
              <w:t>Delaware</w:t>
            </w: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40" w:type="dxa"/>
            <w:vAlign w:val="bottom"/>
            <w:gridSpan w:val="5"/>
          </w:tcPr>
          <w:p>
            <w:pPr>
              <w:jc w:val="right"/>
              <w:ind w:right="1037"/>
              <w:spacing w:after="0"/>
              <w:rPr>
                <w:sz w:val="20"/>
                <w:szCs w:val="20"/>
                <w:color w:val="auto"/>
              </w:rPr>
            </w:pPr>
            <w:r>
              <w:rPr>
                <w:rFonts w:ascii="Arial" w:cs="Arial" w:eastAsia="Arial" w:hAnsi="Arial"/>
                <w:sz w:val="13"/>
                <w:szCs w:val="13"/>
                <w:b w:val="1"/>
                <w:bCs w:val="1"/>
                <w:color w:val="auto"/>
              </w:rPr>
              <w:t>06-0918165</w:t>
            </w:r>
          </w:p>
        </w:tc>
        <w:tc>
          <w:tcPr>
            <w:tcW w:w="0" w:type="dxa"/>
            <w:vAlign w:val="bottom"/>
          </w:tcPr>
          <w:p>
            <w:pPr>
              <w:spacing w:after="0"/>
              <w:rPr>
                <w:sz w:val="1"/>
                <w:szCs w:val="1"/>
                <w:color w:val="auto"/>
              </w:rPr>
            </w:pPr>
          </w:p>
        </w:tc>
      </w:tr>
      <w:tr>
        <w:trPr>
          <w:trHeight w:val="130"/>
        </w:trPr>
        <w:tc>
          <w:tcPr>
            <w:tcW w:w="2400" w:type="dxa"/>
            <w:vAlign w:val="bottom"/>
          </w:tcPr>
          <w:p>
            <w:pPr>
              <w:jc w:val="center"/>
              <w:ind w:right="232"/>
              <w:spacing w:after="0" w:line="129" w:lineRule="exact"/>
              <w:rPr>
                <w:sz w:val="20"/>
                <w:szCs w:val="20"/>
                <w:color w:val="auto"/>
              </w:rPr>
            </w:pPr>
            <w:r>
              <w:rPr>
                <w:rFonts w:ascii="Arial" w:cs="Arial" w:eastAsia="Arial" w:hAnsi="Arial"/>
                <w:sz w:val="13"/>
                <w:szCs w:val="13"/>
                <w:color w:val="auto"/>
                <w:w w:val="97"/>
              </w:rPr>
              <w:t>(State or other jurisdiction of</w:t>
            </w: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960" w:type="dxa"/>
            <w:vAlign w:val="bottom"/>
          </w:tcPr>
          <w:p>
            <w:pPr>
              <w:jc w:val="center"/>
              <w:ind w:left="1017"/>
              <w:spacing w:after="0" w:line="129" w:lineRule="exact"/>
              <w:rPr>
                <w:sz w:val="20"/>
                <w:szCs w:val="20"/>
                <w:color w:val="auto"/>
              </w:rPr>
            </w:pPr>
            <w:r>
              <w:rPr>
                <w:rFonts w:ascii="Arial" w:cs="Arial" w:eastAsia="Arial" w:hAnsi="Arial"/>
                <w:sz w:val="13"/>
                <w:szCs w:val="13"/>
                <w:color w:val="auto"/>
                <w:w w:val="97"/>
              </w:rPr>
              <w:t>(I.R.S. Employer Identification Number)</w:t>
            </w:r>
          </w:p>
        </w:tc>
        <w:tc>
          <w:tcPr>
            <w:tcW w:w="0" w:type="dxa"/>
            <w:vAlign w:val="bottom"/>
          </w:tcPr>
          <w:p>
            <w:pPr>
              <w:spacing w:after="0"/>
              <w:rPr>
                <w:sz w:val="1"/>
                <w:szCs w:val="1"/>
                <w:color w:val="auto"/>
              </w:rPr>
            </w:pPr>
          </w:p>
        </w:tc>
      </w:tr>
      <w:tr>
        <w:trPr>
          <w:trHeight w:val="166"/>
        </w:trPr>
        <w:tc>
          <w:tcPr>
            <w:tcW w:w="2400" w:type="dxa"/>
            <w:vAlign w:val="bottom"/>
          </w:tcPr>
          <w:p>
            <w:pPr>
              <w:jc w:val="center"/>
              <w:ind w:right="192"/>
              <w:spacing w:after="0"/>
              <w:rPr>
                <w:sz w:val="20"/>
                <w:szCs w:val="20"/>
                <w:color w:val="auto"/>
              </w:rPr>
            </w:pPr>
            <w:r>
              <w:rPr>
                <w:rFonts w:ascii="Arial" w:cs="Arial" w:eastAsia="Arial" w:hAnsi="Arial"/>
                <w:sz w:val="13"/>
                <w:szCs w:val="13"/>
                <w:color w:val="auto"/>
                <w:w w:val="95"/>
              </w:rPr>
              <w:t>incorporation or organization)</w:t>
            </w: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400" w:type="dxa"/>
            <w:vAlign w:val="bottom"/>
          </w:tcPr>
          <w:p>
            <w:pPr>
              <w:jc w:val="center"/>
              <w:ind w:right="212"/>
              <w:spacing w:after="0"/>
              <w:rPr>
                <w:sz w:val="20"/>
                <w:szCs w:val="20"/>
                <w:color w:val="auto"/>
              </w:rPr>
            </w:pPr>
            <w:r>
              <w:rPr>
                <w:rFonts w:ascii="Arial" w:cs="Arial" w:eastAsia="Arial" w:hAnsi="Arial"/>
                <w:sz w:val="13"/>
                <w:szCs w:val="13"/>
                <w:b w:val="1"/>
                <w:bCs w:val="1"/>
                <w:color w:val="auto"/>
                <w:w w:val="96"/>
              </w:rPr>
              <w:t>6 Sylvan Way</w:t>
            </w: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00" w:type="dxa"/>
            <w:vAlign w:val="bottom"/>
          </w:tcPr>
          <w:p>
            <w:pPr>
              <w:jc w:val="center"/>
              <w:ind w:right="192"/>
              <w:spacing w:after="0"/>
              <w:rPr>
                <w:sz w:val="20"/>
                <w:szCs w:val="20"/>
                <w:color w:val="auto"/>
              </w:rPr>
            </w:pPr>
            <w:r>
              <w:rPr>
                <w:rFonts w:ascii="Arial" w:cs="Arial" w:eastAsia="Arial" w:hAnsi="Arial"/>
                <w:sz w:val="13"/>
                <w:szCs w:val="13"/>
                <w:b w:val="1"/>
                <w:bCs w:val="1"/>
                <w:color w:val="auto"/>
                <w:w w:val="95"/>
              </w:rPr>
              <w:t>Parsippany, NJ</w:t>
            </w: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40" w:type="dxa"/>
            <w:vAlign w:val="bottom"/>
            <w:gridSpan w:val="5"/>
          </w:tcPr>
          <w:p>
            <w:pPr>
              <w:jc w:val="right"/>
              <w:ind w:right="1197"/>
              <w:spacing w:after="0"/>
              <w:rPr>
                <w:sz w:val="20"/>
                <w:szCs w:val="20"/>
                <w:color w:val="auto"/>
              </w:rPr>
            </w:pPr>
            <w:r>
              <w:rPr>
                <w:rFonts w:ascii="Arial" w:cs="Arial" w:eastAsia="Arial" w:hAnsi="Arial"/>
                <w:sz w:val="13"/>
                <w:szCs w:val="13"/>
                <w:b w:val="1"/>
                <w:bCs w:val="1"/>
                <w:color w:val="auto"/>
              </w:rPr>
              <w:t>07054</w:t>
            </w:r>
          </w:p>
        </w:tc>
        <w:tc>
          <w:tcPr>
            <w:tcW w:w="0" w:type="dxa"/>
            <w:vAlign w:val="bottom"/>
          </w:tcPr>
          <w:p>
            <w:pPr>
              <w:spacing w:after="0"/>
              <w:rPr>
                <w:sz w:val="1"/>
                <w:szCs w:val="1"/>
                <w:color w:val="auto"/>
              </w:rPr>
            </w:pPr>
          </w:p>
        </w:tc>
      </w:tr>
      <w:tr>
        <w:trPr>
          <w:trHeight w:val="169"/>
        </w:trPr>
        <w:tc>
          <w:tcPr>
            <w:tcW w:w="2400" w:type="dxa"/>
            <w:vAlign w:val="bottom"/>
          </w:tcPr>
          <w:p>
            <w:pPr>
              <w:jc w:val="center"/>
              <w:ind w:right="192"/>
              <w:spacing w:after="0"/>
              <w:rPr>
                <w:sz w:val="20"/>
                <w:szCs w:val="20"/>
                <w:color w:val="auto"/>
              </w:rPr>
            </w:pPr>
            <w:r>
              <w:rPr>
                <w:rFonts w:ascii="Arial" w:cs="Arial" w:eastAsia="Arial" w:hAnsi="Arial"/>
                <w:sz w:val="13"/>
                <w:szCs w:val="13"/>
                <w:color w:val="auto"/>
                <w:w w:val="96"/>
              </w:rPr>
              <w:t>(Address of principal executive offices)</w:t>
            </w: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960" w:type="dxa"/>
            <w:vAlign w:val="bottom"/>
          </w:tcPr>
          <w:p>
            <w:pPr>
              <w:jc w:val="center"/>
              <w:ind w:left="1017"/>
              <w:spacing w:after="0"/>
              <w:rPr>
                <w:sz w:val="20"/>
                <w:szCs w:val="20"/>
                <w:color w:val="auto"/>
              </w:rPr>
            </w:pPr>
            <w:r>
              <w:rPr>
                <w:rFonts w:ascii="Arial" w:cs="Arial" w:eastAsia="Arial" w:hAnsi="Arial"/>
                <w:sz w:val="13"/>
                <w:szCs w:val="13"/>
                <w:color w:val="auto"/>
                <w:w w:val="97"/>
              </w:rPr>
              <w:t>(Zip Code)</w:t>
            </w:r>
          </w:p>
        </w:tc>
        <w:tc>
          <w:tcPr>
            <w:tcW w:w="0" w:type="dxa"/>
            <w:vAlign w:val="bottom"/>
          </w:tcPr>
          <w:p>
            <w:pPr>
              <w:spacing w:after="0"/>
              <w:rPr>
                <w:sz w:val="1"/>
                <w:szCs w:val="1"/>
                <w:color w:val="auto"/>
              </w:rPr>
            </w:pPr>
          </w:p>
        </w:tc>
      </w:tr>
      <w:tr>
        <w:trPr>
          <w:trHeight w:val="182"/>
        </w:trPr>
        <w:tc>
          <w:tcPr>
            <w:tcW w:w="2400" w:type="dxa"/>
            <w:vAlign w:val="bottom"/>
          </w:tcPr>
          <w:p>
            <w:pPr>
              <w:spacing w:after="0"/>
              <w:rPr>
                <w:sz w:val="15"/>
                <w:szCs w:val="15"/>
                <w:color w:val="auto"/>
              </w:rPr>
            </w:pPr>
          </w:p>
        </w:tc>
        <w:tc>
          <w:tcPr>
            <w:tcW w:w="3360" w:type="dxa"/>
            <w:vAlign w:val="bottom"/>
            <w:gridSpan w:val="4"/>
          </w:tcPr>
          <w:p>
            <w:pPr>
              <w:jc w:val="center"/>
              <w:ind w:left="1668"/>
              <w:spacing w:after="0"/>
              <w:rPr>
                <w:sz w:val="20"/>
                <w:szCs w:val="20"/>
                <w:color w:val="auto"/>
              </w:rPr>
            </w:pPr>
            <w:r>
              <w:rPr>
                <w:rFonts w:ascii="Arial" w:cs="Arial" w:eastAsia="Arial" w:hAnsi="Arial"/>
                <w:sz w:val="13"/>
                <w:szCs w:val="13"/>
                <w:b w:val="1"/>
                <w:bCs w:val="1"/>
                <w:color w:val="auto"/>
                <w:w w:val="96"/>
              </w:rPr>
              <w:t>(973) 496-4700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400" w:type="dxa"/>
            <w:vAlign w:val="bottom"/>
          </w:tcPr>
          <w:p>
            <w:pPr>
              <w:spacing w:after="0"/>
              <w:rPr>
                <w:sz w:val="14"/>
                <w:szCs w:val="14"/>
                <w:color w:val="auto"/>
              </w:rPr>
            </w:pPr>
          </w:p>
        </w:tc>
        <w:tc>
          <w:tcPr>
            <w:tcW w:w="7920" w:type="dxa"/>
            <w:vAlign w:val="bottom"/>
            <w:gridSpan w:val="10"/>
          </w:tcPr>
          <w:p>
            <w:pPr>
              <w:ind w:left="1120"/>
              <w:spacing w:after="0"/>
              <w:rPr>
                <w:sz w:val="20"/>
                <w:szCs w:val="20"/>
                <w:color w:val="auto"/>
              </w:rPr>
            </w:pPr>
            <w:r>
              <w:rPr>
                <w:rFonts w:ascii="Arial" w:cs="Arial" w:eastAsia="Arial" w:hAnsi="Arial"/>
                <w:sz w:val="13"/>
                <w:szCs w:val="13"/>
                <w:color w:val="auto"/>
              </w:rPr>
              <w:t>(Registrant’s telephone number, including area code)</w:t>
            </w:r>
          </w:p>
        </w:tc>
        <w:tc>
          <w:tcPr>
            <w:tcW w:w="0" w:type="dxa"/>
            <w:vAlign w:val="bottom"/>
          </w:tcPr>
          <w:p>
            <w:pPr>
              <w:spacing w:after="0"/>
              <w:rPr>
                <w:sz w:val="1"/>
                <w:szCs w:val="1"/>
                <w:color w:val="auto"/>
              </w:rPr>
            </w:pPr>
          </w:p>
        </w:tc>
      </w:tr>
      <w:tr>
        <w:trPr>
          <w:trHeight w:val="330"/>
        </w:trPr>
        <w:tc>
          <w:tcPr>
            <w:tcW w:w="2400" w:type="dxa"/>
            <w:vAlign w:val="bottom"/>
          </w:tcPr>
          <w:p>
            <w:pPr>
              <w:spacing w:after="0"/>
              <w:rPr>
                <w:sz w:val="24"/>
                <w:szCs w:val="24"/>
                <w:color w:val="auto"/>
              </w:rPr>
            </w:pPr>
          </w:p>
        </w:tc>
        <w:tc>
          <w:tcPr>
            <w:tcW w:w="7920" w:type="dxa"/>
            <w:vAlign w:val="bottom"/>
            <w:gridSpan w:val="10"/>
          </w:tcPr>
          <w:p>
            <w:pPr>
              <w:jc w:val="center"/>
              <w:ind w:right="2757"/>
              <w:spacing w:after="0"/>
              <w:rPr>
                <w:sz w:val="20"/>
                <w:szCs w:val="20"/>
                <w:color w:val="auto"/>
              </w:rPr>
            </w:pPr>
            <w:r>
              <w:rPr>
                <w:rFonts w:ascii="Arial" w:cs="Arial" w:eastAsia="Arial" w:hAnsi="Arial"/>
                <w:sz w:val="13"/>
                <w:szCs w:val="13"/>
                <w:b w:val="1"/>
                <w:bCs w:val="1"/>
                <w:color w:val="auto"/>
                <w:w w:val="96"/>
              </w:rPr>
              <w:t>SECURITIES REGISTERED PURSUANT TO SECTION 12(b) OF THE ACT:</w:t>
            </w:r>
          </w:p>
        </w:tc>
        <w:tc>
          <w:tcPr>
            <w:tcW w:w="0" w:type="dxa"/>
            <w:vAlign w:val="bottom"/>
          </w:tcPr>
          <w:p>
            <w:pPr>
              <w:spacing w:after="0"/>
              <w:rPr>
                <w:sz w:val="1"/>
                <w:szCs w:val="1"/>
                <w:color w:val="auto"/>
              </w:rPr>
            </w:pPr>
          </w:p>
        </w:tc>
      </w:tr>
      <w:tr>
        <w:trPr>
          <w:trHeight w:val="189"/>
        </w:trPr>
        <w:tc>
          <w:tcPr>
            <w:tcW w:w="2400" w:type="dxa"/>
            <w:vAlign w:val="bottom"/>
          </w:tcPr>
          <w:p>
            <w:pPr>
              <w:jc w:val="center"/>
              <w:spacing w:after="0"/>
              <w:rPr>
                <w:sz w:val="20"/>
                <w:szCs w:val="20"/>
                <w:color w:val="auto"/>
              </w:rPr>
            </w:pPr>
            <w:r>
              <w:rPr>
                <w:rFonts w:ascii="Arial" w:cs="Arial" w:eastAsia="Arial" w:hAnsi="Arial"/>
                <w:sz w:val="13"/>
                <w:szCs w:val="13"/>
                <w:b w:val="1"/>
                <w:bCs w:val="1"/>
                <w:color w:val="auto"/>
                <w:w w:val="97"/>
              </w:rPr>
              <w:t>TITLE OF EACH CLASS</w:t>
            </w: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gridSpan w:val="3"/>
          </w:tcPr>
          <w:p>
            <w:pPr>
              <w:jc w:val="center"/>
              <w:ind w:left="207"/>
              <w:spacing w:after="0"/>
              <w:rPr>
                <w:sz w:val="20"/>
                <w:szCs w:val="20"/>
                <w:color w:val="auto"/>
              </w:rPr>
            </w:pPr>
            <w:r>
              <w:rPr>
                <w:rFonts w:ascii="Arial" w:cs="Arial" w:eastAsia="Arial" w:hAnsi="Arial"/>
                <w:sz w:val="13"/>
                <w:szCs w:val="13"/>
                <w:b w:val="1"/>
                <w:bCs w:val="1"/>
                <w:color w:val="auto"/>
                <w:w w:val="95"/>
              </w:rPr>
              <w:t>TRADING SYMBOL(S)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tcPr>
          <w:p>
            <w:pPr>
              <w:jc w:val="center"/>
              <w:ind w:left="637"/>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70"/>
        </w:trPr>
        <w:tc>
          <w:tcPr>
            <w:tcW w:w="2400" w:type="dxa"/>
            <w:vAlign w:val="bottom"/>
          </w:tcPr>
          <w:p>
            <w:pPr>
              <w:jc w:val="center"/>
              <w:spacing w:after="0"/>
              <w:rPr>
                <w:sz w:val="20"/>
                <w:szCs w:val="20"/>
                <w:color w:val="auto"/>
              </w:rPr>
            </w:pPr>
            <w:r>
              <w:rPr>
                <w:rFonts w:ascii="Arial" w:cs="Arial" w:eastAsia="Arial" w:hAnsi="Arial"/>
                <w:sz w:val="13"/>
                <w:szCs w:val="13"/>
                <w:color w:val="auto"/>
                <w:w w:val="95"/>
              </w:rPr>
              <w:t>Common Stock, Par Value $.01</w:t>
            </w: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3"/>
          </w:tcPr>
          <w:p>
            <w:pPr>
              <w:jc w:val="center"/>
              <w:ind w:left="207"/>
              <w:spacing w:after="0"/>
              <w:rPr>
                <w:sz w:val="20"/>
                <w:szCs w:val="20"/>
                <w:color w:val="auto"/>
              </w:rPr>
            </w:pPr>
            <w:r>
              <w:rPr>
                <w:rFonts w:ascii="Arial" w:cs="Arial" w:eastAsia="Arial" w:hAnsi="Arial"/>
                <w:sz w:val="13"/>
                <w:szCs w:val="13"/>
                <w:color w:val="auto"/>
                <w:w w:val="94"/>
              </w:rPr>
              <w:t>CAR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960" w:type="dxa"/>
            <w:vAlign w:val="bottom"/>
          </w:tcPr>
          <w:p>
            <w:pPr>
              <w:jc w:val="center"/>
              <w:ind w:left="617"/>
              <w:spacing w:after="0"/>
              <w:rPr>
                <w:sz w:val="20"/>
                <w:szCs w:val="20"/>
                <w:color w:val="auto"/>
              </w:rPr>
            </w:pPr>
            <w:r>
              <w:rPr>
                <w:rFonts w:ascii="Arial" w:cs="Arial" w:eastAsia="Arial" w:hAnsi="Arial"/>
                <w:sz w:val="13"/>
                <w:szCs w:val="13"/>
                <w:color w:val="auto"/>
                <w:w w:val="96"/>
              </w:rPr>
              <w:t>The Nasdaq Global Select Market</w:t>
            </w:r>
          </w:p>
        </w:tc>
        <w:tc>
          <w:tcPr>
            <w:tcW w:w="0" w:type="dxa"/>
            <w:vAlign w:val="bottom"/>
          </w:tcPr>
          <w:p>
            <w:pPr>
              <w:spacing w:after="0"/>
              <w:rPr>
                <w:sz w:val="1"/>
                <w:szCs w:val="1"/>
                <w:color w:val="auto"/>
              </w:rPr>
            </w:pPr>
          </w:p>
        </w:tc>
      </w:tr>
    </w:tbl>
    <w:p>
      <w:pPr>
        <w:spacing w:after="0" w:line="172" w:lineRule="exact"/>
        <w:rPr>
          <w:sz w:val="24"/>
          <w:szCs w:val="24"/>
          <w:color w:val="auto"/>
        </w:rPr>
      </w:pPr>
    </w:p>
    <w:p>
      <w:pPr>
        <w:ind w:right="3280" w:firstLine="3298"/>
        <w:spacing w:after="0" w:line="222" w:lineRule="exact"/>
        <w:rPr>
          <w:sz w:val="20"/>
          <w:szCs w:val="20"/>
          <w:color w:val="auto"/>
        </w:rPr>
      </w:pPr>
      <w:r>
        <w:rPr>
          <w:rFonts w:ascii="Arial" w:cs="Arial" w:eastAsia="Arial" w:hAnsi="Arial"/>
          <w:sz w:val="13"/>
          <w:szCs w:val="13"/>
          <w:b w:val="1"/>
          <w:bCs w:val="1"/>
          <w:color w:val="auto"/>
        </w:rPr>
        <w:t xml:space="preserve">SECURITIES REGISTERED PURSUANT TO SECTION 12(g) OF THE ACT: </w:t>
      </w:r>
      <w:r>
        <w:rPr>
          <w:rFonts w:ascii="Arial" w:cs="Arial" w:eastAsia="Arial" w:hAnsi="Arial"/>
          <w:sz w:val="13"/>
          <w:szCs w:val="13"/>
          <w:color w:val="auto"/>
        </w:rPr>
        <w:t>None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o</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Wingdings" w:cs="Wingdings" w:eastAsia="Wingdings" w:hAnsi="Wingdings"/>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6" w:lineRule="exact"/>
        <w:rPr>
          <w:sz w:val="24"/>
          <w:szCs w:val="24"/>
          <w:color w:val="auto"/>
        </w:rPr>
      </w:pPr>
    </w:p>
    <w:p>
      <w:pPr>
        <w:ind w:right="360"/>
        <w:spacing w:after="0" w:line="16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o</w:t>
      </w:r>
    </w:p>
    <w:p>
      <w:pPr>
        <w:spacing w:after="0" w:line="65" w:lineRule="exact"/>
        <w:rPr>
          <w:sz w:val="24"/>
          <w:szCs w:val="24"/>
          <w:color w:val="auto"/>
        </w:rPr>
      </w:pPr>
    </w:p>
    <w:p>
      <w:pPr>
        <w:ind w:right="80"/>
        <w:spacing w:after="0" w:line="16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o</w:t>
      </w:r>
    </w:p>
    <w:p>
      <w:pPr>
        <w:spacing w:after="0" w:line="65" w:lineRule="exact"/>
        <w:rPr>
          <w:sz w:val="24"/>
          <w:szCs w:val="24"/>
          <w:color w:val="auto"/>
        </w:rPr>
      </w:pPr>
    </w:p>
    <w:p>
      <w:pPr>
        <w:ind w:right="460"/>
        <w:spacing w:after="0" w:line="25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 of “large accelerated filer,” “accelerated filer,” “smaller reporting company” and “emerging growth company in Rule 12b-2 of the Exchange Act.</w:t>
      </w:r>
    </w:p>
    <w:p>
      <w:pPr>
        <w:sectPr>
          <w:pgSz w:w="11900" w:h="16838" w:orient="portrait"/>
          <w:cols w:equalWidth="0" w:num="1">
            <w:col w:w="11220"/>
          </w:cols>
          <w:pgMar w:left="320" w:top="1043" w:right="359" w:bottom="1440" w:gutter="0" w:footer="0" w:header="0"/>
        </w:sectPr>
      </w:pPr>
    </w:p>
    <w:p>
      <w:pPr>
        <w:spacing w:after="0" w:line="21"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26" w:lineRule="exact"/>
        <w:rPr>
          <w:sz w:val="24"/>
          <w:szCs w:val="24"/>
          <w:color w:val="auto"/>
        </w:rPr>
      </w:pPr>
    </w:p>
    <w:p>
      <w:pPr>
        <w:ind w:left="2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7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6"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99"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434" w:lineRule="exact"/>
        <w:rPr>
          <w:sz w:val="24"/>
          <w:szCs w:val="24"/>
          <w:color w:val="auto"/>
        </w:rPr>
      </w:pPr>
    </w:p>
    <w:p>
      <w:pPr>
        <w:sectPr>
          <w:pgSz w:w="11900" w:h="16838" w:orient="portrait"/>
          <w:cols w:equalWidth="0" w:num="6">
            <w:col w:w="2780" w:space="720"/>
            <w:col w:w="120" w:space="140"/>
            <w:col w:w="2780" w:space="720"/>
            <w:col w:w="100" w:space="140"/>
            <w:col w:w="2800" w:space="720"/>
            <w:col w:w="200"/>
          </w:cols>
          <w:pgMar w:left="320" w:top="1043" w:right="359" w:bottom="1440" w:gutter="0" w:footer="0" w:header="0"/>
          <w:type w:val="continuous"/>
        </w:sectPr>
      </w:pPr>
    </w:p>
    <w:p>
      <w:pPr>
        <w:spacing w:after="0" w:line="13" w:lineRule="exact"/>
        <w:rPr>
          <w:sz w:val="24"/>
          <w:szCs w:val="24"/>
          <w:color w:val="auto"/>
        </w:rPr>
      </w:pPr>
    </w:p>
    <w:p>
      <w:pPr>
        <w:ind w:right="420"/>
        <w:spacing w:after="0" w:line="264" w:lineRule="auto"/>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63" w:lineRule="exact"/>
        <w:rPr>
          <w:sz w:val="24"/>
          <w:szCs w:val="24"/>
          <w:color w:val="auto"/>
        </w:rPr>
      </w:pPr>
    </w:p>
    <w:p>
      <w:pPr>
        <w:spacing w:after="0" w:line="164"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14" w:lineRule="exact"/>
        <w:rPr>
          <w:sz w:val="24"/>
          <w:szCs w:val="24"/>
          <w:color w:val="auto"/>
        </w:rPr>
      </w:pPr>
    </w:p>
    <w:p>
      <w:pPr>
        <w:ind w:right="580"/>
        <w:spacing w:after="0" w:line="164"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14"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any of those error corrections are restatements that required a recovery analysis of incentive-based compensation received by any of the registrant’s executive officers</w:t>
      </w:r>
    </w:p>
    <w:p>
      <w:pPr>
        <w:spacing w:after="0" w:line="98"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during the relevant recovery period pursuant to §240.10D-1(b). </w:t>
      </w:r>
      <w:r>
        <w:rPr>
          <w:rFonts w:ascii="MS PGothic" w:cs="MS PGothic" w:eastAsia="MS PGothic" w:hAnsi="MS PGothic"/>
          <w:sz w:val="13"/>
          <w:szCs w:val="13"/>
          <w:color w:val="auto"/>
        </w:rPr>
        <w:t>☐</w:t>
      </w:r>
    </w:p>
    <w:p>
      <w:pPr>
        <w:spacing w:after="0" w:line="9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4" w:lineRule="exact"/>
        <w:rPr>
          <w:sz w:val="24"/>
          <w:szCs w:val="24"/>
          <w:color w:val="auto"/>
        </w:rPr>
      </w:pPr>
    </w:p>
    <w:p>
      <w:pPr>
        <w:ind w:right="340"/>
        <w:spacing w:after="0" w:line="264" w:lineRule="auto"/>
        <w:rPr>
          <w:sz w:val="20"/>
          <w:szCs w:val="20"/>
          <w:color w:val="auto"/>
        </w:rPr>
      </w:pPr>
      <w:r>
        <w:rPr>
          <w:rFonts w:ascii="Arial" w:cs="Arial" w:eastAsia="Arial" w:hAnsi="Arial"/>
          <w:sz w:val="13"/>
          <w:szCs w:val="13"/>
          <w:color w:val="auto"/>
        </w:rPr>
        <w:t>As of June 30, 2022, the aggregate market value of the registrant’s common stock held by non-affiliates of the registrant was $4,269,199,382 based on the closing price of its common stock on the Nasdaq Global Select Market.</w:t>
      </w:r>
    </w:p>
    <w:p>
      <w:pPr>
        <w:spacing w:after="0" w:line="63" w:lineRule="exact"/>
        <w:rPr>
          <w:sz w:val="24"/>
          <w:szCs w:val="24"/>
          <w:color w:val="auto"/>
        </w:rPr>
      </w:pPr>
    </w:p>
    <w:p>
      <w:pPr>
        <w:spacing w:after="0"/>
        <w:rPr>
          <w:sz w:val="20"/>
          <w:szCs w:val="20"/>
          <w:color w:val="auto"/>
        </w:rPr>
      </w:pPr>
      <w:r>
        <w:rPr>
          <w:rFonts w:ascii="Arial" w:cs="Arial" w:eastAsia="Arial" w:hAnsi="Arial"/>
          <w:sz w:val="13"/>
          <w:szCs w:val="13"/>
          <w:color w:val="auto"/>
        </w:rPr>
        <w:t>As of February 10, 2023, the number of shares outstanding of the registrant’s common stock was 39,470,532.</w:t>
      </w:r>
    </w:p>
    <w:p>
      <w:pPr>
        <w:spacing w:after="0" w:line="107" w:lineRule="exact"/>
        <w:rPr>
          <w:sz w:val="24"/>
          <w:szCs w:val="24"/>
          <w:color w:val="auto"/>
        </w:rPr>
      </w:pPr>
    </w:p>
    <w:p>
      <w:pPr>
        <w:ind w:left="41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67" w:lineRule="exact"/>
        <w:rPr>
          <w:sz w:val="24"/>
          <w:szCs w:val="24"/>
          <w:color w:val="auto"/>
        </w:rPr>
      </w:pPr>
    </w:p>
    <w:p>
      <w:pPr>
        <w:ind w:right="700"/>
        <w:spacing w:after="0" w:line="264" w:lineRule="auto"/>
        <w:rPr>
          <w:sz w:val="20"/>
          <w:szCs w:val="20"/>
          <w:color w:val="auto"/>
        </w:rPr>
      </w:pPr>
      <w:r>
        <w:rPr>
          <w:rFonts w:ascii="Arial" w:cs="Arial" w:eastAsia="Arial" w:hAnsi="Arial"/>
          <w:sz w:val="13"/>
          <w:szCs w:val="13"/>
          <w:color w:val="auto"/>
        </w:rPr>
        <w:t>Portions of the registrant’s definitive proxy statement to be mailed to stockholders in connection with the registrant’s 2023 annual meeting of stockholders (the “Annual Proxy Statement”)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type w:val="continuous"/>
        </w:sectPr>
      </w:pPr>
    </w:p>
    <w:bookmarkStart w:id="1" w:name="page2"/>
    <w:bookmarkEnd w:id="1"/>
    <w:tbl>
      <w:tblPr>
        <w:tblLayout w:type="fixed"/>
        <w:tblInd w:w="14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160" w:type="dxa"/>
            <w:vAlign w:val="bottom"/>
            <w:gridSpan w:val="8"/>
          </w:tcPr>
          <w:p>
            <w:pPr>
              <w:ind w:left="240"/>
              <w:spacing w:after="0"/>
              <w:rPr>
                <w:sz w:val="20"/>
                <w:szCs w:val="20"/>
                <w:color w:val="auto"/>
              </w:rPr>
            </w:pPr>
            <w:r>
              <w:rPr>
                <w:rFonts w:ascii="Arial" w:cs="Arial" w:eastAsia="Arial" w:hAnsi="Arial"/>
                <w:sz w:val="18"/>
                <w:szCs w:val="18"/>
                <w:b w:val="1"/>
                <w:bCs w:val="1"/>
                <w:color w:val="auto"/>
              </w:rPr>
              <w:t>TABLE OF CONTENTS</w:t>
            </w: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90"/>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Item</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Description</w:t>
            </w:r>
          </w:p>
        </w:tc>
        <w:tc>
          <w:tcPr>
            <w:tcW w:w="368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Page</w:t>
            </w:r>
          </w:p>
        </w:tc>
        <w:tc>
          <w:tcPr>
            <w:tcW w:w="3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80" w:type="dxa"/>
            <w:vAlign w:val="bottom"/>
            <w:gridSpan w:val="18"/>
          </w:tcPr>
          <w:p>
            <w:pPr>
              <w:spacing w:after="0"/>
              <w:rPr>
                <w:sz w:val="20"/>
                <w:szCs w:val="20"/>
                <w:color w:val="auto"/>
              </w:rPr>
            </w:pPr>
            <w:r>
              <w:rPr>
                <w:rFonts w:ascii="Arial" w:cs="Arial" w:eastAsia="Arial" w:hAnsi="Arial"/>
                <w:sz w:val="18"/>
                <w:szCs w:val="18"/>
                <w:b w:val="1"/>
                <w:bCs w:val="1"/>
                <w:color w:val="auto"/>
              </w:rPr>
              <w:t>PART I</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00" w:type="dxa"/>
            <w:vAlign w:val="bottom"/>
            <w:gridSpan w:val="2"/>
          </w:tcPr>
          <w:p>
            <w:pPr>
              <w:spacing w:after="0" w:line="195"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6"/>
                <w:szCs w:val="16"/>
                <w:color w:val="auto"/>
              </w:rPr>
            </w:pPr>
          </w:p>
        </w:tc>
        <w:tc>
          <w:tcPr>
            <w:tcW w:w="74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8"/>
              </w:rPr>
              <w:t>Business</w:t>
            </w:r>
          </w:p>
        </w:tc>
        <w:tc>
          <w:tcPr>
            <w:tcW w:w="8140" w:type="dxa"/>
            <w:vAlign w:val="bottom"/>
            <w:gridSpan w:val="17"/>
          </w:tcPr>
          <w:p>
            <w:pPr>
              <w:spacing w:after="0"/>
              <w:rPr>
                <w:sz w:val="16"/>
                <w:szCs w:val="16"/>
                <w:color w:val="auto"/>
              </w:rPr>
            </w:pPr>
          </w:p>
        </w:tc>
        <w:tc>
          <w:tcPr>
            <w:tcW w:w="1540" w:type="dxa"/>
            <w:vAlign w:val="bottom"/>
            <w:gridSpan w:val="4"/>
          </w:tcPr>
          <w:p>
            <w:pPr>
              <w:spacing w:after="0"/>
              <w:rPr>
                <w:sz w:val="16"/>
                <w:szCs w:val="16"/>
                <w:color w:val="auto"/>
              </w:rPr>
            </w:pPr>
          </w:p>
        </w:tc>
        <w:tc>
          <w:tcPr>
            <w:tcW w:w="100" w:type="dxa"/>
            <w:vAlign w:val="bottom"/>
            <w:tcBorders>
              <w:bottom w:val="single" w:sz="8" w:color="0000FF"/>
            </w:tcBorders>
          </w:tcPr>
          <w:p>
            <w:pPr>
              <w:jc w:val="right"/>
              <w:spacing w:after="0" w:line="195" w:lineRule="exact"/>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209"/>
        </w:trPr>
        <w:tc>
          <w:tcPr>
            <w:tcW w:w="560" w:type="dxa"/>
            <w:vAlign w:val="bottom"/>
            <w:gridSpan w:val="3"/>
          </w:tcPr>
          <w:p>
            <w:pPr>
              <w:spacing w:after="0"/>
              <w:rPr>
                <w:sz w:val="20"/>
                <w:szCs w:val="20"/>
                <w:color w:val="auto"/>
              </w:rPr>
            </w:pPr>
            <w:r>
              <w:rPr>
                <w:rFonts w:ascii="Arial" w:cs="Arial" w:eastAsia="Arial" w:hAnsi="Arial"/>
                <w:sz w:val="18"/>
                <w:szCs w:val="18"/>
                <w:color w:val="auto"/>
              </w:rPr>
              <w:t>1A</w:t>
            </w:r>
          </w:p>
        </w:tc>
        <w:tc>
          <w:tcPr>
            <w:tcW w:w="888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1640" w:type="dxa"/>
            <w:vAlign w:val="bottom"/>
            <w:gridSpan w:val="5"/>
          </w:tcPr>
          <w:p>
            <w:pPr>
              <w:jc w:val="right"/>
              <w:spacing w:after="0"/>
              <w:rPr>
                <w:sz w:val="20"/>
                <w:szCs w:val="20"/>
                <w:color w:val="auto"/>
              </w:rPr>
            </w:pPr>
            <w:r>
              <w:rPr>
                <w:rFonts w:ascii="Arial" w:cs="Arial" w:eastAsia="Arial" w:hAnsi="Arial"/>
                <w:sz w:val="18"/>
                <w:szCs w:val="18"/>
                <w:color w:val="0000FF"/>
              </w:rPr>
              <w:t>18</w:t>
            </w:r>
          </w:p>
        </w:tc>
        <w:tc>
          <w:tcPr>
            <w:tcW w:w="0" w:type="dxa"/>
            <w:vAlign w:val="bottom"/>
          </w:tcPr>
          <w:p>
            <w:pPr>
              <w:spacing w:after="0"/>
              <w:rPr>
                <w:sz w:val="1"/>
                <w:szCs w:val="1"/>
                <w:color w:val="auto"/>
              </w:rPr>
            </w:pPr>
          </w:p>
        </w:tc>
      </w:tr>
      <w:tr>
        <w:trPr>
          <w:trHeight w:val="20"/>
        </w:trPr>
        <w:tc>
          <w:tcPr>
            <w:tcW w:w="560" w:type="dxa"/>
            <w:vAlign w:val="bottom"/>
            <w:gridSpan w:val="3"/>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gridSpan w:val="3"/>
          </w:tcPr>
          <w:p>
            <w:pPr>
              <w:spacing w:after="0"/>
              <w:rPr>
                <w:sz w:val="20"/>
                <w:szCs w:val="20"/>
                <w:color w:val="auto"/>
              </w:rPr>
            </w:pPr>
            <w:r>
              <w:rPr>
                <w:rFonts w:ascii="Arial" w:cs="Arial" w:eastAsia="Arial" w:hAnsi="Arial"/>
                <w:sz w:val="18"/>
                <w:szCs w:val="18"/>
                <w:color w:val="auto"/>
              </w:rPr>
              <w:t>1B</w:t>
            </w:r>
          </w:p>
        </w:tc>
        <w:tc>
          <w:tcPr>
            <w:tcW w:w="8880" w:type="dxa"/>
            <w:vAlign w:val="bottom"/>
            <w:gridSpan w:val="18"/>
          </w:tcPr>
          <w:p>
            <w:pPr>
              <w:spacing w:after="0"/>
              <w:rPr>
                <w:sz w:val="20"/>
                <w:szCs w:val="20"/>
                <w:color w:val="auto"/>
              </w:rPr>
            </w:pPr>
            <w:r>
              <w:rPr>
                <w:rFonts w:ascii="Arial" w:cs="Arial" w:eastAsia="Arial" w:hAnsi="Arial"/>
                <w:sz w:val="18"/>
                <w:szCs w:val="18"/>
                <w:color w:val="0000FF"/>
              </w:rPr>
              <w:t>Unresolved Staff Comments</w:t>
            </w:r>
          </w:p>
        </w:tc>
        <w:tc>
          <w:tcPr>
            <w:tcW w:w="1640" w:type="dxa"/>
            <w:vAlign w:val="bottom"/>
            <w:gridSpan w:val="5"/>
          </w:tcPr>
          <w:p>
            <w:pPr>
              <w:jc w:val="right"/>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9"/>
        </w:trPr>
        <w:tc>
          <w:tcPr>
            <w:tcW w:w="400" w:type="dxa"/>
            <w:vAlign w:val="bottom"/>
            <w:gridSpan w:val="2"/>
          </w:tcPr>
          <w:p>
            <w:pPr>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224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Properties</w:t>
            </w:r>
          </w:p>
        </w:tc>
        <w:tc>
          <w:tcPr>
            <w:tcW w:w="6640" w:type="dxa"/>
            <w:vAlign w:val="bottom"/>
            <w:gridSpan w:val="9"/>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2"/>
          </w:tcPr>
          <w:p>
            <w:pPr>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5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Legal Proceedings</w:t>
            </w:r>
          </w:p>
        </w:tc>
        <w:tc>
          <w:tcPr>
            <w:tcW w:w="7380" w:type="dxa"/>
            <w:vAlign w:val="bottom"/>
            <w:gridSpan w:val="13"/>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0" w:type="dxa"/>
            <w:vAlign w:val="bottom"/>
          </w:tcPr>
          <w:p>
            <w:pPr>
              <w:spacing w:after="0"/>
              <w:rPr>
                <w:sz w:val="1"/>
                <w:szCs w:val="1"/>
                <w:color w:val="auto"/>
              </w:rPr>
            </w:pPr>
          </w:p>
        </w:tc>
      </w:tr>
      <w:tr>
        <w:trPr>
          <w:trHeight w:val="210"/>
        </w:trPr>
        <w:tc>
          <w:tcPr>
            <w:tcW w:w="400" w:type="dxa"/>
            <w:vAlign w:val="bottom"/>
            <w:gridSpan w:val="2"/>
          </w:tcPr>
          <w:p>
            <w:pPr>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9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Mine Safety Disclosures</w:t>
            </w:r>
          </w:p>
        </w:tc>
        <w:tc>
          <w:tcPr>
            <w:tcW w:w="6940" w:type="dxa"/>
            <w:vAlign w:val="bottom"/>
            <w:gridSpan w:val="11"/>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0" w:type="dxa"/>
            <w:vAlign w:val="bottom"/>
          </w:tcPr>
          <w:p>
            <w:pPr>
              <w:spacing w:after="0"/>
              <w:rPr>
                <w:sz w:val="1"/>
                <w:szCs w:val="1"/>
                <w:color w:val="auto"/>
              </w:rPr>
            </w:pPr>
          </w:p>
        </w:tc>
      </w:tr>
      <w:tr>
        <w:trPr>
          <w:trHeight w:val="528"/>
        </w:trPr>
        <w:tc>
          <w:tcPr>
            <w:tcW w:w="400" w:type="dxa"/>
            <w:vAlign w:val="bottom"/>
            <w:gridSpan w:val="2"/>
            <w:vMerge w:val="restart"/>
          </w:tcPr>
          <w:p>
            <w:pPr>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4"/>
                <w:szCs w:val="24"/>
                <w:color w:val="auto"/>
              </w:rPr>
            </w:pPr>
          </w:p>
        </w:tc>
        <w:tc>
          <w:tcPr>
            <w:tcW w:w="8880" w:type="dxa"/>
            <w:vAlign w:val="bottom"/>
            <w:gridSpan w:val="18"/>
          </w:tcPr>
          <w:p>
            <w:pPr>
              <w:spacing w:after="0"/>
              <w:rPr>
                <w:sz w:val="20"/>
                <w:szCs w:val="20"/>
                <w:color w:val="auto"/>
              </w:rPr>
            </w:pPr>
            <w:r>
              <w:rPr>
                <w:rFonts w:ascii="Arial" w:cs="Arial" w:eastAsia="Arial" w:hAnsi="Arial"/>
                <w:sz w:val="18"/>
                <w:szCs w:val="18"/>
                <w:b w:val="1"/>
                <w:bCs w:val="1"/>
                <w:color w:val="auto"/>
              </w:rPr>
              <w:t>PART II</w:t>
            </w:r>
          </w:p>
        </w:tc>
        <w:tc>
          <w:tcPr>
            <w:tcW w:w="1640" w:type="dxa"/>
            <w:vAlign w:val="bottom"/>
            <w:gridSpan w:val="5"/>
            <w:vMerge w:val="restart"/>
          </w:tcPr>
          <w:p>
            <w:pPr>
              <w:jc w:val="right"/>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188"/>
        </w:trPr>
        <w:tc>
          <w:tcPr>
            <w:tcW w:w="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80" w:type="dxa"/>
            <w:vAlign w:val="bottom"/>
            <w:tcBorders>
              <w:bottom w:val="single" w:sz="8" w:color="0000FF"/>
            </w:tcBorders>
            <w:gridSpan w:val="18"/>
          </w:tcPr>
          <w:p>
            <w:pPr>
              <w:spacing w:after="0" w:line="161" w:lineRule="exact"/>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16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 w:type="dxa"/>
            <w:vAlign w:val="bottom"/>
            <w:gridSpan w:val="2"/>
          </w:tcPr>
          <w:p>
            <w:pPr>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2"/>
                <w:szCs w:val="22"/>
                <w:color w:val="auto"/>
              </w:rPr>
            </w:pPr>
          </w:p>
        </w:tc>
        <w:tc>
          <w:tcPr>
            <w:tcW w:w="8880" w:type="dxa"/>
            <w:vAlign w:val="bottom"/>
            <w:gridSpan w:val="18"/>
          </w:tcPr>
          <w:p>
            <w:pPr>
              <w:spacing w:after="0"/>
              <w:rPr>
                <w:sz w:val="20"/>
                <w:szCs w:val="20"/>
                <w:color w:val="auto"/>
              </w:rPr>
            </w:pPr>
            <w:r>
              <w:rPr>
                <w:rFonts w:ascii="Arial" w:cs="Arial" w:eastAsia="Arial" w:hAnsi="Arial"/>
                <w:sz w:val="18"/>
                <w:szCs w:val="18"/>
                <w:color w:val="0000FF"/>
              </w:rPr>
              <w:t>Selected Financial Data</w:t>
            </w:r>
          </w:p>
        </w:tc>
        <w:tc>
          <w:tcPr>
            <w:tcW w:w="1640" w:type="dxa"/>
            <w:vAlign w:val="bottom"/>
            <w:gridSpan w:val="5"/>
          </w:tcPr>
          <w:p>
            <w:pPr>
              <w:jc w:val="right"/>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2"/>
          </w:tcPr>
          <w:p>
            <w:pPr>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70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800" w:type="dxa"/>
            <w:vAlign w:val="bottom"/>
            <w:gridSpan w:val="2"/>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34</w:t>
            </w:r>
          </w:p>
        </w:tc>
        <w:tc>
          <w:tcPr>
            <w:tcW w:w="0" w:type="dxa"/>
            <w:vAlign w:val="bottom"/>
          </w:tcPr>
          <w:p>
            <w:pPr>
              <w:spacing w:after="0"/>
              <w:rPr>
                <w:sz w:val="1"/>
                <w:szCs w:val="1"/>
                <w:color w:val="auto"/>
              </w:rPr>
            </w:pPr>
          </w:p>
        </w:tc>
      </w:tr>
      <w:tr>
        <w:trPr>
          <w:trHeight w:val="209"/>
        </w:trPr>
        <w:tc>
          <w:tcPr>
            <w:tcW w:w="560" w:type="dxa"/>
            <w:vAlign w:val="bottom"/>
            <w:gridSpan w:val="3"/>
          </w:tcPr>
          <w:p>
            <w:pPr>
              <w:spacing w:after="0"/>
              <w:rPr>
                <w:sz w:val="20"/>
                <w:szCs w:val="20"/>
                <w:color w:val="auto"/>
              </w:rPr>
            </w:pPr>
            <w:r>
              <w:rPr>
                <w:rFonts w:ascii="Arial" w:cs="Arial" w:eastAsia="Arial" w:hAnsi="Arial"/>
                <w:sz w:val="18"/>
                <w:szCs w:val="18"/>
                <w:color w:val="auto"/>
              </w:rPr>
              <w:t>7A</w:t>
            </w:r>
          </w:p>
        </w:tc>
        <w:tc>
          <w:tcPr>
            <w:tcW w:w="47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4180" w:type="dxa"/>
            <w:vAlign w:val="bottom"/>
            <w:gridSpan w:val="5"/>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42</w:t>
            </w:r>
          </w:p>
        </w:tc>
        <w:tc>
          <w:tcPr>
            <w:tcW w:w="0" w:type="dxa"/>
            <w:vAlign w:val="bottom"/>
          </w:tcPr>
          <w:p>
            <w:pPr>
              <w:spacing w:after="0"/>
              <w:rPr>
                <w:sz w:val="1"/>
                <w:szCs w:val="1"/>
                <w:color w:val="auto"/>
              </w:rPr>
            </w:pPr>
          </w:p>
        </w:tc>
      </w:tr>
      <w:tr>
        <w:trPr>
          <w:trHeight w:val="209"/>
        </w:trPr>
        <w:tc>
          <w:tcPr>
            <w:tcW w:w="400" w:type="dxa"/>
            <w:vAlign w:val="bottom"/>
            <w:gridSpan w:val="2"/>
          </w:tcPr>
          <w:p>
            <w:pPr>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8880" w:type="dxa"/>
            <w:vAlign w:val="bottom"/>
            <w:gridSpan w:val="18"/>
          </w:tcPr>
          <w:p>
            <w:pPr>
              <w:spacing w:after="0"/>
              <w:rPr>
                <w:sz w:val="20"/>
                <w:szCs w:val="20"/>
                <w:color w:val="auto"/>
              </w:rPr>
            </w:pPr>
            <w:r>
              <w:rPr>
                <w:rFonts w:ascii="Arial" w:cs="Arial" w:eastAsia="Arial" w:hAnsi="Arial"/>
                <w:sz w:val="18"/>
                <w:szCs w:val="18"/>
                <w:color w:val="0000FF"/>
              </w:rPr>
              <w:t>Financial Statements and Supplementary Data</w:t>
            </w:r>
          </w:p>
        </w:tc>
        <w:tc>
          <w:tcPr>
            <w:tcW w:w="1640" w:type="dxa"/>
            <w:vAlign w:val="bottom"/>
            <w:gridSpan w:val="5"/>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2"/>
          </w:tcPr>
          <w:p>
            <w:pPr>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71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1740" w:type="dxa"/>
            <w:vAlign w:val="bottom"/>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43</w:t>
            </w:r>
          </w:p>
        </w:tc>
        <w:tc>
          <w:tcPr>
            <w:tcW w:w="0" w:type="dxa"/>
            <w:vAlign w:val="bottom"/>
          </w:tcPr>
          <w:p>
            <w:pPr>
              <w:spacing w:after="0"/>
              <w:rPr>
                <w:sz w:val="1"/>
                <w:szCs w:val="1"/>
                <w:color w:val="auto"/>
              </w:rPr>
            </w:pPr>
          </w:p>
        </w:tc>
      </w:tr>
      <w:tr>
        <w:trPr>
          <w:trHeight w:val="210"/>
        </w:trPr>
        <w:tc>
          <w:tcPr>
            <w:tcW w:w="560" w:type="dxa"/>
            <w:vAlign w:val="bottom"/>
            <w:gridSpan w:val="3"/>
          </w:tcPr>
          <w:p>
            <w:pPr>
              <w:spacing w:after="0"/>
              <w:rPr>
                <w:sz w:val="20"/>
                <w:szCs w:val="20"/>
                <w:color w:val="auto"/>
              </w:rPr>
            </w:pPr>
            <w:r>
              <w:rPr>
                <w:rFonts w:ascii="Arial" w:cs="Arial" w:eastAsia="Arial" w:hAnsi="Arial"/>
                <w:sz w:val="18"/>
                <w:szCs w:val="18"/>
                <w:color w:val="auto"/>
              </w:rPr>
              <w:t>9A</w:t>
            </w:r>
          </w:p>
        </w:tc>
        <w:tc>
          <w:tcPr>
            <w:tcW w:w="20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Controls and Procedures</w:t>
            </w:r>
          </w:p>
        </w:tc>
        <w:tc>
          <w:tcPr>
            <w:tcW w:w="6880" w:type="dxa"/>
            <w:vAlign w:val="bottom"/>
            <w:gridSpan w:val="10"/>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43</w:t>
            </w:r>
          </w:p>
        </w:tc>
        <w:tc>
          <w:tcPr>
            <w:tcW w:w="0" w:type="dxa"/>
            <w:vAlign w:val="bottom"/>
          </w:tcPr>
          <w:p>
            <w:pPr>
              <w:spacing w:after="0"/>
              <w:rPr>
                <w:sz w:val="1"/>
                <w:szCs w:val="1"/>
                <w:color w:val="auto"/>
              </w:rPr>
            </w:pPr>
          </w:p>
        </w:tc>
      </w:tr>
      <w:tr>
        <w:trPr>
          <w:trHeight w:val="210"/>
        </w:trPr>
        <w:tc>
          <w:tcPr>
            <w:tcW w:w="560" w:type="dxa"/>
            <w:vAlign w:val="bottom"/>
            <w:gridSpan w:val="3"/>
          </w:tcPr>
          <w:p>
            <w:pPr>
              <w:spacing w:after="0"/>
              <w:rPr>
                <w:sz w:val="20"/>
                <w:szCs w:val="20"/>
                <w:color w:val="auto"/>
              </w:rPr>
            </w:pPr>
            <w:r>
              <w:rPr>
                <w:rFonts w:ascii="Arial" w:cs="Arial" w:eastAsia="Arial" w:hAnsi="Arial"/>
                <w:sz w:val="18"/>
                <w:szCs w:val="18"/>
                <w:color w:val="auto"/>
              </w:rPr>
              <w:t>9B</w:t>
            </w:r>
          </w:p>
        </w:tc>
        <w:tc>
          <w:tcPr>
            <w:tcW w:w="888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1640" w:type="dxa"/>
            <w:vAlign w:val="bottom"/>
            <w:gridSpan w:val="5"/>
          </w:tcPr>
          <w:p>
            <w:pPr>
              <w:jc w:val="right"/>
              <w:spacing w:after="0"/>
              <w:rPr>
                <w:sz w:val="20"/>
                <w:szCs w:val="20"/>
                <w:color w:val="auto"/>
              </w:rPr>
            </w:pPr>
            <w:r>
              <w:rPr>
                <w:rFonts w:ascii="Arial" w:cs="Arial" w:eastAsia="Arial" w:hAnsi="Arial"/>
                <w:sz w:val="18"/>
                <w:szCs w:val="18"/>
                <w:color w:val="0000FF"/>
              </w:rPr>
              <w:t>45</w:t>
            </w:r>
          </w:p>
        </w:tc>
        <w:tc>
          <w:tcPr>
            <w:tcW w:w="0" w:type="dxa"/>
            <w:vAlign w:val="bottom"/>
          </w:tcPr>
          <w:p>
            <w:pPr>
              <w:spacing w:after="0"/>
              <w:rPr>
                <w:sz w:val="1"/>
                <w:szCs w:val="1"/>
                <w:color w:val="auto"/>
              </w:rPr>
            </w:pPr>
          </w:p>
        </w:tc>
      </w:tr>
      <w:tr>
        <w:trPr>
          <w:trHeight w:val="20"/>
        </w:trPr>
        <w:tc>
          <w:tcPr>
            <w:tcW w:w="560" w:type="dxa"/>
            <w:vAlign w:val="bottom"/>
            <w:gridSpan w:val="3"/>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gridSpan w:val="3"/>
          </w:tcPr>
          <w:p>
            <w:pPr>
              <w:spacing w:after="0"/>
              <w:rPr>
                <w:sz w:val="20"/>
                <w:szCs w:val="20"/>
                <w:color w:val="auto"/>
              </w:rPr>
            </w:pPr>
            <w:r>
              <w:rPr>
                <w:rFonts w:ascii="Arial" w:cs="Arial" w:eastAsia="Arial" w:hAnsi="Arial"/>
                <w:sz w:val="18"/>
                <w:szCs w:val="18"/>
                <w:color w:val="auto"/>
              </w:rPr>
              <w:t>9C</w:t>
            </w:r>
          </w:p>
        </w:tc>
        <w:tc>
          <w:tcPr>
            <w:tcW w:w="8880" w:type="dxa"/>
            <w:vAlign w:val="bottom"/>
            <w:gridSpan w:val="18"/>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640" w:type="dxa"/>
            <w:vAlign w:val="bottom"/>
            <w:gridSpan w:val="5"/>
          </w:tcPr>
          <w:p>
            <w:pPr>
              <w:jc w:val="right"/>
              <w:spacing w:after="0"/>
              <w:rPr>
                <w:sz w:val="20"/>
                <w:szCs w:val="20"/>
                <w:color w:val="auto"/>
              </w:rPr>
            </w:pPr>
            <w:r>
              <w:rPr>
                <w:rFonts w:ascii="Arial" w:cs="Arial" w:eastAsia="Arial" w:hAnsi="Arial"/>
                <w:sz w:val="18"/>
                <w:szCs w:val="18"/>
                <w:color w:val="0000FF"/>
              </w:rPr>
              <w:t>45</w:t>
            </w: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0" w:type="dxa"/>
            <w:vAlign w:val="bottom"/>
            <w:tcBorders>
              <w:top w:val="single" w:sz="8" w:color="0000FF"/>
            </w:tcBorders>
            <w:gridSpan w:val="15"/>
          </w:tcPr>
          <w:p>
            <w:pPr>
              <w:spacing w:after="0"/>
              <w:rPr>
                <w:sz w:val="20"/>
                <w:szCs w:val="20"/>
                <w:color w:val="auto"/>
              </w:rPr>
            </w:pPr>
            <w:r>
              <w:rPr>
                <w:rFonts w:ascii="Arial" w:cs="Arial" w:eastAsia="Arial" w:hAnsi="Arial"/>
                <w:sz w:val="18"/>
                <w:szCs w:val="18"/>
                <w:b w:val="1"/>
                <w:bCs w:val="1"/>
                <w:color w:val="auto"/>
              </w:rPr>
              <w:t>PART III</w:t>
            </w:r>
          </w:p>
        </w:tc>
        <w:tc>
          <w:tcPr>
            <w:tcW w:w="348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00" w:type="dxa"/>
            <w:vAlign w:val="bottom"/>
            <w:gridSpan w:val="2"/>
          </w:tcPr>
          <w:p>
            <w:pPr>
              <w:spacing w:after="0" w:line="195"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6"/>
                <w:szCs w:val="16"/>
                <w:color w:val="auto"/>
              </w:rPr>
            </w:pPr>
          </w:p>
        </w:tc>
        <w:tc>
          <w:tcPr>
            <w:tcW w:w="4500" w:type="dxa"/>
            <w:vAlign w:val="bottom"/>
            <w:tcBorders>
              <w:bottom w:val="single" w:sz="8" w:color="0000FF"/>
            </w:tcBorders>
            <w:gridSpan w:val="12"/>
          </w:tcPr>
          <w:p>
            <w:pPr>
              <w:spacing w:after="0" w:line="195" w:lineRule="exact"/>
              <w:rPr>
                <w:sz w:val="20"/>
                <w:szCs w:val="20"/>
                <w:color w:val="auto"/>
              </w:rPr>
            </w:pPr>
            <w:r>
              <w:rPr>
                <w:rFonts w:ascii="Arial" w:cs="Arial" w:eastAsia="Arial" w:hAnsi="Arial"/>
                <w:sz w:val="18"/>
                <w:szCs w:val="18"/>
                <w:color w:val="0000FF"/>
                <w:w w:val="99"/>
              </w:rPr>
              <w:t>Directors, Executive Officers and Corporate Governance</w:t>
            </w:r>
          </w:p>
        </w:tc>
        <w:tc>
          <w:tcPr>
            <w:tcW w:w="4380" w:type="dxa"/>
            <w:vAlign w:val="bottom"/>
            <w:gridSpan w:val="6"/>
          </w:tcPr>
          <w:p>
            <w:pPr>
              <w:spacing w:after="0"/>
              <w:rPr>
                <w:sz w:val="16"/>
                <w:szCs w:val="16"/>
                <w:color w:val="auto"/>
              </w:rPr>
            </w:pPr>
          </w:p>
        </w:tc>
        <w:tc>
          <w:tcPr>
            <w:tcW w:w="1440" w:type="dxa"/>
            <w:vAlign w:val="bottom"/>
            <w:gridSpan w:val="3"/>
          </w:tcPr>
          <w:p>
            <w:pPr>
              <w:spacing w:after="0"/>
              <w:rPr>
                <w:sz w:val="16"/>
                <w:szCs w:val="16"/>
                <w:color w:val="auto"/>
              </w:rPr>
            </w:pPr>
          </w:p>
        </w:tc>
        <w:tc>
          <w:tcPr>
            <w:tcW w:w="200" w:type="dxa"/>
            <w:vAlign w:val="bottom"/>
            <w:tcBorders>
              <w:bottom w:val="single" w:sz="8" w:color="0000FF"/>
            </w:tcBorders>
            <w:gridSpan w:val="2"/>
          </w:tcPr>
          <w:p>
            <w:pPr>
              <w:jc w:val="right"/>
              <w:spacing w:after="0" w:line="195" w:lineRule="exact"/>
              <w:rPr>
                <w:sz w:val="20"/>
                <w:szCs w:val="20"/>
                <w:color w:val="auto"/>
              </w:rPr>
            </w:pPr>
            <w:r>
              <w:rPr>
                <w:rFonts w:ascii="Arial" w:cs="Arial" w:eastAsia="Arial" w:hAnsi="Arial"/>
                <w:sz w:val="18"/>
                <w:szCs w:val="18"/>
                <w:color w:val="0000FF"/>
                <w:w w:val="89"/>
              </w:rPr>
              <w:t>46</w:t>
            </w:r>
          </w:p>
        </w:tc>
        <w:tc>
          <w:tcPr>
            <w:tcW w:w="0" w:type="dxa"/>
            <w:vAlign w:val="bottom"/>
          </w:tcPr>
          <w:p>
            <w:pPr>
              <w:spacing w:after="0"/>
              <w:rPr>
                <w:sz w:val="1"/>
                <w:szCs w:val="1"/>
                <w:color w:val="auto"/>
              </w:rPr>
            </w:pPr>
          </w:p>
        </w:tc>
      </w:tr>
      <w:tr>
        <w:trPr>
          <w:trHeight w:val="210"/>
        </w:trPr>
        <w:tc>
          <w:tcPr>
            <w:tcW w:w="400" w:type="dxa"/>
            <w:vAlign w:val="bottom"/>
            <w:gridSpan w:val="2"/>
          </w:tcPr>
          <w:p>
            <w:pPr>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0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Executive Compensation</w:t>
            </w:r>
          </w:p>
        </w:tc>
        <w:tc>
          <w:tcPr>
            <w:tcW w:w="6880" w:type="dxa"/>
            <w:vAlign w:val="bottom"/>
            <w:gridSpan w:val="10"/>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46</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700" w:hanging="553"/>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0000FF"/>
        </w:rPr>
        <w:t>Security Ownership of Certain Beneficial Owners and Management and</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2280" w:type="dxa"/>
            <w:vAlign w:val="bottom"/>
            <w:gridSpan w:val="3"/>
          </w:tcPr>
          <w:p>
            <w:pPr>
              <w:spacing w:after="0" w:line="203" w:lineRule="exact"/>
              <w:rPr>
                <w:sz w:val="20"/>
                <w:szCs w:val="20"/>
                <w:color w:val="auto"/>
              </w:rPr>
            </w:pPr>
            <w:r>
              <w:rPr>
                <w:rFonts w:ascii="Arial" w:cs="Arial" w:eastAsia="Arial" w:hAnsi="Arial"/>
                <w:sz w:val="18"/>
                <w:szCs w:val="18"/>
                <w:color w:val="0000FF"/>
                <w:w w:val="99"/>
              </w:rPr>
              <w:t>Related Stockholder Matters</w:t>
            </w:r>
          </w:p>
        </w:tc>
        <w:tc>
          <w:tcPr>
            <w:tcW w:w="8040" w:type="dxa"/>
            <w:vAlign w:val="bottom"/>
            <w:gridSpan w:val="4"/>
          </w:tcPr>
          <w:p>
            <w:pPr>
              <w:spacing w:after="0"/>
              <w:rPr>
                <w:sz w:val="17"/>
                <w:szCs w:val="17"/>
                <w:color w:val="auto"/>
              </w:rPr>
            </w:pPr>
          </w:p>
        </w:tc>
        <w:tc>
          <w:tcPr>
            <w:tcW w:w="2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0000FF"/>
                <w:w w:val="89"/>
              </w:rPr>
              <w:t>46</w:t>
            </w:r>
          </w:p>
        </w:tc>
      </w:tr>
      <w:tr>
        <w:trPr>
          <w:trHeight w:val="20"/>
        </w:trPr>
        <w:tc>
          <w:tcPr>
            <w:tcW w:w="7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0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6080" w:type="dxa"/>
            <w:vAlign w:val="bottom"/>
            <w:gridSpan w:val="6"/>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42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46</w:t>
            </w:r>
          </w:p>
        </w:tc>
      </w:tr>
      <w:tr>
        <w:trPr>
          <w:trHeight w:val="20"/>
        </w:trPr>
        <w:tc>
          <w:tcPr>
            <w:tcW w:w="7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00" w:type="dxa"/>
            <w:vAlign w:val="bottom"/>
          </w:tcPr>
          <w:p>
            <w:pPr>
              <w:jc w:val="right"/>
              <w:ind w:right="270"/>
              <w:spacing w:after="0"/>
              <w:rPr>
                <w:sz w:val="20"/>
                <w:szCs w:val="20"/>
                <w:color w:val="auto"/>
              </w:rPr>
            </w:pPr>
            <w:r>
              <w:rPr>
                <w:rFonts w:ascii="Arial" w:cs="Arial" w:eastAsia="Arial" w:hAnsi="Arial"/>
                <w:sz w:val="18"/>
                <w:szCs w:val="18"/>
                <w:color w:val="auto"/>
              </w:rPr>
              <w:t>14</w:t>
            </w:r>
          </w:p>
        </w:tc>
        <w:tc>
          <w:tcPr>
            <w:tcW w:w="6080" w:type="dxa"/>
            <w:vAlign w:val="bottom"/>
            <w:gridSpan w:val="6"/>
          </w:tcPr>
          <w:p>
            <w:pPr>
              <w:spacing w:after="0"/>
              <w:rPr>
                <w:sz w:val="20"/>
                <w:szCs w:val="20"/>
                <w:color w:val="auto"/>
              </w:rPr>
            </w:pPr>
            <w:r>
              <w:rPr>
                <w:rFonts w:ascii="Arial" w:cs="Arial" w:eastAsia="Arial" w:hAnsi="Arial"/>
                <w:sz w:val="18"/>
                <w:szCs w:val="18"/>
                <w:color w:val="0000FF"/>
              </w:rPr>
              <w:t>Principal Accountant Fees and Services</w:t>
            </w:r>
          </w:p>
        </w:tc>
        <w:tc>
          <w:tcPr>
            <w:tcW w:w="42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46</w:t>
            </w:r>
          </w:p>
        </w:tc>
      </w:tr>
      <w:tr>
        <w:trPr>
          <w:trHeight w:val="515"/>
        </w:trPr>
        <w:tc>
          <w:tcPr>
            <w:tcW w:w="700" w:type="dxa"/>
            <w:vAlign w:val="bottom"/>
          </w:tcPr>
          <w:p>
            <w:pPr>
              <w:spacing w:after="0"/>
              <w:rPr>
                <w:sz w:val="24"/>
                <w:szCs w:val="24"/>
                <w:color w:val="auto"/>
              </w:rPr>
            </w:pPr>
          </w:p>
        </w:tc>
        <w:tc>
          <w:tcPr>
            <w:tcW w:w="3180" w:type="dxa"/>
            <w:vAlign w:val="bottom"/>
            <w:tcBorders>
              <w:top w:val="single" w:sz="8" w:color="0000FF"/>
            </w:tcBorders>
            <w:gridSpan w:val="4"/>
          </w:tcPr>
          <w:p>
            <w:pPr>
              <w:spacing w:after="0"/>
              <w:rPr>
                <w:sz w:val="20"/>
                <w:szCs w:val="20"/>
                <w:color w:val="auto"/>
              </w:rPr>
            </w:pPr>
            <w:r>
              <w:rPr>
                <w:rFonts w:ascii="Arial" w:cs="Arial" w:eastAsia="Arial" w:hAnsi="Arial"/>
                <w:sz w:val="18"/>
                <w:szCs w:val="18"/>
                <w:b w:val="1"/>
                <w:bCs w:val="1"/>
                <w:color w:val="auto"/>
              </w:rPr>
              <w:t>PART IV</w:t>
            </w:r>
          </w:p>
        </w:tc>
        <w:tc>
          <w:tcPr>
            <w:tcW w:w="7140" w:type="dxa"/>
            <w:vAlign w:val="bottom"/>
            <w:gridSpan w:val="3"/>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70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15</w:t>
            </w:r>
          </w:p>
        </w:tc>
        <w:tc>
          <w:tcPr>
            <w:tcW w:w="3520" w:type="dxa"/>
            <w:vAlign w:val="bottom"/>
            <w:gridSpan w:val="5"/>
          </w:tcPr>
          <w:p>
            <w:pPr>
              <w:spacing w:after="0" w:line="195" w:lineRule="exact"/>
              <w:rPr>
                <w:sz w:val="20"/>
                <w:szCs w:val="20"/>
                <w:color w:val="auto"/>
              </w:rPr>
            </w:pPr>
            <w:r>
              <w:rPr>
                <w:rFonts w:ascii="Arial" w:cs="Arial" w:eastAsia="Arial" w:hAnsi="Arial"/>
                <w:sz w:val="18"/>
                <w:szCs w:val="18"/>
                <w:color w:val="0000FF"/>
                <w:w w:val="99"/>
              </w:rPr>
              <w:t>Exhibits and Financial Statement Schedules</w:t>
            </w:r>
          </w:p>
        </w:tc>
        <w:tc>
          <w:tcPr>
            <w:tcW w:w="6800" w:type="dxa"/>
            <w:vAlign w:val="bottom"/>
            <w:gridSpan w:val="2"/>
          </w:tcPr>
          <w:p>
            <w:pPr>
              <w:spacing w:after="0"/>
              <w:rPr>
                <w:sz w:val="16"/>
                <w:szCs w:val="16"/>
                <w:color w:val="auto"/>
              </w:rPr>
            </w:pPr>
          </w:p>
        </w:tc>
        <w:tc>
          <w:tcPr>
            <w:tcW w:w="2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0000FF"/>
                <w:w w:val="89"/>
              </w:rPr>
              <w:t>47</w:t>
            </w:r>
          </w:p>
        </w:tc>
      </w:tr>
      <w:tr>
        <w:trPr>
          <w:trHeight w:val="20"/>
        </w:trPr>
        <w:tc>
          <w:tcPr>
            <w:tcW w:w="7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68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00" w:type="dxa"/>
            <w:vAlign w:val="bottom"/>
          </w:tcPr>
          <w:p>
            <w:pPr>
              <w:jc w:val="right"/>
              <w:ind w:right="270"/>
              <w:spacing w:after="0"/>
              <w:rPr>
                <w:sz w:val="20"/>
                <w:szCs w:val="20"/>
                <w:color w:val="auto"/>
              </w:rPr>
            </w:pPr>
            <w:r>
              <w:rPr>
                <w:rFonts w:ascii="Arial" w:cs="Arial" w:eastAsia="Arial" w:hAnsi="Arial"/>
                <w:sz w:val="18"/>
                <w:szCs w:val="18"/>
                <w:color w:val="auto"/>
              </w:rPr>
              <w:t>16</w:t>
            </w:r>
          </w:p>
        </w:tc>
        <w:tc>
          <w:tcPr>
            <w:tcW w:w="1720" w:type="dxa"/>
            <w:vAlign w:val="bottom"/>
            <w:gridSpan w:val="2"/>
          </w:tcPr>
          <w:p>
            <w:pPr>
              <w:spacing w:after="0"/>
              <w:rPr>
                <w:sz w:val="20"/>
                <w:szCs w:val="20"/>
                <w:color w:val="auto"/>
              </w:rPr>
            </w:pPr>
            <w:r>
              <w:rPr>
                <w:rFonts w:ascii="Arial" w:cs="Arial" w:eastAsia="Arial" w:hAnsi="Arial"/>
                <w:sz w:val="18"/>
                <w:szCs w:val="18"/>
                <w:color w:val="0000FF"/>
                <w:w w:val="99"/>
              </w:rPr>
              <w:t>Form 10–K Summary</w:t>
            </w:r>
          </w:p>
        </w:tc>
        <w:tc>
          <w:tcPr>
            <w:tcW w:w="1800" w:type="dxa"/>
            <w:vAlign w:val="bottom"/>
            <w:gridSpan w:val="3"/>
          </w:tcPr>
          <w:p>
            <w:pPr>
              <w:spacing w:after="0"/>
              <w:rPr>
                <w:sz w:val="18"/>
                <w:szCs w:val="18"/>
                <w:color w:val="auto"/>
              </w:rPr>
            </w:pPr>
          </w:p>
        </w:tc>
        <w:tc>
          <w:tcPr>
            <w:tcW w:w="6800" w:type="dxa"/>
            <w:vAlign w:val="bottom"/>
            <w:gridSpan w:val="2"/>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47</w:t>
            </w:r>
          </w:p>
        </w:tc>
      </w:tr>
      <w:tr>
        <w:trPr>
          <w:trHeight w:val="20"/>
        </w:trPr>
        <w:tc>
          <w:tcPr>
            <w:tcW w:w="7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0" w:type="dxa"/>
            <w:vAlign w:val="bottom"/>
            <w:gridSpan w:val="5"/>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8600" w:type="dxa"/>
            <w:vAlign w:val="bottom"/>
            <w:gridSpan w:val="5"/>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48</w:t>
            </w:r>
          </w:p>
        </w:tc>
      </w:tr>
      <w:tr>
        <w:trPr>
          <w:trHeight w:val="1553"/>
        </w:trPr>
        <w:tc>
          <w:tcPr>
            <w:tcW w:w="700" w:type="dxa"/>
            <w:vAlign w:val="bottom"/>
            <w:tcBorders>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statements contained in this Annual Report on Form 10-K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“intends,” “projects,” “estimates,” “plans,” “forecasts,” “guidance,” and similar words, expressions or phrases. The following important factors and assumptions could affect our future results and could cause actual results to differ materially from those expressed in such forward-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looking statements. These factors include, but are not limited to:</w:t>
      </w:r>
    </w:p>
    <w:p>
      <w:pPr>
        <w:spacing w:after="0" w:line="234" w:lineRule="exact"/>
        <w:rPr>
          <w:sz w:val="20"/>
          <w:szCs w:val="20"/>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179"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change in our fleet costs, including as a result of a change in the cost of new vehicles, resulting from inflation or otherwise, manufacturer recalls, disruption in the supply of new vehicles, shortages in semiconductors used in new vehicle production, and/or a change in the price at which we dispose of used vehicles either in the used vehicle market or under repurchase or guaranteed depreciation programs;</w:t>
      </w:r>
    </w:p>
    <w:p>
      <w:pPr>
        <w:spacing w:after="0" w:line="203"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 particularly as COVID-19 related restrictions are lifted and travel demand increases;</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levels of and volatility in travel demand, including the current and any future volatility in airline passenger traffic;</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deterioration in economic conditions, resulting in a recession or otherwise, particularly during our peak season or in key market segments;</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occurrence or threat of terrorism, the current and any future pandemic diseases, natural disasters, military conflict, including the ongoing military conflict between Russia and Ukraine, or civil unrest in the locations in which we operate, and the potential effects of sanctions on the world economy and markets and/or international trade;</w:t>
      </w:r>
    </w:p>
    <w:p>
      <w:pPr>
        <w:spacing w:after="0" w:line="238" w:lineRule="exact"/>
        <w:rPr>
          <w:rFonts w:ascii="Arial" w:cs="Arial" w:eastAsia="Arial" w:hAnsi="Arial"/>
          <w:sz w:val="18"/>
          <w:szCs w:val="18"/>
          <w:color w:val="auto"/>
        </w:rPr>
      </w:pPr>
    </w:p>
    <w:p>
      <w:pPr>
        <w:jc w:val="both"/>
        <w:ind w:left="660" w:right="20" w:hanging="328"/>
        <w:spacing w:after="0" w:line="24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 including as a result of COVID-19, inflation, the ongoing military conflict between Russia and Ukraine, and any embargos on oil sales imposed on or by the Russian government;</w:t>
      </w:r>
    </w:p>
    <w:p>
      <w:pPr>
        <w:spacing w:after="0" w:line="218" w:lineRule="exact"/>
        <w:rPr>
          <w:rFonts w:ascii="Arial" w:cs="Arial" w:eastAsia="Arial" w:hAnsi="Arial"/>
          <w:sz w:val="22"/>
          <w:szCs w:val="22"/>
          <w:color w:val="auto"/>
        </w:rPr>
      </w:pPr>
    </w:p>
    <w:p>
      <w:pPr>
        <w:ind w:left="660" w:right="2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or achieve our business plans and strategies, achieve and maintain cost savings and adapt our business to changes in mobility;</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political, economic or commercial instability in the countries in which we operate, and our ability to conform to multiple and conflicting laws or regulations in those countries;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dispose of vehicles in the used-vehicle market on attractive terms;</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effectively integrate any acquired businesses or capitalize on joint ventures, partnerships and other investments;</w:t>
      </w:r>
    </w:p>
    <w:p>
      <w:pPr>
        <w:spacing w:after="0" w:line="252" w:lineRule="exact"/>
        <w:rPr>
          <w:sz w:val="20"/>
          <w:szCs w:val="20"/>
          <w:color w:val="auto"/>
        </w:rPr>
      </w:pPr>
    </w:p>
    <w:p>
      <w:pPr>
        <w:ind w:left="660" w:right="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 and our ability to obtain insurance at desired levels and the cost of that insurance;</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litigation or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compliance with privacy and data protection regulation, and the effects of any potential increase in cyberattacks on the world economy and markets and/or international trade;</w:t>
      </w:r>
    </w:p>
    <w:p>
      <w:pPr>
        <w:spacing w:after="0" w:line="20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impact on us from the actions of our third-party vendors, licensees, dealers, independent operators and independent contractors and/or disputes that may arise out of our agreements with such parties;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recent and future interest rate increases, which increase our financing costs, downgrades by rating agencies and our ability to incur substantially more debt;</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 or to obtain a waiver or amendment of such covenants should we be unable to meet such covenants;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changes in the assumptions and estimates that are used in our impairment testing for goodwill or intangible assets, which could result in a significant impairment of our goodwill or intangible assets;</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COVID-19 and its uncertain future impact on the global economy, including impacts on the ability or desire of people to travel, including due to travel restrictions, and other restrictions and orders, which may continue to impact our results, operations, outlooks, plans, goals, growth, cash flows, liquidity, and stock price; and</w:t>
      </w:r>
    </w:p>
    <w:p>
      <w:pPr>
        <w:spacing w:after="0" w:line="19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if future results are materially different from those forecasted or anticipated. Other factors and assumptions not identified above, including those discussed in “Management’s Discussion and Analysis of Financial Condition and Results of Operations” set forth in Part II, Item 7, in “Risk Factors” set forth in Part I, Item 1A and in other portions of this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Annual Report on Form 10-K, may contain forward-looking statements and involve uncertainties that could cause actual results to differ materially from those projected in any forward-looking statements.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40575"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 BUSINESS</w:t>
      </w:r>
    </w:p>
    <w:p>
      <w:pPr>
        <w:spacing w:after="0" w:line="36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Except as expressly indicated or unless the context otherwise requires, the “Company,” “Avis Budget,” “we,” “our” or “us” means Avis Budget Group, Inc. and its subsidiaries. Unless the context requires otherwise, these references and references to our brands do not include the operations of our licensees, as further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40575"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leading global provider of mobility solutions through our three most recognized brands, Avis, Budget and Zipcar, as well as several other brands, well recognized in their respective markets. Our brands offer a range of options, from car and truck rental to car sharing. We license the use of the Avis, Budget, Zipcar and other brands’ trademarks to licensees in areas in which we do not operate directly. We and our licensees operate our brands in approximately 180 countries throughout the world. We generally maintain a leading share of airport car rental revenues in North America, Europe and Australasia, and we operate a leading car sharing network, and one of the leading commercial truck rental businesses in the United States. We believe the range of options from our diversified brands enjoy complementary demand patterns with mid-week commercial demand balanced by weekend leisure demand.</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average, our global rental fleet totaled approximately 655,000 vehicles in 2022. We completed more than 36 million vehicle rental transactions worldwide and generated total revenues of approximately $12 billion during 2022. Our brands and mobility solutions have an extended global reach with nearly 10,250 rental locations throughout the world, including approximately 3,900 locations operated by our licensees.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categorize our operations into two reportable business segments:</w:t>
      </w:r>
    </w:p>
    <w:p>
      <w:pPr>
        <w:spacing w:after="0" w:line="252" w:lineRule="exact"/>
        <w:rPr>
          <w:sz w:val="20"/>
          <w:szCs w:val="20"/>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Americas - </w:t>
      </w:r>
      <w:r>
        <w:rPr>
          <w:rFonts w:ascii="Arial" w:cs="Arial" w:eastAsia="Arial" w:hAnsi="Arial"/>
          <w:sz w:val="18"/>
          <w:szCs w:val="18"/>
          <w:color w:val="auto"/>
        </w:rPr>
        <w:t>consisting primarily of (i) vehicle rental operations in North America, South America, Central America and the Caribbean,</w:t>
      </w:r>
      <w:r>
        <w:rPr>
          <w:rFonts w:ascii="Arial" w:cs="Arial" w:eastAsia="Arial" w:hAnsi="Arial"/>
          <w:sz w:val="18"/>
          <w:szCs w:val="18"/>
          <w:i w:val="1"/>
          <w:iCs w:val="1"/>
          <w:color w:val="auto"/>
        </w:rPr>
        <w:t xml:space="preserve"> </w:t>
      </w:r>
      <w:r>
        <w:rPr>
          <w:rFonts w:ascii="Arial" w:cs="Arial" w:eastAsia="Arial" w:hAnsi="Arial"/>
          <w:sz w:val="18"/>
          <w:szCs w:val="18"/>
          <w:color w:val="auto"/>
        </w:rPr>
        <w:t>(ii) car sharing operations in certain of these markets, and (iii) licensees in certain areas in which we do not operate directly.</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 </w:t>
      </w:r>
      <w:r>
        <w:rPr>
          <w:rFonts w:ascii="Arial" w:cs="Arial" w:eastAsia="Arial" w:hAnsi="Arial"/>
          <w:sz w:val="18"/>
          <w:szCs w:val="18"/>
          <w:color w:val="auto"/>
        </w:rPr>
        <w:t>consisting primarily of (i) vehicle rental operations in Europe, the Middle East, Africa, Asia and Australasia, (ii) car</w:t>
      </w:r>
      <w:r>
        <w:rPr>
          <w:rFonts w:ascii="Arial" w:cs="Arial" w:eastAsia="Arial" w:hAnsi="Arial"/>
          <w:sz w:val="18"/>
          <w:szCs w:val="18"/>
          <w:i w:val="1"/>
          <w:iCs w:val="1"/>
          <w:color w:val="auto"/>
        </w:rPr>
        <w:t xml:space="preserve"> </w:t>
      </w:r>
      <w:r>
        <w:rPr>
          <w:rFonts w:ascii="Arial" w:cs="Arial" w:eastAsia="Arial" w:hAnsi="Arial"/>
          <w:sz w:val="18"/>
          <w:szCs w:val="18"/>
          <w:color w:val="auto"/>
        </w:rPr>
        <w:t>sharing operations in certain of these markets, and (iii) licensees in certain areas in which we do not operate directly.</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 discussion of our reportable segments is included in Part II, Item 7, “Management’s Discussion and Analysis of Financial Condition and Results of Operations” and in Note 21 – Segment Information to the Consolidated Financial Statements included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4057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STRATEGY</w:t>
      </w: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2023, we expect our strategy to continue to primarily focus on costs and customer experience to strengthen our Company, enable resilience and deliver stakeholder value. To execute our strategy, we expect to leverage marketing and technology, increase the electric vehicles in our fleet, and invest in related infrastructure. With respect to costs, we aim to achieve operational excellence and invest strategically to lower costs over the long term. For customer experience, we seek to enhance the customer journey by leveraging technology to, among other things, streamline reservations, modernize pick-up and exit, and digitize the on-rent experience to continue to offer value and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40575"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BRANDS AND OPERATIONS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BRANDS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Avis, Budget and Zipcar brands are three of the most recognized brands in our industry. We believe that each of our brands is positioned to be embraced by different target customers, and we see benefits and savings from our brands sharing some of the same facilities, systems, and administrative infrastructure. In addition, we are 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recognize benefits as a result of complementary demand patterns with commercial rentals occurring primarily on business days and leisure rentals occurring primarily on holidays and weekends. We also operate the Payless and Apex brands in the value segment of the car rental industry, augmenting our Avis, Budget and Zipcar brands. In addition, our Maggiore and Morini Rent brands in Italy, FranceCars brand in France and Turiscar brand in Portugal further extend our offerings.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graphs present the approximate composition of our revenues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17780</wp:posOffset>
            </wp:positionV>
            <wp:extent cx="5743575" cy="1457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357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Budget Truck.</w:t>
      </w:r>
    </w:p>
    <w:p>
      <w:pPr>
        <w:spacing w:after="0" w:line="15"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Zipcar and other operating brands.</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Budget Truck and Zipcar.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454025"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402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Avis brand provides high-quality vehicle rental and other mobility solutions at price points generally above non-branded and value-branded vehicle rental companies and serves the premium commercial and leisure segments of the travel industry. We operate or license Avis vehicle rental locations at virtually all of the largest commercial airports and cities in the world.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approximate number of Avis locations as of December 31, 2022.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8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rPr>
              <w:t>Avis Locations</w:t>
            </w:r>
            <w:r>
              <w:rPr>
                <w:rFonts w:ascii="Arial" w:cs="Arial" w:eastAsia="Arial" w:hAnsi="Arial"/>
                <w:sz w:val="14"/>
                <w:szCs w:val="14"/>
                <w:b w:val="1"/>
                <w:bCs w:val="1"/>
                <w:color w:val="auto"/>
              </w:rPr>
              <w:t>*</w:t>
            </w:r>
          </w:p>
        </w:tc>
        <w:tc>
          <w:tcPr>
            <w:tcW w:w="168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780" w:type="dxa"/>
            <w:vAlign w:val="bottom"/>
            <w:gridSpan w:val="2"/>
          </w:tcPr>
          <w:p>
            <w:pPr>
              <w:ind w:left="420"/>
              <w:spacing w:after="0"/>
              <w:rPr>
                <w:sz w:val="20"/>
                <w:szCs w:val="20"/>
                <w:color w:val="auto"/>
              </w:rPr>
            </w:pPr>
            <w:r>
              <w:rPr>
                <w:rFonts w:ascii="Arial" w:cs="Arial" w:eastAsia="Arial" w:hAnsi="Arial"/>
                <w:sz w:val="18"/>
                <w:szCs w:val="18"/>
                <w:b w:val="1"/>
                <w:bCs w:val="1"/>
                <w:color w:val="auto"/>
              </w:rPr>
              <w:t>Americas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International</w:t>
            </w: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80" w:type="dxa"/>
            <w:vAlign w:val="bottom"/>
            <w:tcBorders>
              <w:top w:val="single" w:sz="8" w:color="C6D9F1"/>
            </w:tcBorders>
            <w:shd w:val="clear" w:color="auto" w:fill="C6D9F1"/>
          </w:tcPr>
          <w:p>
            <w:pPr>
              <w:ind w:left="20"/>
              <w:spacing w:after="0"/>
              <w:rPr>
                <w:sz w:val="20"/>
                <w:szCs w:val="20"/>
                <w:color w:val="auto"/>
              </w:rPr>
            </w:pPr>
            <w:r>
              <w:rPr>
                <w:rFonts w:ascii="Arial" w:cs="Arial" w:eastAsia="Arial" w:hAnsi="Arial"/>
                <w:sz w:val="18"/>
                <w:szCs w:val="18"/>
                <w:color w:val="auto"/>
              </w:rPr>
              <w:t>Company-operated locations</w:t>
            </w:r>
          </w:p>
        </w:tc>
        <w:tc>
          <w:tcPr>
            <w:tcW w:w="166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1,890</w:t>
            </w:r>
          </w:p>
        </w:tc>
        <w:tc>
          <w:tcPr>
            <w:tcW w:w="120" w:type="dxa"/>
            <w:vAlign w:val="bottom"/>
            <w:tcBorders>
              <w:top w:val="single" w:sz="8" w:color="C6D9F1"/>
            </w:tcBorders>
            <w:shd w:val="clear" w:color="auto" w:fill="C6D9F1"/>
          </w:tcPr>
          <w:p>
            <w:pPr>
              <w:spacing w:after="0"/>
              <w:rPr>
                <w:sz w:val="19"/>
                <w:szCs w:val="19"/>
                <w:color w:val="auto"/>
              </w:rPr>
            </w:pPr>
          </w:p>
        </w:tc>
        <w:tc>
          <w:tcPr>
            <w:tcW w:w="168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top w:val="single" w:sz="8" w:color="C6D9F1"/>
            </w:tcBorders>
            <w:shd w:val="clear" w:color="auto" w:fill="C6D9F1"/>
          </w:tcPr>
          <w:p>
            <w:pPr>
              <w:spacing w:after="0"/>
              <w:rPr>
                <w:sz w:val="19"/>
                <w:szCs w:val="19"/>
                <w:color w:val="auto"/>
              </w:rPr>
            </w:pPr>
          </w:p>
        </w:tc>
        <w:tc>
          <w:tcPr>
            <w:tcW w:w="168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2,970</w:t>
            </w:r>
          </w:p>
        </w:tc>
      </w:tr>
      <w:tr>
        <w:trPr>
          <w:trHeight w:val="229"/>
        </w:trPr>
        <w:tc>
          <w:tcPr>
            <w:tcW w:w="5980" w:type="dxa"/>
            <w:vAlign w:val="bottom"/>
            <w:tcBorders>
              <w:bottom w:val="single" w:sz="8" w:color="C6D9F1"/>
            </w:tcBorders>
          </w:tcPr>
          <w:p>
            <w:pPr>
              <w:ind w:left="20"/>
              <w:spacing w:after="0"/>
              <w:rPr>
                <w:sz w:val="20"/>
                <w:szCs w:val="20"/>
                <w:color w:val="auto"/>
              </w:rPr>
            </w:pPr>
            <w:r>
              <w:rPr>
                <w:rFonts w:ascii="Arial" w:cs="Arial" w:eastAsia="Arial" w:hAnsi="Arial"/>
                <w:sz w:val="18"/>
                <w:szCs w:val="18"/>
                <w:color w:val="auto"/>
              </w:rPr>
              <w:t>Licensee locations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6D9F1"/>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6D9F1"/>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r>
      <w:tr>
        <w:trPr>
          <w:trHeight w:val="248"/>
        </w:trPr>
        <w:tc>
          <w:tcPr>
            <w:tcW w:w="5980" w:type="dxa"/>
            <w:vAlign w:val="bottom"/>
            <w:tcBorders>
              <w:bottom w:val="single" w:sz="8" w:color="C6D9F1"/>
            </w:tcBorders>
            <w:shd w:val="clear" w:color="auto" w:fill="C6D9F1"/>
          </w:tcPr>
          <w:p>
            <w:pPr>
              <w:ind w:left="20"/>
              <w:spacing w:after="0"/>
              <w:rPr>
                <w:sz w:val="20"/>
                <w:szCs w:val="20"/>
                <w:color w:val="auto"/>
              </w:rPr>
            </w:pPr>
            <w:r>
              <w:rPr>
                <w:rFonts w:ascii="Arial" w:cs="Arial" w:eastAsia="Arial" w:hAnsi="Arial"/>
                <w:sz w:val="18"/>
                <w:szCs w:val="18"/>
                <w:b w:val="1"/>
                <w:bCs w:val="1"/>
                <w:color w:val="auto"/>
              </w:rPr>
              <w:t>Total Avis Locations</w:t>
            </w:r>
          </w:p>
        </w:tc>
        <w:tc>
          <w:tcPr>
            <w:tcW w:w="166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2,320</w:t>
            </w:r>
          </w:p>
        </w:tc>
        <w:tc>
          <w:tcPr>
            <w:tcW w:w="120" w:type="dxa"/>
            <w:vAlign w:val="bottom"/>
            <w:tcBorders>
              <w:bottom w:val="single" w:sz="8" w:color="C6D9F1"/>
            </w:tcBorders>
            <w:shd w:val="clear" w:color="auto" w:fill="C6D9F1"/>
          </w:tcPr>
          <w:p>
            <w:pPr>
              <w:spacing w:after="0"/>
              <w:rPr>
                <w:sz w:val="21"/>
                <w:szCs w:val="21"/>
                <w:color w:val="auto"/>
              </w:rPr>
            </w:pPr>
          </w:p>
        </w:tc>
        <w:tc>
          <w:tcPr>
            <w:tcW w:w="168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6D9F1"/>
            </w:tcBorders>
            <w:shd w:val="clear" w:color="auto" w:fill="C6D9F1"/>
          </w:tcPr>
          <w:p>
            <w:pPr>
              <w:spacing w:after="0"/>
              <w:rPr>
                <w:sz w:val="21"/>
                <w:szCs w:val="21"/>
                <w:color w:val="auto"/>
              </w:rPr>
            </w:pPr>
          </w:p>
        </w:tc>
        <w:tc>
          <w:tcPr>
            <w:tcW w:w="168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5,120</w:t>
            </w:r>
          </w:p>
        </w:tc>
      </w:tr>
      <w:tr>
        <w:trPr>
          <w:trHeight w:val="20"/>
        </w:trPr>
        <w:tc>
          <w:tcPr>
            <w:tcW w:w="5980" w:type="dxa"/>
            <w:vAlign w:val="bottom"/>
            <w:tcBorders>
              <w:top w:val="single" w:sz="8" w:color="C6D9F1"/>
            </w:tcBorders>
          </w:tcPr>
          <w:p>
            <w:pPr>
              <w:spacing w:after="0" w:line="20" w:lineRule="exact"/>
              <w:rPr>
                <w:sz w:val="1"/>
                <w:szCs w:val="1"/>
                <w:color w:val="auto"/>
              </w:rPr>
            </w:pPr>
          </w:p>
        </w:tc>
        <w:tc>
          <w:tcPr>
            <w:tcW w:w="1660" w:type="dxa"/>
            <w:vAlign w:val="bottom"/>
            <w:tcBorders>
              <w:top w:val="single" w:sz="8" w:color="C6D9F1"/>
              <w:bottom w:val="single" w:sz="8" w:color="auto"/>
            </w:tcBorders>
          </w:tcPr>
          <w:p>
            <w:pPr>
              <w:spacing w:after="0" w:line="20" w:lineRule="exact"/>
              <w:rPr>
                <w:sz w:val="1"/>
                <w:szCs w:val="1"/>
                <w:color w:val="auto"/>
              </w:rPr>
            </w:pPr>
          </w:p>
        </w:tc>
        <w:tc>
          <w:tcPr>
            <w:tcW w:w="120" w:type="dxa"/>
            <w:vAlign w:val="bottom"/>
            <w:tcBorders>
              <w:top w:val="single" w:sz="8" w:color="C6D9F1"/>
            </w:tcBorders>
          </w:tcPr>
          <w:p>
            <w:pPr>
              <w:spacing w:after="0" w:line="20" w:lineRule="exact"/>
              <w:rPr>
                <w:sz w:val="1"/>
                <w:szCs w:val="1"/>
                <w:color w:val="auto"/>
              </w:rPr>
            </w:pPr>
          </w:p>
        </w:tc>
        <w:tc>
          <w:tcPr>
            <w:tcW w:w="1680" w:type="dxa"/>
            <w:vAlign w:val="bottom"/>
            <w:tcBorders>
              <w:top w:val="single" w:sz="8" w:color="C6D9F1"/>
              <w:bottom w:val="single" w:sz="8" w:color="auto"/>
            </w:tcBorders>
          </w:tcPr>
          <w:p>
            <w:pPr>
              <w:spacing w:after="0" w:line="20" w:lineRule="exact"/>
              <w:rPr>
                <w:sz w:val="1"/>
                <w:szCs w:val="1"/>
                <w:color w:val="auto"/>
              </w:rPr>
            </w:pPr>
          </w:p>
        </w:tc>
        <w:tc>
          <w:tcPr>
            <w:tcW w:w="100" w:type="dxa"/>
            <w:vAlign w:val="bottom"/>
            <w:tcBorders>
              <w:top w:val="single" w:sz="8" w:color="C6D9F1"/>
            </w:tcBorders>
          </w:tcPr>
          <w:p>
            <w:pPr>
              <w:spacing w:after="0" w:line="20" w:lineRule="exact"/>
              <w:rPr>
                <w:sz w:val="1"/>
                <w:szCs w:val="1"/>
                <w:color w:val="auto"/>
              </w:rPr>
            </w:pPr>
          </w:p>
        </w:tc>
        <w:tc>
          <w:tcPr>
            <w:tcW w:w="1680" w:type="dxa"/>
            <w:vAlign w:val="bottom"/>
            <w:tcBorders>
              <w:top w:val="single" w:sz="8" w:color="C6D9F1"/>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Certain locations support multiple brands.</w:t>
      </w: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2022, our Company-operated Avis locations generated total revenues of approximately $6.5 billion. The following graphs present the approximate composition of our Avis revenues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-27305</wp:posOffset>
            </wp:positionV>
            <wp:extent cx="3823335" cy="1457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2333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license the Avis brand to independent commercial owners who operate approximately half of our locations worldwide and generally pay royalty fees to us based on a percentage of applicable revenues. In 2022, these royalty fees totaled approximately 1% of our Avis revenues.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offer Avis customers a variety of premium services, including:</w:t>
      </w:r>
    </w:p>
    <w:p>
      <w:pPr>
        <w:spacing w:after="0" w:line="252" w:lineRule="exact"/>
        <w:rPr>
          <w:sz w:val="20"/>
          <w:szCs w:val="20"/>
          <w:color w:val="auto"/>
        </w:rPr>
      </w:pPr>
    </w:p>
    <w:p>
      <w:pPr>
        <w:jc w:val="both"/>
        <w:ind w:left="66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Avis mobile application, which allows customers a unique and innovative way to control many elements of their rental experience via their mobile devices without the need to visit the rental counter. The Avis mobile application also allows customers to track Avis shuttle buses to rental locations, find their vehicle, and locate nearby gas stations and parking facilities;</w:t>
      </w:r>
    </w:p>
    <w:p>
      <w:pPr>
        <w:spacing w:after="0" w:line="197"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Avis Preferred</w:t>
      </w:r>
      <w:r>
        <w:rPr>
          <w:rFonts w:ascii="Arial" w:cs="Arial" w:eastAsia="Arial" w:hAnsi="Arial"/>
          <w:sz w:val="18"/>
          <w:szCs w:val="18"/>
          <w:color w:val="auto"/>
        </w:rPr>
        <w:t>, an award-winning frequent renter rewards program that offers counter-bypass at major airport locations. Avis</w:t>
      </w:r>
      <w:r>
        <w:rPr>
          <w:rFonts w:ascii="Arial" w:cs="Arial" w:eastAsia="Arial" w:hAnsi="Arial"/>
          <w:sz w:val="18"/>
          <w:szCs w:val="18"/>
          <w:i w:val="1"/>
          <w:iCs w:val="1"/>
          <w:color w:val="auto"/>
        </w:rPr>
        <w:t xml:space="preserve"> </w:t>
      </w:r>
      <w:r>
        <w:rPr>
          <w:rFonts w:ascii="Arial" w:cs="Arial" w:eastAsia="Arial" w:hAnsi="Arial"/>
          <w:sz w:val="18"/>
          <w:szCs w:val="18"/>
          <w:color w:val="auto"/>
        </w:rPr>
        <w:t>QuickPass, a feature on the Avis mobile application, allows Avis Preferred customers to choose, exchange or upgrade their car in the mobile application upon arrival, proceed straight to the vehicle, and utilize a unique code to exit via our automated Express Exit for a completely contactless rental experience;</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Avis Signature Series</w:t>
      </w:r>
      <w:r>
        <w:rPr>
          <w:rFonts w:ascii="Arial" w:cs="Arial" w:eastAsia="Arial" w:hAnsi="Arial"/>
          <w:sz w:val="18"/>
          <w:szCs w:val="18"/>
          <w:color w:val="auto"/>
        </w:rPr>
        <w:t>, a selection of luxury vehicles;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invited or earned customer status levels allowing for upgrades and counter bypass;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premium, sport and performance vehicles as well as eco-friendly vehicles, including hybrids and full electric;</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 to portable navigation units, tablets and satellite radio service;</w:t>
      </w:r>
    </w:p>
    <w:p>
      <w:pPr>
        <w:spacing w:after="0" w:line="2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Avis rental services such as roadside assistance, fuel service options, e-receipts, electronic toll collection services that allow customers to pay highway tolls without waiting in toll booth lines, and amenities such as </w:t>
      </w:r>
      <w:r>
        <w:rPr>
          <w:rFonts w:ascii="Arial" w:cs="Arial" w:eastAsia="Arial" w:hAnsi="Arial"/>
          <w:sz w:val="18"/>
          <w:szCs w:val="18"/>
          <w:i w:val="1"/>
          <w:iCs w:val="1"/>
          <w:color w:val="auto"/>
        </w:rPr>
        <w:t>Avis Access</w:t>
      </w:r>
      <w:r>
        <w:rPr>
          <w:rFonts w:ascii="Arial" w:cs="Arial" w:eastAsia="Arial" w:hAnsi="Arial"/>
          <w:sz w:val="18"/>
          <w:szCs w:val="18"/>
          <w:color w:val="auto"/>
        </w:rPr>
        <w:t>, a full range of special products and services for drivers and passengers with disabilities;</w:t>
      </w:r>
    </w:p>
    <w:p>
      <w:pPr>
        <w:spacing w:after="0" w:line="19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Curbside Delivery</w:t>
      </w:r>
      <w:r>
        <w:rPr>
          <w:rFonts w:ascii="Arial" w:cs="Arial" w:eastAsia="Arial" w:hAnsi="Arial"/>
          <w:sz w:val="18"/>
          <w:szCs w:val="18"/>
          <w:color w:val="auto"/>
        </w:rPr>
        <w:t>, a service that provides customers at select airport locations in the United States with the added convenience of</w:t>
      </w:r>
      <w:r>
        <w:rPr>
          <w:rFonts w:ascii="Arial" w:cs="Arial" w:eastAsia="Arial" w:hAnsi="Arial"/>
          <w:sz w:val="18"/>
          <w:szCs w:val="18"/>
          <w:i w:val="1"/>
          <w:iCs w:val="1"/>
          <w:color w:val="auto"/>
        </w:rPr>
        <w:t xml:space="preserve"> </w:t>
      </w:r>
      <w:r>
        <w:rPr>
          <w:rFonts w:ascii="Arial" w:cs="Arial" w:eastAsia="Arial" w:hAnsi="Arial"/>
          <w:sz w:val="18"/>
          <w:szCs w:val="18"/>
          <w:color w:val="auto"/>
        </w:rPr>
        <w:t>being dropped off at the airport terminal in the same car that they rented; and</w:t>
      </w:r>
    </w:p>
    <w:p>
      <w:pPr>
        <w:spacing w:after="0" w:line="179"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for our corporate customers, </w:t>
      </w:r>
      <w:r>
        <w:rPr>
          <w:rFonts w:ascii="Arial" w:cs="Arial" w:eastAsia="Arial" w:hAnsi="Arial"/>
          <w:sz w:val="18"/>
          <w:szCs w:val="18"/>
          <w:i w:val="1"/>
          <w:iCs w:val="1"/>
          <w:color w:val="auto"/>
        </w:rPr>
        <w:t>Avis Budget Group Business Intelligence</w:t>
      </w:r>
      <w:r>
        <w:rPr>
          <w:rFonts w:ascii="Arial" w:cs="Arial" w:eastAsia="Arial" w:hAnsi="Arial"/>
          <w:sz w:val="18"/>
          <w:szCs w:val="18"/>
          <w:color w:val="auto"/>
        </w:rPr>
        <w:t>, a proprietary customer reporting solution that provides a centralized reporting tool and customer reporting portal for corporate clients in North America and Europe, enabling them to easily view and analyze their rental activity, permitting them to better manage their travel budgets and monitor employee compliance with applicable travel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685800" cy="316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0" cy="31686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Car Rental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Budget brand is a leading supplier of vehicle rental and other mobility solutions focused primarily on more value-conscious customers.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operate or license Budget car rental locations at most of the largest airports and cities in the world.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approximate number of Budget locations as of December 31, 2022.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8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rPr>
              <w:t>Budget Locations</w:t>
            </w:r>
            <w:r>
              <w:rPr>
                <w:rFonts w:ascii="Arial" w:cs="Arial" w:eastAsia="Arial" w:hAnsi="Arial"/>
                <w:sz w:val="14"/>
                <w:szCs w:val="14"/>
                <w:b w:val="1"/>
                <w:bCs w:val="1"/>
                <w:color w:val="auto"/>
              </w:rPr>
              <w:t>*</w:t>
            </w:r>
          </w:p>
        </w:tc>
        <w:tc>
          <w:tcPr>
            <w:tcW w:w="168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780" w:type="dxa"/>
            <w:vAlign w:val="bottom"/>
            <w:gridSpan w:val="2"/>
          </w:tcPr>
          <w:p>
            <w:pPr>
              <w:ind w:left="420"/>
              <w:spacing w:after="0"/>
              <w:rPr>
                <w:sz w:val="20"/>
                <w:szCs w:val="20"/>
                <w:color w:val="auto"/>
              </w:rPr>
            </w:pPr>
            <w:r>
              <w:rPr>
                <w:rFonts w:ascii="Arial" w:cs="Arial" w:eastAsia="Arial" w:hAnsi="Arial"/>
                <w:sz w:val="18"/>
                <w:szCs w:val="18"/>
                <w:b w:val="1"/>
                <w:bCs w:val="1"/>
                <w:color w:val="auto"/>
              </w:rPr>
              <w:t>Americas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International</w:t>
            </w: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80" w:type="dxa"/>
            <w:vAlign w:val="bottom"/>
            <w:tcBorders>
              <w:top w:val="single" w:sz="8" w:color="C6D9F1"/>
            </w:tcBorders>
            <w:shd w:val="clear" w:color="auto" w:fill="C6D9F1"/>
          </w:tcPr>
          <w:p>
            <w:pPr>
              <w:ind w:left="20"/>
              <w:spacing w:after="0"/>
              <w:rPr>
                <w:sz w:val="20"/>
                <w:szCs w:val="20"/>
                <w:color w:val="auto"/>
              </w:rPr>
            </w:pPr>
            <w:r>
              <w:rPr>
                <w:rFonts w:ascii="Arial" w:cs="Arial" w:eastAsia="Arial" w:hAnsi="Arial"/>
                <w:sz w:val="18"/>
                <w:szCs w:val="18"/>
                <w:color w:val="auto"/>
              </w:rPr>
              <w:t>Company-operated locations</w:t>
            </w:r>
          </w:p>
        </w:tc>
        <w:tc>
          <w:tcPr>
            <w:tcW w:w="166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Borders>
              <w:top w:val="single" w:sz="8" w:color="C6D9F1"/>
            </w:tcBorders>
            <w:shd w:val="clear" w:color="auto" w:fill="C6D9F1"/>
          </w:tcPr>
          <w:p>
            <w:pPr>
              <w:spacing w:after="0"/>
              <w:rPr>
                <w:sz w:val="19"/>
                <w:szCs w:val="19"/>
                <w:color w:val="auto"/>
              </w:rPr>
            </w:pPr>
          </w:p>
        </w:tc>
        <w:tc>
          <w:tcPr>
            <w:tcW w:w="168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top w:val="single" w:sz="8" w:color="C6D9F1"/>
            </w:tcBorders>
            <w:shd w:val="clear" w:color="auto" w:fill="C6D9F1"/>
          </w:tcPr>
          <w:p>
            <w:pPr>
              <w:spacing w:after="0"/>
              <w:rPr>
                <w:sz w:val="19"/>
                <w:szCs w:val="19"/>
                <w:color w:val="auto"/>
              </w:rPr>
            </w:pPr>
          </w:p>
        </w:tc>
        <w:tc>
          <w:tcPr>
            <w:tcW w:w="168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2,190</w:t>
            </w:r>
          </w:p>
        </w:tc>
      </w:tr>
      <w:tr>
        <w:trPr>
          <w:trHeight w:val="230"/>
        </w:trPr>
        <w:tc>
          <w:tcPr>
            <w:tcW w:w="5980" w:type="dxa"/>
            <w:vAlign w:val="bottom"/>
            <w:tcBorders>
              <w:bottom w:val="single" w:sz="8" w:color="C6D9F1"/>
            </w:tcBorders>
          </w:tcPr>
          <w:p>
            <w:pPr>
              <w:ind w:left="20"/>
              <w:spacing w:after="0"/>
              <w:rPr>
                <w:sz w:val="20"/>
                <w:szCs w:val="20"/>
                <w:color w:val="auto"/>
              </w:rPr>
            </w:pPr>
            <w:r>
              <w:rPr>
                <w:rFonts w:ascii="Arial" w:cs="Arial" w:eastAsia="Arial" w:hAnsi="Arial"/>
                <w:sz w:val="18"/>
                <w:szCs w:val="18"/>
                <w:color w:val="auto"/>
              </w:rPr>
              <w:t>Licensee locations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6D9F1"/>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6D9F1"/>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r>
      <w:tr>
        <w:trPr>
          <w:trHeight w:val="248"/>
        </w:trPr>
        <w:tc>
          <w:tcPr>
            <w:tcW w:w="5980" w:type="dxa"/>
            <w:vAlign w:val="bottom"/>
            <w:tcBorders>
              <w:bottom w:val="single" w:sz="8" w:color="C6D9F1"/>
            </w:tcBorders>
            <w:shd w:val="clear" w:color="auto" w:fill="C6D9F1"/>
          </w:tcPr>
          <w:p>
            <w:pPr>
              <w:ind w:left="20"/>
              <w:spacing w:after="0"/>
              <w:rPr>
                <w:sz w:val="20"/>
                <w:szCs w:val="20"/>
                <w:color w:val="auto"/>
              </w:rPr>
            </w:pPr>
            <w:r>
              <w:rPr>
                <w:rFonts w:ascii="Arial" w:cs="Arial" w:eastAsia="Arial" w:hAnsi="Arial"/>
                <w:sz w:val="18"/>
                <w:szCs w:val="18"/>
                <w:b w:val="1"/>
                <w:bCs w:val="1"/>
                <w:color w:val="auto"/>
              </w:rPr>
              <w:t>Total Budget Locations</w:t>
            </w:r>
          </w:p>
        </w:tc>
        <w:tc>
          <w:tcPr>
            <w:tcW w:w="166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C6D9F1"/>
            </w:tcBorders>
            <w:shd w:val="clear" w:color="auto" w:fill="C6D9F1"/>
          </w:tcPr>
          <w:p>
            <w:pPr>
              <w:spacing w:after="0"/>
              <w:rPr>
                <w:sz w:val="21"/>
                <w:szCs w:val="21"/>
                <w:color w:val="auto"/>
              </w:rPr>
            </w:pPr>
          </w:p>
        </w:tc>
        <w:tc>
          <w:tcPr>
            <w:tcW w:w="168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Borders>
              <w:bottom w:val="single" w:sz="8" w:color="C6D9F1"/>
            </w:tcBorders>
            <w:shd w:val="clear" w:color="auto" w:fill="C6D9F1"/>
          </w:tcPr>
          <w:p>
            <w:pPr>
              <w:spacing w:after="0"/>
              <w:rPr>
                <w:sz w:val="21"/>
                <w:szCs w:val="21"/>
                <w:color w:val="auto"/>
              </w:rPr>
            </w:pPr>
          </w:p>
        </w:tc>
        <w:tc>
          <w:tcPr>
            <w:tcW w:w="168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3,730</w:t>
            </w:r>
          </w:p>
        </w:tc>
      </w:tr>
      <w:tr>
        <w:trPr>
          <w:trHeight w:val="20"/>
        </w:trPr>
        <w:tc>
          <w:tcPr>
            <w:tcW w:w="5980" w:type="dxa"/>
            <w:vAlign w:val="bottom"/>
            <w:tcBorders>
              <w:top w:val="single" w:sz="8" w:color="C6D9F1"/>
            </w:tcBorders>
          </w:tcPr>
          <w:p>
            <w:pPr>
              <w:spacing w:after="0" w:line="20" w:lineRule="exact"/>
              <w:rPr>
                <w:sz w:val="1"/>
                <w:szCs w:val="1"/>
                <w:color w:val="auto"/>
              </w:rPr>
            </w:pPr>
          </w:p>
        </w:tc>
        <w:tc>
          <w:tcPr>
            <w:tcW w:w="1660" w:type="dxa"/>
            <w:vAlign w:val="bottom"/>
            <w:tcBorders>
              <w:top w:val="single" w:sz="8" w:color="C6D9F1"/>
              <w:bottom w:val="single" w:sz="8" w:color="auto"/>
            </w:tcBorders>
          </w:tcPr>
          <w:p>
            <w:pPr>
              <w:spacing w:after="0" w:line="20" w:lineRule="exact"/>
              <w:rPr>
                <w:sz w:val="1"/>
                <w:szCs w:val="1"/>
                <w:color w:val="auto"/>
              </w:rPr>
            </w:pPr>
          </w:p>
        </w:tc>
        <w:tc>
          <w:tcPr>
            <w:tcW w:w="120" w:type="dxa"/>
            <w:vAlign w:val="bottom"/>
            <w:tcBorders>
              <w:top w:val="single" w:sz="8" w:color="C6D9F1"/>
            </w:tcBorders>
          </w:tcPr>
          <w:p>
            <w:pPr>
              <w:spacing w:after="0" w:line="20" w:lineRule="exact"/>
              <w:rPr>
                <w:sz w:val="1"/>
                <w:szCs w:val="1"/>
                <w:color w:val="auto"/>
              </w:rPr>
            </w:pPr>
          </w:p>
        </w:tc>
        <w:tc>
          <w:tcPr>
            <w:tcW w:w="1680" w:type="dxa"/>
            <w:vAlign w:val="bottom"/>
            <w:tcBorders>
              <w:top w:val="single" w:sz="8" w:color="C6D9F1"/>
              <w:bottom w:val="single" w:sz="8" w:color="auto"/>
            </w:tcBorders>
          </w:tcPr>
          <w:p>
            <w:pPr>
              <w:spacing w:after="0" w:line="20" w:lineRule="exact"/>
              <w:rPr>
                <w:sz w:val="1"/>
                <w:szCs w:val="1"/>
                <w:color w:val="auto"/>
              </w:rPr>
            </w:pPr>
          </w:p>
        </w:tc>
        <w:tc>
          <w:tcPr>
            <w:tcW w:w="100" w:type="dxa"/>
            <w:vAlign w:val="bottom"/>
            <w:tcBorders>
              <w:top w:val="single" w:sz="8" w:color="C6D9F1"/>
            </w:tcBorders>
          </w:tcPr>
          <w:p>
            <w:pPr>
              <w:spacing w:after="0" w:line="20" w:lineRule="exact"/>
              <w:rPr>
                <w:sz w:val="1"/>
                <w:szCs w:val="1"/>
                <w:color w:val="auto"/>
              </w:rPr>
            </w:pPr>
          </w:p>
        </w:tc>
        <w:tc>
          <w:tcPr>
            <w:tcW w:w="1680" w:type="dxa"/>
            <w:vAlign w:val="bottom"/>
            <w:tcBorders>
              <w:top w:val="single" w:sz="8" w:color="C6D9F1"/>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Certain locations support multiple brands.</w:t>
      </w: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also license the Budget brand to independent commercial owners who generally pay royalty fees to us based on a percentage of applicable revenues. In 2022, these royalty fees totaled approximately 1% of our Budget revenues.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Budget offers its customers several products and services similar to Avis, such as refueling options, roadside assistance, electronic toll collection, curbside delivery and other supplemental rental products, emailed receipts and special rental rates for frequent renters. In addition, Budget’s mobile application allows customers to reserve,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modify and cancel reservations on their mobile device, and its Fastbreak or QuickPass service expedites rental service for frequent travelers.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Budget Truck</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Budget Truck rental business is one of the largest local and one-way truck and cargo van rental businesses in the United States. As of December 31, 2022, our Budget Truck fleet is comprised of approximately 19,000 vehicles that are rented through a network of approximately 415 dealer-operated and 390 Company-operated locations throughout the continental United States. These dealers are independently-owned businesses that generally operate other retail service businesses. In addition to their principal businesses, the dealers rent our light- and medium-duty trucks and commercial cargo vans to customers and are responsible for collecting payments on our behalf. The dealers receive a commission on all truck, van and ancillary equipment rentals. The Budget Truck rental business serves both the light commercial and consumer sectors. The light commercial sector consists of a wide range of businesses that rent light- to medium-duty trucks, which we define as trucks having a gross vehicle weight of less than 26,000 pounds, for a variety of commercial applications. The consumer sector consists primarily of individuals who rent trucks to move household goods on either a one-way or local basis.</w:t>
      </w:r>
    </w:p>
    <w:p>
      <w:pPr>
        <w:spacing w:after="0" w:line="20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2022, our Company-operated Budget vehicle rental operations generated total revenues of approximately $4.7 billion. The following graphs present the approximate composition of our Budget revenues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6437630" cy="1825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3763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Zipcar is a leading car sharing network, driven by a mission to enable simple and responsible urban living. With its wide variety of self-service vehicles available by the hour or day, Zipcar offers comprehensive, convenient and flexible car sharing options in urban areas and college campuses in hundreds of cities and towns. Zipcar provides its members on-demand, self-service vehicles in reserved parking spaces located in neighborhoods, business districts, office complexes and college campuses, as an alternative to car ownership. We continue to offer our Zipcar Flex product in London providing for one-way rentals, including to and from Heathrow airport, which can be parked in public on-street spots in designated areas of the city.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Brands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other brands include the following:</w:t>
      </w:r>
    </w:p>
    <w:p>
      <w:pPr>
        <w:spacing w:after="0" w:line="252" w:lineRule="exact"/>
        <w:rPr>
          <w:sz w:val="20"/>
          <w:szCs w:val="20"/>
          <w:color w:val="auto"/>
        </w:rPr>
      </w:pPr>
    </w:p>
    <w:p>
      <w:pPr>
        <w:jc w:val="both"/>
        <w:ind w:left="66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Payless, a leading rental car supplier serving the deep-value segment of the industry, which we license or operate in approximately 265 locations worldwide, including more than 175 locations operated by licensees and approximately 90 Company-operated locations.</w:t>
      </w:r>
    </w:p>
    <w:p>
      <w:pPr>
        <w:spacing w:after="0" w:line="197" w:lineRule="exact"/>
        <w:rPr>
          <w:rFonts w:ascii="Arial" w:cs="Arial" w:eastAsia="Arial" w:hAnsi="Arial"/>
          <w:sz w:val="18"/>
          <w:szCs w:val="18"/>
          <w:color w:val="auto"/>
        </w:rPr>
      </w:pPr>
    </w:p>
    <w:p>
      <w:pPr>
        <w:ind w:left="1300" w:hanging="320"/>
        <w:spacing w:after="0" w:line="287" w:lineRule="auto"/>
        <w:tabs>
          <w:tab w:leader="none" w:pos="1323"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Company-operated Payless locations are primarily located in North America, the majority of which are at or near major airports. Payless’ rental fees are often lower than those of larger, more established vehicle rental brands.</w:t>
      </w:r>
    </w:p>
    <w:p>
      <w:pPr>
        <w:spacing w:after="0" w:line="179" w:lineRule="exact"/>
        <w:rPr>
          <w:rFonts w:ascii="Arial" w:cs="Arial" w:eastAsia="Arial" w:hAnsi="Arial"/>
          <w:sz w:val="18"/>
          <w:szCs w:val="18"/>
          <w:color w:val="auto"/>
        </w:rPr>
      </w:pPr>
    </w:p>
    <w:p>
      <w:pPr>
        <w:ind w:left="1300" w:hanging="320"/>
        <w:spacing w:after="0" w:line="287" w:lineRule="auto"/>
        <w:tabs>
          <w:tab w:leader="none" w:pos="1323"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Payless business model allows us to extend the life-cycle of a portion of our rental fleet, as we “cascade” certain vehicles that exceed certain Avis and Budget age or mileage thresholds to be used by Payless.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Maggiore and Morini Rent, leading vehicle rental brands in Italy.</w:t>
      </w:r>
    </w:p>
    <w:p>
      <w:pPr>
        <w:spacing w:after="0" w:line="251"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Maggiore has a strong local reputation and benefits from a strong presence at airport, off-airport and railway locations and from the integration of our existing operations and rental fleet management expertise. We operate or license in approximately 135 rental locations throughout the country.</w:t>
      </w:r>
    </w:p>
    <w:p>
      <w:pPr>
        <w:spacing w:after="0" w:line="1" w:lineRule="exact"/>
        <w:rPr>
          <w:rFonts w:ascii="Arial" w:cs="Arial" w:eastAsia="Arial" w:hAnsi="Arial"/>
          <w:sz w:val="18"/>
          <w:szCs w:val="18"/>
          <w:color w:val="auto"/>
        </w:rPr>
      </w:pPr>
    </w:p>
    <w:p>
      <w:pPr>
        <w:ind w:left="1300" w:hanging="320"/>
        <w:spacing w:after="0" w:line="266"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Morini Rent offers rental of cars, vans, and refrigerated vehicles. We operate in approximately 45 rental locations throughout the country.</w:t>
      </w:r>
    </w:p>
    <w:p>
      <w:pPr>
        <w:spacing w:after="0" w:line="1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FranceCars, which operates one of the largest light commercial vehicle rental fleets in France in approximately 75 rental locations and leverages our existing operational processes and local customer base.</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Apex, which operates in approximately 30 rental locations at, or near, major airports and in several metropolitan cities in New Zealand and Australia.</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Turiscar, a leading vehicle rental brand in Portugal, which operates primarily in the corporate market, including light commercial vehicles, at approximately 25 rental locations throughout the country.</w:t>
      </w:r>
    </w:p>
    <w:p>
      <w:pPr>
        <w:spacing w:after="0" w:line="20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ACL Hire, a provider of quality vehicle rental and maintenance services in the UK, with a strong focus on light commercial vehicles.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RESERVATIONS, MARKETING AND SALES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Reservations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customers can make vehicle rental reservations through our brand-specific websites and toll-free reservation centers, through our brand-specific mobile applications, online travel agencies, travel agents or through selected partners, including many major airlines, associations and retailers. Travel agents can access our reservation systems through all major global distribution systems, which provide information with respect to rental locations, vehicle availability and applicable rate structures.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Zipcar members can reserve vehicles through Zipcar’s reservation system, which is accessible online or on a mobile device, by the minute, hour, or day, at rates that include gasoline, secondary insurance and other costs associated with vehicle ownership.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Marketing and Sales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support our brands through a range of marketing channels and campaigns, including traditional media as well as digital media, including Internet and email marketing, social media, streaming services, and mobile device applications. We market through sponsorships of major sports entities. We also market through sponsorships of charitable organizations. We utilize a customer relationship management system that enables us to deliver more targeted and relevant offers to customers across online and offline channels, including an expedited and contactless rental process, and loyalty programs that reward frequent renters with free rental days and car class upgrades.</w:t>
      </w:r>
    </w:p>
    <w:p>
      <w:pPr>
        <w:spacing w:after="0" w:line="20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maintain strong links to the travel industry including marketing alliances with numerous marketing partners, such as airlines and major hotel companies. In addition, we have developed relationships that provide brand exposure and access to new customers, including deals to provide vehicles to ride-hail drivers in cities across North America.</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2022, approximately 60% of vehicle rental transactions originating from our Company-operated Avis locations were generated by travelers who rented from Avis under contracts between Avis and their employers or through membership in an organization with which Avis has a contractual affiliation. We offer Business Intelligence, an online portal complete with rental summary dashboards, visualizations and detailed reports that provides our corporate customers with insight into their program’s performance, giving them direct access to more data in a customer-facing portal offering useful data insights, including options to customize and schedule reports. Avis also</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maintains marketing relationships with other organizations through which we are able to provide their customers with incentives to rent from Avis.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Additionally, we offer “Unlimited Rewards,” an award-winning loyalty incentive program for travel agents, and Avis and Budget programs for small businesses that offer discounted rates, central billing options and rental credits to members.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Zipcar brand utilizes a diverse set of marketing and sales strategies to acquire and engage members, including digital marketing, email and in-app messaging, and social media engagement. Zipcar maintains close relationships with universities that provide access to campuses and various marketing channels to attract students who, upon graduation, may continue their relationship with us. Through our Zipcar for Business program, we also offer direct-bill accounts and employee benefit programs to companies and governments that support the use of Zipcars.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LICENSING</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licensees in approximately 175 countries throughout the world. Royalty fee revenues derived from our vehicle rental licensees in 2022 totaled $134 million, with approximately $ 92 million in our International segment and $42 million in our Americas segment. Licensed locations are independently operated by our licensees and range from large operations at major airport locations and territories encompassing entire countries to relatively small operations in suburban or rural locations. Our licensees generally maintain separate independently owned and operated fleets. Royalties generated from licensing provide us with a source of high-margin revenue because there are relatively limited additional costs associated with fees paid by licensees to us. In some geographies we facilitate one-way vehicle rentals between Company-operated and licensed locations, which enables us to offer an integrated network of locations to our customers.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generally enjoy good relationships with our licensees and meet regularly with them at regional, national and international meetings. Our relationships with our licensees are governed by license agreements that grant the licensee the right to operate independently operated vehicle rental businesses in certain territories. Our license agreements generally provide our licensees with the exclusive right to operate under one or more of our brands in their assigned territory. These agreements impose obligations on the licensee regarding its operations, and most agreements restrict the licensee’s ability to sell, transfer or assign its rights granted under the license agreement or to change the control of its ownership without our consent.</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terms of our license agreements, including duration, royalty fees and termination provisions, vary based upon brand, territory, and original signing date. Royalty fees are generally structured to be a percentage of the licensee’s gross rental income. We maintain the right to monitor the operations of licensees and, when applicable, can declare a licensee to be in default under its license agreement. We perform audits as part of our program to assure licensee compliance with brand quality standards and contract provisions. Generally, we can terminate license agreements for certain defaults, including failure to pay royalties or to adhere to our operational standards. Upon termination of a license agreement, the licensee is prohibited from using our brand names and related marks in any business. In the United States, these license relationships constitute “franchises” under most federal and state laws regulating the offer and sale of franchises and the relationship of the parties to a franchise agreement.</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continue to optimize the Avis and Budget brands by issuing new license agreements and periodically acquiring licensees to grow our revenues and expand our global presence. Discussion of our acquisitions is included in Note 6 – Acquisitions to the Consolidated Financial Statements included in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to revenues derived from time and mileage fees from our vehicle rentals and licensee royalties, we generate revenues from our customers through the sale and/or rental of optional ancillary products and services. We offer products to customers that will enhance their rental experience, including:</w:t>
      </w:r>
    </w:p>
    <w:p>
      <w:pPr>
        <w:spacing w:after="0" w:line="198" w:lineRule="exact"/>
        <w:rPr>
          <w:sz w:val="20"/>
          <w:szCs w:val="20"/>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collision and loss damage waivers, under which we agree to relieve a customer from financial responsibility arising from vehicle damage incurred during the rental;</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right="2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additional/supplemental liability insurance or personal accident/effects insurance products which provide customers with additional protections for personal or third-party losses incurred;</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products for driving convenience such as fuel service options, roadside assistance services, electronic toll collection services, curbside delivery, tablet rentals, access to satellite radio, portable navigation units and child safety seat rentals; and</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products that supplement truck rental including automobile towing equipment and other moving accessories such as hand trucks, furniture pads and moving supplies.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offer customized bundling of certain of these ancillary products and services, allowing our customers to benefit from discounted pricing and providing customers the flexibility to add multiple products or services that suit their needs.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receive payment from our customers for certain operating expenses that we incur, including vehicle licensing fees, as well as airport concession fees that we pay in exchange for the right to operate at airports and other locations. In addition, we collect membership fees in connection with our car sharing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FLEET</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offer a wide variety of vehicles in our rental fleet, including luxury cars, electric, hybrid and fuel efficient vehicles, specialty-use vehicles and light commercial vehicles. Our fleet consists primarily of vehicles from the current and immediately preceding model year. We maintain a single fleet of vehicles for Avis and Budget in countries where we operate both brands. A substantial majority of Zipcar’s fleet is dedicated to use by Zipcar.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Purchases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maintain a diverse rental fleet, in which no vehicle manufacturer represented more than 21% of our 2022 fleet purchases, and we regularly adjust our fleet levels to be consistent with demand. We participate in a variety of vehicle purchase programs with major vehicle manufacturers. In 2022, we primarily purchased vehicles from Stellantis N.V., Toyota Motor Corporation, Hyundai Motor Group, General Motors Company, Ford Motor Company, Volkswagen Group and Renault-Nissan-Mitsubishi Alliance.</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Fleet costs represented approximately 10% of our aggregate expenses in 2022. Fleet costs can vary from year to year based on the prices at which we are able to purchase and dispose of rental vehicles, the mix of risk and program vehicles, holding periods, and overall fleet mix.</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2022, approximately 12% of our average rental fleet was comprised of vehicles subject to agreements requiring automobile manufacturers to repurchase vehicles at a specified price during a specified time period or guarantee our rate of depreciation on the vehicles during a specified period of time; or vehicles subject to operating leases with a fixed lease period and interest rate. We refer to vehicles subject to these agreements as “program” vehicles and vehicles not subject to these agreements as “risk” vehicles because we retain the risk associated with such vehicles’ residual values at the time of their disposition. Our agreements with automobile manufacturers typically require that we pay more for program vehicles and maintain them in our fleet for a minimum number of months and impose certain return conditions, including vehicle condition and mileage requirements. When we return program vehicles to the manufacturer, we receive the price guaranteed at the time of purchase and are therefore protected from fluctuations in the price of previously-owned vehicles in the wholesale market. In 2022, approximately 24% of the vehicles we disposed of were sold pursuant to repurchase or guaranteed depreciation programs. Over the past several years, program vehicles have comprised of a decreasing proportion of our fleet. The approximate percentage of program vehicles in our average rental fleet within each of our reporting segments in 2022 was 44% for International and less than 1% for the Americas, respectively. The future percentages of program and risk vehicles in our fleet will depend on several factors, including our expectations for future used vehicle prices, our seasonal needs and the availability and attractiveness of manufacturers’ repurchase and guaranteed depreciation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Dispositions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dispose of our risk vehicles largely through alternative disposition channels, including direct-to-consumer, online auctions, and direct-to-dealer sales, as well as through more traditional automobile auctions. Alternative disposition channels provide the opportunity to increase vehicle sales prices and reduce relevant fleet costs compared to selling vehicles at auctions. Ultimate Test Drive program, retail locations, and RubyCar, our online retail sales platform, offer customers the ability to purchase well-maintained, late-model rental vehicles from our fleet. We dispose of our program vehicles in accordance with repurchase or guaranteed depreciation programs with major vehicle manufacturers.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Utilization</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2022, our average quarterly vehicle rental fleet size ranged from a low of approximately 594,000 vehicles in the first quarter to a high of approximately 707,000 vehicles in the third quarter. Average fleet utilization for 2022, which is based on the number of rental days (or portion thereof) that vehicles are rented compared to the total amount of time that vehicles are available for rent, ranged from approximately 67% to approximately 71%. Our average car rental fleet size and utilization are typically highest in the summer months. Our calculation of utilization may not be comparable to other companies’ calculation of similarly titled metrics.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Maintenance</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place a strong emphasis on the quality of our vehicle maintenance for customer safety and customer satisfaction reasons, and because quick and proper repairs are critical to fleet utilization. To accomplish this task, we have developed and continue to evolve specialized training programs for our technicians. Our Supply Chain Department reviews, distributes, and makes accessible OEM technical service bulletins that can be retrieved electronically at our repair locations. In addition, we have implemented policies and procedures to promptly address manufacturer recalls as part of our ongoing maintenance and repair efforts to maximize the customer experience.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 SERVICE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commitment to delivering a consistently high level of customer service across all of our brands is a critical element of our success and business strategy. Our </w:t>
      </w:r>
      <w:r>
        <w:rPr>
          <w:rFonts w:ascii="Arial" w:cs="Arial" w:eastAsia="Arial" w:hAnsi="Arial"/>
          <w:sz w:val="18"/>
          <w:szCs w:val="18"/>
          <w:i w:val="1"/>
          <w:iCs w:val="1"/>
          <w:color w:val="auto"/>
        </w:rPr>
        <w:t>Customer Led, Service Driven</w:t>
      </w:r>
      <w:r>
        <w:rPr>
          <w:rFonts w:ascii="Arial" w:cs="Arial" w:eastAsia="Arial" w:hAnsi="Arial"/>
          <w:sz w:val="18"/>
          <w:szCs w:val="18"/>
          <w:color w:val="auto"/>
        </w:rPr>
        <w:t>™ program focuses on continually improving the overall customer experience based on our research of customer service practices, improved customer insights, executing our customer relationship management strategy, delivering customer-centric employee training and leverage our mobile applications technology and the enriched experience it provides our customers. In addition, our social media platform allows us to engage with our customers in their preferred channel, which enables us to meet the needs of our customers while promoting our brands to gain more market share and drive customer loyalty.</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employees at our Company-operated locations are trained and empowered to resolve most customer issues at the location level. We also continuously track customer-satisfaction levels by sending location-specific surveys to recent customers and utilize detailed reports and tracking to assess and identify ways that we can improve our customer service delivery and the overall customer experience. Our location-specific surveys ask customers to evaluate their overall satisfaction with their rental experience and the likelihood that they will recommend our brands, as well as key elements of the rental experience. Results are analyzed in aggregate and by location to help further enhance our service levels to our customers.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offer rental options that provide greater control, self-service and contactless capabilities. While our mobile applications provide a fast customer experience, a company representative is available to meet customers’ needs. Our survey platform includes specific questions to learn more about individual preferences and find innovative ways to better serve and anticipate our customers’ needs.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AIRPORT CONCESSION AGREEMENTS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generally operate our vehicle rental and car sharing services at airports under concession agreements with airport authorities, pursuant to which we typically make airport concession payments and/or lease payments. In general, concession fees for on-airport locations are based on a percentage of total commissionable revenues (as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defined by each airport authority), often subject to minimum annual guaranteed amounts. Concessions are typically awarded by airport authorities every three to ten years based upon competitive bids. Our concession agreements with the various airport authorities generally impose certain minimum operating requirements, provide for relocation in the event of future construction and provide for abatement of the minimum annual guarantee in the event of extended low passenger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057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BUSINESS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operations are also seasonal, with the third quarter of the year historically having been our strongest due to the increased level of leisure travel during the quarter. We have a partially variable cost structure and routinely adjust the size, and therefore the cost, of our rental fleet in response to fluctuations in demand.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presents our quarterly revenues for the years ended December 31, 2020,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17780</wp:posOffset>
            </wp:positionV>
            <wp:extent cx="5709285" cy="2280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928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competitive environment for our industry is generally characterized by intense price and service competition among global, local and regional competitors. Competition in our vehicle rental operations is based primarily upon price, customer service quality, including usability of booking systems and ease of rental and return, vehicle availability, reliability, rental locations, product innovation and national or international distribution. In addition, competition is also influenced strongly by advertising, marketing, loyalty programs and brand reputation. We believe the prominence and service reputation of our brands, extensive worldwide ownership of mobility solutions and commitment to innovation provides us with a competitive advantage.</w:t>
      </w:r>
    </w:p>
    <w:p>
      <w:pPr>
        <w:spacing w:after="0" w:line="20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use of technology has increased pricing transparency among vehicle rental companies and other mobility solutions providers enabling cost-conscious customers to more easily compare on the Internet and their mobile devices the rates available for the mobility solutions that fit their needs. This transparency has further increased the prevalence and intensity of price competition in the industry.</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vehicle rental operations compete primarily with Enterprise Holdings, Inc., which operates the Enterprise, National and Alamo car rental brands; Hertz Global Holdings, Inc., which operates the Hertz, Dollar and Thrifty brands; Europcar Mobility Group, which operates the Europcar, Goldcar, InterRent, Buchbinder, Fox Rent A Car and Ubeeqo brands; and Sixt SE. We also compete with smaller local and regional vehicle rental companies for vehicle rental market share, and with ride-hailing companies largely for short length trips in urban areas. Our Zipcar brand also competes with various local and regional mobility companies, including mobility services sponsored by several auto manufacturers, ride-hailing and car sharing companies and other technology players in the mobility industry. Our Budget Truck operations in the United States competes with several other local, regional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and nationwide truck rental companies including U-Haul International, Inc., Penske Truck Leasing Corporation, Ryder System, Inc., Enterprise Truck Rental, and Hertz.</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 AND RISK MANAGEMENT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vehicle rental and corporate operations expose us to various types of claims for bodily injury, death and property damage related to the use of our vehicles and/or properties, as well as general employment-related matters stemming from our operations. In addition, we currently purchase insurance coverage to limit our exposure to legal fees and expenses resulting from cybersecurity breaches. We generally retain economic exposure for liability to third parties arising from vehicle rental and car sharing services in the United States, Canada, Puerto Rico and the U.S. Virgin Islands, in accordance with the minimum financial responsibility requirements (“MFRs”) and primacy of coverage laws of the relevant jurisdiction. In certain cases, we assume liability above applicable MFRs, up to $5 million per occurrence, other than in cases involving a negligent act on the part of the Company, for which we purchase insurance coverage for exposures beyond retained amounts from a combination of unaffiliated excess insurers.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Europe, we insure the risk of liability to third parties arising from vehicle rental and car sharing services in accordance with local regulatory requirements primarily through insurance policies provided by unaffiliated insurers. We retain a portion of the insured risk of liability through local deductibles, and by reinsuring certain risks through our captive insurance subsidiary AEGIS Motor Insurance Limited. In Australasia, motor vehicle bodily injury insurance coverage is compulsory and provided upon vehicle registration. In addition, we provide our customers with third-party property damage insurance through an unaffiliated third-party insurer. We retain a share of property damage risk through local deductibles. AEGIS Motor Insurance Limited reinsures certain risks through unaffiliated companies, which limits its liabilities.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offer our U.S. customers a range of optional insurance products and coverages such as supplemental liability insurance, personal accident insurance, personal effects protection, emergency sickness protection, automobile towing protection and cargo insurance, which create additional risk exposure for us. When a customer elects to purchase supplemental liability insurance or other optional insurance related products, we typically retain economic exposure to loss, since the insurance is provided by an unaffiliated insurer that is reinsuring its exposure through our captive insurance subsidiary, Constellation Reinsurance Co., Ltd. Additional personal accident insurance offered to our customers in Europe is provided by a third-party insurer, and primarily reinsured by our Avis Budget Europe International Reinsurance Limited subsidiary. We otherwise bear these and other risks, except to the extent that the risks are transferred through insurance or contractual arrangements.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INTELLECTUAL PROPERTY</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rely primarily on a combination of trademark, trade secret and copyright laws, as well as contractual provisions with employees and third parties, to establish and protect our intellectual property rights. The service marks “Avis,” “Budget” and “Zipcar” and related marks or designs incorporating such terms and related logos and marks such as “We Try Harder,” “We Know The Road” and “Own The Trip, Not The Car” are material to our vehicle rental and car sharing businesses. Our subsidiaries and licensees actively use these marks. All of the material marks used by Avis, Budget and Zipcar are registered (or have applications pending for registration) with the U.S. Patent and Trademark Office as well as in foreign jurisdictions. Our subsidiaries own the marks and other intellectual property, including the Wizard system, used in our business. We also own trademarks and logos related to the “Apex Car Rentals” brand in Australia and New Zealand, the “Payless Car Rental” brand in the United States and several other countries, the “Maggiore” and “Morini Rent” brands in Italy, the “FranceCars” brand in France and the “Turiscar” brand in Portugal. Our subsidiaries have also filed patent applications pertaining to fleet and connected car technology in the U.S. and other countries.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SOCIAL &amp; GOVERNANCE (“ESG”)</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recognize our role as one of the world’s leading mobility solutions providers. As a result, we are focused on supporting the transition to a low-carbon economy and employ practices designed to promote a more fair, just and equal workplace and community.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The Environment: </w:t>
      </w:r>
      <w:r>
        <w:rPr>
          <w:rFonts w:ascii="Arial" w:cs="Arial" w:eastAsia="Arial" w:hAnsi="Arial"/>
          <w:sz w:val="18"/>
          <w:szCs w:val="18"/>
          <w:color w:val="auto"/>
        </w:rPr>
        <w:t>We are committed to offering safe and low-carbon transportation solutions:</w:t>
      </w:r>
    </w:p>
    <w:p>
      <w:pPr>
        <w:spacing w:after="0" w:line="252" w:lineRule="exact"/>
        <w:rPr>
          <w:sz w:val="20"/>
          <w:szCs w:val="20"/>
          <w:color w:val="auto"/>
        </w:rPr>
      </w:pPr>
    </w:p>
    <w:p>
      <w:pPr>
        <w:jc w:val="both"/>
        <w:ind w:left="660" w:hanging="328"/>
        <w:spacing w:after="0" w:line="26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Greenhouse Gas Emissions: As our corporate and leisure customers become increasingly aware and concerned about pollution and congestion caused by vehicles, we aim to provide sustainable transportation solutions by leveraging connected vehicle technology and introducing more fuel efficient and low emission vehicles.</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Sustainable Operations: We are driving the efficiencies needed to reduce our environmental impact and enhance the sustainability of our operations. These are mainly driven by improvements in vehicle preventive maintenance, the incorporation of green building practices and by complying with environmental regulations.</w:t>
      </w:r>
    </w:p>
    <w:p>
      <w:pPr>
        <w:spacing w:after="0" w:line="19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Carbon Offset Program: We work closely with our corporate customers to help them achieve their environmental impact reduction targets through our carbon offset program.</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Sustainable Fleet: We are actively anticipating and driving changes in mobility. Connected and autonomous vehicles are likely to become a common feature worldwide, along with an increased use of electric and shared vehicles, which is why we are building on our core experience, data intelligence and technology to develop entirely new lines of business and extend our offering and capabilities for our customers, businesses and cities. Our efforts include:</w:t>
      </w:r>
    </w:p>
    <w:p>
      <w:pPr>
        <w:spacing w:after="0" w:line="189" w:lineRule="exact"/>
        <w:rPr>
          <w:rFonts w:ascii="Arial" w:cs="Arial" w:eastAsia="Arial" w:hAnsi="Arial"/>
          <w:sz w:val="18"/>
          <w:szCs w:val="18"/>
          <w:color w:val="auto"/>
        </w:rPr>
      </w:pPr>
    </w:p>
    <w:p>
      <w:pPr>
        <w:jc w:val="both"/>
        <w:ind w:left="980" w:hanging="324"/>
        <w:spacing w:after="0" w:line="278" w:lineRule="auto"/>
        <w:tabs>
          <w:tab w:leader="none" w:pos="976" w:val="left"/>
        </w:tabs>
        <w:numPr>
          <w:ilvl w:val="1"/>
          <w:numId w:val="15"/>
        </w:numPr>
        <w:rPr>
          <w:rFonts w:ascii="Arial" w:cs="Arial" w:eastAsia="Arial" w:hAnsi="Arial"/>
          <w:sz w:val="18"/>
          <w:szCs w:val="18"/>
          <w:color w:val="auto"/>
        </w:rPr>
      </w:pPr>
      <w:r>
        <w:rPr>
          <w:rFonts w:ascii="Arial" w:cs="Arial" w:eastAsia="Arial" w:hAnsi="Arial"/>
          <w:sz w:val="18"/>
          <w:szCs w:val="18"/>
          <w:color w:val="auto"/>
        </w:rPr>
        <w:t>Car Sharing: Zipcar continually improves its car sharing technology, which includes its mobile member app, in-vehicle telematics hardware, and reservation, fleet management and community management systems. Zipcar’s technology platform is key to providing a successful self-service experience for its members and effectively managing a distributed fleet of vehicles and associated parking locations. With more than one million members worldwide, Zipcar is helping reduce traffic and congestion.</w:t>
      </w:r>
    </w:p>
    <w:p>
      <w:pPr>
        <w:spacing w:after="0" w:line="188" w:lineRule="exact"/>
        <w:rPr>
          <w:rFonts w:ascii="Arial" w:cs="Arial" w:eastAsia="Arial" w:hAnsi="Arial"/>
          <w:sz w:val="18"/>
          <w:szCs w:val="18"/>
          <w:color w:val="auto"/>
        </w:rPr>
      </w:pPr>
    </w:p>
    <w:p>
      <w:pPr>
        <w:ind w:left="980" w:right="20" w:hanging="324"/>
        <w:spacing w:after="0" w:line="285" w:lineRule="auto"/>
        <w:tabs>
          <w:tab w:leader="none" w:pos="976" w:val="left"/>
        </w:tabs>
        <w:numPr>
          <w:ilvl w:val="1"/>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Connected Vehicles: Connected vehicles support our ability to reduce emissions through a steadfast focus on fleet maintenance and optimization</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6" w:val="left"/>
        </w:tabs>
        <w:numPr>
          <w:ilvl w:val="1"/>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Fleet Efficiency: We offer our customers the opportunity to choose from a wide variety of vehicles, including hybrids, electric or fuel-efficient vehicles at almost all of our locations. Our fleet consists primarily of vehicles from the current and immediately preceding model year - this ensures the highest possible standards of air emissions control.</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Social: </w:t>
      </w:r>
      <w:r>
        <w:rPr>
          <w:rFonts w:ascii="Arial" w:cs="Arial" w:eastAsia="Arial" w:hAnsi="Arial"/>
          <w:sz w:val="18"/>
          <w:szCs w:val="18"/>
          <w:color w:val="auto"/>
        </w:rPr>
        <w:t>We believe that our success has its foundation in how we treat our employees. We seek to foster an environment where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among our employees is open, honest, and respectful; performance is recognized; growth is encouraged; and accomplishments - individual and collective - are celebrated. We also seek to support the well-being and development of the people we employ and the communities in which they work. Our efforts include:</w:t>
      </w:r>
    </w:p>
    <w:p>
      <w:pPr>
        <w:spacing w:after="0" w:line="203" w:lineRule="exact"/>
        <w:rPr>
          <w:sz w:val="20"/>
          <w:szCs w:val="20"/>
          <w:color w:val="auto"/>
        </w:rPr>
      </w:pPr>
    </w:p>
    <w:p>
      <w:pPr>
        <w:jc w:val="both"/>
        <w:ind w:left="660" w:hanging="328"/>
        <w:spacing w:after="0" w:line="262"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Giving Back: We are a global company with local reach in numerous communities around the world. Whether we work individually or as a team, doing the right thing and supporting our communities helps employees feel their work is more than just a job, and makes them feel proud to be part of the Avis Budget Group family. As well as encouraging our employees to volunteer in their local communities, we are committed to supporting a variety of causes and charities that aid people in crisis situations.</w:t>
      </w:r>
    </w:p>
    <w:p>
      <w:pPr>
        <w:spacing w:after="0" w:line="203"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Supporting Community Resilience: Over the past 70 years, we have developed strong competencies in responding to business disruptions. Whether the disruption is man-made, an extreme weather event or a global health crisis, our business continuity programs are central to how we respond in times of crisis. Our program’s focus is on preparing and protecting our people, property and infrastructure. We utilize an “all hands on deck” approach within our incident management and command structure to ensure that we respond as rapidly and effectively as possible. We have also developed longstanding partnerships with leading national disaster response agencies, which strengthen our ability to provide support to affected customers, employees and communities.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Governance: </w:t>
      </w:r>
      <w:r>
        <w:rPr>
          <w:rFonts w:ascii="Arial" w:cs="Arial" w:eastAsia="Arial" w:hAnsi="Arial"/>
          <w:sz w:val="18"/>
          <w:szCs w:val="18"/>
          <w:color w:val="auto"/>
        </w:rPr>
        <w:t>Our Board of Directors monitors the effectiveness of our policy and decision making, including with respect to ESG,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and long-term value of our company.</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most recent Corporate Governance documents are available on the Company’s website. The information contained on the Company’s website is not included in, or incorporated by reference into,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HUMAN CAPITAL RESOURCES AND MANAGEMENT</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human capital objectives include identifying, recruiting, retaining, incentivizing and integrating our existing and future or prospective employees. Our compensation program is designed to attract, retain and motivate highly qualified employees and executives.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2022, we employed approximately 24,500 people worldwide, of whom approximately 6,000 were employed on a part-time basis. Of our approximately 24,500 employees, approximately 8,000 were employed in our International segment. In our Americas segment, the majority of our employees are at-will employees and, therefore, not subject to any type of employment contract or agreement. In our International segment, we enter into employment contracts and agreements in those countries in which such relationships are mandatory or customary. The provisions of these agreements correspond in each case with the required or customary terms in the subject jurisdiction. Many of our employees are covered by a variety of union contracts and governmental regulations affecting, among other things, compensation, job retention rights and pensions.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strive to maintain satisfactory relationships with all of our employees, including the unions and work councils representing these employees. As of December 31, 2022, approximately 28% of our employees were covered by collective bargaining or similar agreements with various labor unions. We believe our employee relations are satisfactory. We have never experienced a large-scale work stoppage.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Supporting our employees with the right benefits is one of the most important things we do. We understand benefits are a key element to a total reward package, so ensuring we provide meaningful benefit programs and resources across the globe is an integral part of how we reward employees, including with respect to healthcare and retirement. As a global company, benefits will vary by country to reflect local practices and cultures, but our commitment to providing comprehensive and meaningful benefits and resources is consistent across the world. We continuously review and, when necessary, update our programs to ensure they remain flexible, competitive, and aligned to what is important for our employees and their families.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Gender Pay Equity</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ensure we are compensating both men and women employees fairly and equitably, we utilize a global Center of Excellence total rewards function which standardizes and harmonizes our rewards programs across all countries. As a result, we have established pay programs that provide for equal incentive pay opportunity for all employees in same or similar positions across the globe. Additionally, we utilize global guidelines and standards to inform compensation decisions for all new hires and promotions. To monitor our performance for our management employees, we evaluate base salary placement relative to our internal salary ranges for men and women. For our hourly field workforce (non-management employees), we maintain pay equity through our standardized compensation practices in which all employees begin at the same start rate, based on their location and position, and annual pay increases are applied consistently to all employees based on tenure.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Recruitment and Development</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talent strategy is solidly rooted in attracting and retaining a diverse workforce. We run numerous recruitment programs that aim to give back to our local communities. Our Talent Acquisition teams have strong relationships with organizations that help us reach a diverse pool of candidates including LGBTQ+ and those with disabilities. We believe that our employees possess a wealth of knowledge that could and should be shared with others. We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have a wealth of established learning and talent programs that we make available to our employees, including a digital learning platform that has transformed the way we produce, manage and share learning resources.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Inclusion and Belonging</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embrace diversity and inclusion. We value each employee around the world, whose talent, skill and personality have helped establish us as a leading global mobility provider. We believe that embracing and promoting diversity is a critical component of our success and we have committed to creating a safe, supportive and inclusive environment. As an equal-opportunity employer, we are proud to provide an inclusive workplace that embraces and celebrates demographic, cultural and lifestyle differences. We strive to have a diverse and inclusive work environment where employees feel valued for their uniqueness, recognized for their diverse talents, and where they can bring their whole selves to work. We have created employee resource groups (“ERGs”) to advocate for equality, provide opportunities for advancement, and facilitate discussion around best practices and resources to advance more targeted cultural and racial understanding and diversity. These ERGs provide a space where employees can foster connections and develop in a supportive environment. As of the end of 2022, we had the following ERGs: Power of Women, Power of Veterans, Power of Pride, and Power of Color.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health and safety of our employees is our highest priority because our people are our most valuable asset. Consistent with our operating philosophy, we are committed to safety and our core belief is that health and safety is every employee’s responsibility, not only for our employees but for our customers, vendors, and all stakeholders. We currently collect incident rates to track safety performance for our United States operations, which represents our largest employee population.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Well-being</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take a holistic approach to well-being. We understand that to deliver our best performance, our employees need to be healthy and happy in all areas of their lives. Our Connecting You to Well-Being program focuses on helping our people achieve all aspects of wellness through encouraging habits that promote physical, emotional, and financial well-being.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REGULATION</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a wide variety of laws and regulations in the countries in which we operate, including those relating to, among others, consumer protection, insurance products and rates, franchising, customer privacy and data protection, securities and public disclosure, competition and antitrust, environmental matters, taxes, automobile-related liability, corruption and anti-bribery, labor and employment matters, health and safety, claims management, automotive retail sales, currency-exchange and other various banking and financial industry regulations, cost and fee recovery, the protection of our trademarks and other intellectual property, and local ownership or investment requirements. Additional information about the regulations that we are subject to can be found in Part I, Item 1A, “Risk Factors” in this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INFORMATION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principal executive office is located at 6 Sylvan Way, Parsippany, New Jersey 07054 (our telephone number is 973-496-4700). The Company files electronically with the Securities and Exchange Commission (the “SEC”) required reports on Form 8-K, Form 10-Q and Form 10-K; proxy materials; registration statements and other forms or reports as required. Certain of the Company’s officers, directors and stockholders also file statements of beneficial ownership and of changes in beneficial ownership on Forms 3, 4 and 5 with the SEC. Such materials may be accessed electronically on the SEC’s Internet site (sec.gov). The Company maintains a website (avisbudgetgroup.com) and copies of our annual report on Form 10-K, quarterly reports on Form 10-Q, current reports on Form 8-K, Section 16 reports, proxy materials and any amendments to these reports filed or furnished with the SEC are available free of charge in the Investor Relations section of our website (ir.avisbudgetgroup.com), as soon as reasonably practicable after filing with the SEC. Copies of our board committee charters, Codes of Conduct and Ethics, Corporate Governance Guidelines and other corporate governance information are also available on our website. If the Company should decide to amend any of its board committee charters, Codes of Conduct and Ethics or other corporate governance documents, copies of</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such amendments will be made available to the public through the Company’s website. The information contained on the Company’s website is not included in, or incorporated by reference into, this Annual Report on Form 10-K.</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ind w:left="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4057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0575" cy="163195"/>
                    </a:xfrm>
                    <a:prstGeom prst="rect">
                      <a:avLst/>
                    </a:prstGeom>
                    <a:noFill/>
                  </pic:spPr>
                </pic:pic>
              </a:graphicData>
            </a:graphic>
          </wp:anchor>
        </w:drawing>
        <w:t>ITEM 1A. RISK FACTORS</w:t>
      </w:r>
    </w:p>
    <w:p>
      <w:pPr>
        <w:sectPr>
          <w:pgSz w:w="11900" w:h="16838" w:orient="portrait"/>
          <w:cols w:equalWidth="0" w:num="1">
            <w:col w:w="11240"/>
          </w:cols>
          <w:pgMar w:left="320" w:top="985" w:right="339" w:bottom="1440" w:gutter="0" w:footer="0" w:header="0"/>
        </w:sectPr>
      </w:pPr>
    </w:p>
    <w:p>
      <w:pPr>
        <w:spacing w:after="0" w:line="3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is a discussion of the risks, uncertainties and assumptions that we believe are material to our business and should be considered carefully in conjunction with all of the other information set forth in this Annual Report on Form 10-K. Although the risks are organized by headings, and each risk is discussed separately, many are interrelated. In addition to the factors discussed elsewhere in this Annual Report on Form 10-K, the factors described in this item could, individually or in the aggregate, cause our actual results to differ materially from those described in any forward-looking statements. Should unknown risks or uncertainties materialize or underlying assumptions prove inaccurate, actual results could materially differ from past results and/or those anticipated, estimated or projected.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INDUSTRY AND THE BROADER ECONOMY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high level of competition in the mobility industry.</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mobility industry is highly competitive, with price being one of the primary factors. To the extent that our competitors reduce their pricing and we do not provide competitive pricing, or if price increases we implement make us less competitive, we risk losing rental volume, and reducing the chances of success for bids for customer accounts. If competitive pressures lead us to lose rental volume or match any downward pricing and we are unable to reduce our operating costs, then our financial condition or results of operations could be materially adversely impacted.</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pricing in the vehicle rental industry is impacted by the size of rental fleets and the supply of vehicles available for rent. Any significant fluctuations in the supply of rental vehicles, including as a result of actions taken by our competitors that increases fleet significantly above market demand, could negatively affect our pricing, operating plans or results of operations.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competitive environment for our mobility services has become more intense as additional companies, including automobile manufacturers, ride-hailing companies, car sharing companies and other technology players in the mobility industry enter our existing markets or expand their operations, which may affect demand for rental vehicles. Some of these companies may have access to substantial capital, innovative technologies or have the ability to provide services at a relatively low cost. To the extent these companies can improve transportation efficiency, alter driving patterns or attitudes toward vehicle rental, offer more competitive prices, undertake more aggressive marketing campaigns, price their competing services below market or otherwise disrupt the mobility industry, we risk heightened pricing competition and/or loss of rental volume, which could adversely impact our business and results of operations.</w:t>
      </w:r>
    </w:p>
    <w:p>
      <w:pPr>
        <w:spacing w:after="0" w:line="21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risk of competition on the basis of pricing in the truck rental industry can be even more impactful than in the car rental industry as it can be more difficult to reduce the size of our truck rental fleet in response to significantly reduced demand.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fleet costs and availability.</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Fleet costs typically represent our single largest expense and can vary from year to year based on the prices that we are able to purchase and dispose of our vehicles. We purchase program vehicles, which are guaranteed a rate of depreciation through agreements with auto manufacturers, and non-program, or “risk” vehicles. In 2022, on average approximately 88% of our rental fleet was comprised of risk vehicles.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costs of our risk vehicles may be adversely impacted by the relative strength of the used car market, particularly the market for one- to two-year old used vehicles, or potentially by the insolvency or bankruptcy of an auto manufacturer from whom we purchase vehicles. We currently sell risk vehicles through various sales channels in the used vehicle marketplace, including traditional auctions, on-line auctions, direct-to-dealer sales and directly to consumers through either retail lots or on-line. These channels may not produce stable vehicle prices in the future, as the market for used vehicles is subject to changes in demand for such vehicles, consumer interests, inventory levels, new car pricing, interest rates, fuel costs, tariffs and general economic conditions, and recent reports have suggested that prices in the used vehicle market may decrease in 2023 amid rising interest rates and improved availability of new cars and trucks. A reduction in residual values for risk vehicles in our rental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fleet could cause us to sustain a substantial loss on the sale of such vehicles or require us to depreciate those vehicles at a more accelerated rate than previously anticipated while we own them.</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market value of the vehicles in our fleet is reduced or our ability to sell vehicles in the used vehicle marketplace were to become severely limited, we may have difficulty meeting collateral requirements under our asset-backed financing facilities, which could lead to decreased capacity in such facilities and effectively increase our fleet costs or adversely impact our profitability. In addition, if we are unable to meet our collateral requirements under such facilities, the outstanding principal amount due may be required to be repaid earlier than anticipated. If that were to occur, the holders of our asset-backed debt may have the ability to exercise their right to instruct the trustee to direct the return of program vehicles and/or the sale of risk vehicles to generate proceeds sufficient to repay such debt.</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Program and leased vehicles enable us to determine our depreciation expense in advance of purchase. Our program and leased vehicles also generally provide us with flexibility to reduce the size of our fleet rapidly. This flexibility is affected as the percentage of program vehicles in our fleet is reduced, or if the features of the programs provided by auto manufacturers are less favorable. Our inability to reduce the size of our fleet in response to seasonal demand fluctuations, economic constraints or other changes in demand could have an adverse impact on our fleet costs and results of operations.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by a manufacturer to fulfill its obligations under any program agreement or incentive payment obligation, due to insolvency, bankruptcy or other reasons, could leave us with a material expense if we are unable to dispose of program vehicles at prices estimated at the time of purchase or with a substantial unpaid claim against the manufacturer, particularly with respect to program vehicles that were either (i) resold for an amount less than the amount guaranteed under the applicable program; or (ii) returned to the manufacturer, but for which we were not paid, and therefore we could incur a substantial loss as a result of such failure to perform.</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While we source our fleet purchases from a wide range of auto manufacturers, we are exposed to risk to the extent that any auto manufacturer significantly curtails production. Such production may be curtailed as a result of a wide range of factors, including impacts of a pandemic and supply chain impacts, including shortages of parts, such as semiconductors, which have caused and may continue to cause</w:t>
      </w:r>
    </w:p>
    <w:p>
      <w:pPr>
        <w:jc w:val="both"/>
        <w:spacing w:after="0" w:line="262" w:lineRule="auto"/>
        <w:rPr>
          <w:sz w:val="20"/>
          <w:szCs w:val="20"/>
          <w:color w:val="auto"/>
        </w:rPr>
      </w:pPr>
      <w:r>
        <w:rPr>
          <w:rFonts w:ascii="Arial" w:cs="Arial" w:eastAsia="Arial" w:hAnsi="Arial"/>
          <w:sz w:val="18"/>
          <w:szCs w:val="18"/>
          <w:color w:val="auto"/>
        </w:rPr>
        <w:t>certain auto manufacturers to suspend or slow production of new vehicles. We are also exposed to risk to the extent that any auto manufacturer increases the cost of vehicles, including as a result of inflation, labor shortages or supply chain disruptions, or declines to sell vehicles to us on terms or at prices consistent with past practice. Should any of these risks occur, we may be unable to obtain a sufficient number of vehicles to operate our business without significantly increasing our fleet costs or reducing our volumes.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safety recalls affecting our vehicles.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vehicles may be subject to safety recalls by their manufacturers, which could have an adverse impact on our business when we remove recalled vehicles from our rentable fleet. We cannot control nor predict the number of vehicles that will be subject to manufacturer recalls in the future. Recalls often require us to retrieve vehicles from customers and/or hold vehicles until we can arrange for the repairs described in the recalls to be completed. As such, recalls can increase our costs, negatively impact our revenues and/or reduce our fleet utilization. If a large number of vehicles were to be the subject of one or more recalls, or if needed replacement parts were not in adequate supply, we may be unable to utilize recalled vehicles for a significant period of time. We may also be subject to material liability claims or regulatory action related to vehicles subject to a safety recall. Depending on the nature and severity of the recall, it could create customer service problems, reduce the residual value of the vehicles involved, harm our reputation and/or have an adverse impact on our financial condition or results of operations.</w:t>
      </w:r>
    </w:p>
    <w:p>
      <w:pPr>
        <w:spacing w:after="0" w:line="210"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Weakness or fluctuations in travel demand or general economic conditions, or a significant increase in fuel costs, can adversely impact our business.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Demand for vehicle rentals is generally subject to and impacted by international, national and local economic conditions and travel demand, which can be impacted by many factors, including inflation. When travel demand or economic conditions in the United States, Europe and/or worldwide weakens, our financial condition and results of operations are often adversely impacted.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significant airline capacity reductions, airfare or related fee increases, reduced flight schedules, or any events that disrupt or reduce business or leisure air travel or weaken travel demand and tourism, such as work stoppages, military conflicts, terrorist incidents, natural disasters, disease epidemics, or the response of governments to any such events, could have an adverse impact on our results of operations. In addition, any significant increases in fuel prices, a severe protracted disruption in fuel supplies or rationing of fuel, or severe inflation that disrupts consumers’ discretionary spending patterns could discourage our customers from renting vehicles or reduce or disrupt air travel, which could also adversely impact our results of operations.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truck rental business can be impacted by the housing market. If conditions in the housing market were to weaken, we may see a reduction in truck rental transactions, which could have an adverse impact on our business. Our truck rental business can also be impacted by changes in the light commercial business sector. If the light commercial business develops their own package delivery service with a fleet of trucks and vans to use for their business, or other large competitors enter the package delivery service industry, in particular around the holiday season, we may see a reduction in truck rental transactions, which could have an adverse impact on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political, economic and commercial instability or uncertainty in the countries in which we operate.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global operations expose us to risks related to international, national and local economic and political conditions and instability.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Operating our business in a number of different regions and countries exposes us to a number of other risks, including:</w:t>
      </w:r>
    </w:p>
    <w:p>
      <w:pPr>
        <w:spacing w:after="0" w:line="234" w:lineRule="exact"/>
        <w:rPr>
          <w:sz w:val="20"/>
          <w:szCs w:val="20"/>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multiple and potentially conflicting laws, regulations, trade policies and agreements, and varying tax regimes that are subject to change;</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of currency restrictions, restrictions on repatriation of earnings or other restraints, as well as difficulties in obtaining financing in foreign countries for local operations;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changes to import-export laws, trade treaties or tariffs in the countries where we purchase vehicles;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international trade disruptions or disputes;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local ownership or investment requirements, or compliance with local laws, regulations or business practices;</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uncertainty and changes to </w:t>
      </w:r>
      <w:r>
        <w:rPr>
          <w:rFonts w:ascii="Arial" w:cs="Arial" w:eastAsia="Arial" w:hAnsi="Arial"/>
          <w:sz w:val="18"/>
          <w:szCs w:val="18"/>
          <w:color w:val="333333"/>
        </w:rPr>
        <w:t>political and regulatory regimes as a result of changing social, political, regulatory and economic</w:t>
      </w:r>
      <w:r>
        <w:rPr>
          <w:rFonts w:ascii="Arial" w:cs="Arial" w:eastAsia="Arial" w:hAnsi="Arial"/>
          <w:sz w:val="18"/>
          <w:szCs w:val="18"/>
          <w:color w:val="auto"/>
        </w:rPr>
        <w:t xml:space="preserve"> </w:t>
      </w:r>
      <w:r>
        <w:rPr>
          <w:rFonts w:ascii="Arial" w:cs="Arial" w:eastAsia="Arial" w:hAnsi="Arial"/>
          <w:sz w:val="18"/>
          <w:szCs w:val="18"/>
          <w:color w:val="333333"/>
        </w:rPr>
        <w:t>environments in the United States and internationally;</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national and international conflict, including terrorist acts;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and economic instability or civil unrest that may severely disrupt economic activity in affected countries.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Exposure to these risks may adversely impact our financial condition or results of operations. Our licensees’ vehicle rental operations may also be impacted by these risks, which in turn could impact the amount of royalty payments they make to us.</w:t>
      </w:r>
    </w:p>
    <w:p>
      <w:pPr>
        <w:spacing w:after="0" w:line="182"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The ongoing military conflict between Russia and Ukraine and the related sanctions are causing uncertainty that may have an adverse impact on our business, financial condition and results of operations.</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world economy and markets are experiencing volatility and disruption from the ongoing military conflict between Russia and Ukraine, the length and impact of which are highly unpredictable. This conflict has led to, and could in the future lead to, significant volatility in our costs, including gas and fleet costs, including as a result of sanctions or any embargos on oil sales imposed on or by the Russian government; further impacts to fleet availability; and impacts on demand for travel as a result of weakness in economic conditions, increased inflation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or increases in the cost of gas. In addition, as a result of the conflict, governmental and non-governmental entities have issued alerts noting the potential for increased cyber-attacks. Such risks and disruptions could adversely impact our business, results of operations and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from COVID-19 continue to impact our company.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COVID-19 pandemic has affected, and may continue to affect, our business, financial condition, results of operations and/or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Governmental authorities took, and continue to take, measures to address the pandemic, including, but not limited to, restrictions on travel.</w:t>
      </w:r>
    </w:p>
    <w:p>
      <w:pPr>
        <w:spacing w:after="0" w:line="3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result, we faced, among other impacts to our business, reductions in travel volumes, impacts to staffing levels, and delays in receiving delivery of new vehicles from vehicle manufacturers, including, but not limited to, due to a global semiconductor supply shortage. As a result of the delays in receiving new vehicle deliveries, the average mileage of a portion of the vehicles in our fleet has increased, and we could face challenges meeting consumer demand and customer expectations should such delays continue. We cannot anticipate with any certainty</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length, scope or severity of the pandemic’s impact in each of the jurisdictions that we operate, including due to new variants. If the pandemic continues, there could be adverse impacts to our revenues, customer demand and expenses, the used car market, our workforce, our indebtedness and adequacy of cash flow, earnings and liquidity, consumer sentiment and discretionary spending patterns, and our overall financial condition, any of which could be material.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NATURE OF OUR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or brands may negatively impact our business.</w:t>
      </w:r>
    </w:p>
    <w:p>
      <w:pPr>
        <w:spacing w:after="0" w:line="23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reputation and global brands are integral to the success of our business. Maintenance of our Company’s reputation and brands depends on many factors, including the quality of our products and services and the trust we maintain with our customers. Negative claims or publicity regarding our Company or our operations, offerings, practices, among many other things, may damage our brands or reputation, even if such claims are untrue. Damage to our reputation or brands could adversely impact our revenue and profitability.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third-party distribution channels that we rely upon.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 rely upon third-party distribution channels to generate a significant portion of our vehicle rental reservations, including:</w:t>
      </w:r>
    </w:p>
    <w:p>
      <w:pPr>
        <w:spacing w:after="0" w:line="252" w:lineRule="exact"/>
        <w:rPr>
          <w:sz w:val="20"/>
          <w:szCs w:val="20"/>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traditional and online travel agencies, airlines and hotel companies, marketing partners such as credit card companies and membership organizations and other entities that help us attract customers; and</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global distribution systems (“GDS”), such as Amadeus, Galileo/Apollo, Sabre and Worldspan, that connect travel agents, travel service providers and corporations to our reservation systems.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Changes in our pricing agreements, commission schedules or arrangements with third-party distribution channels, the termination of any of our relationships or a reduction in the transaction volume of such channels, or a GDS’s inability to process and communicate reservations to us could have an adverse impact on our financial condition or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property leases and vehicle rental concessions.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lease or have vehicle rental concessions at locations throughout the world, including at most airports where we operate and at train stations throughout Europe, where vehicle rental companies are frequently required to bid periodically for space at these locations. If we were to lose a property lease or vehicle rental concession, particularly at an airport or a train station in a major metropolitan area, there can be no assurance that we would be able to find a suitable replacement location on reasonable terms which could adversely impact our business. Most leases and airport concessions have fixed obligations that can be required even if our volume drops significantly. While we have been successful at partially mitigating some of these requirements in the past, including when enplanements have decreased significantly, there is no guarantee that we will be able to do so in the future, and if we are not successful our costs as a percentage of revenue could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seasonality of our business.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business, the third quarter of the year has historically been our most profitable quarter, as measured by net income and Adjusted EBITDA, due to the increased level of summer leisure travel and household moving activity. We vary our fleet size over the course of the year to help manage seasonal variations in demand, as well as localized changes in demand that we may encounter in the various regions in which we operate. Any circumstance or occurrence that disrupts rental activity during the third quarter, especially in North America and Europe, could have a disproportionately adverse impact on our financial condition or results of operations.</w:t>
      </w:r>
    </w:p>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face risks related to acquisitions, including the acquisition of existing licensees or investments in or partnerships with other related businesses.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engage in strategic transactions, including the acquisition of, or investment in, existing licensees and/or other businesses, partnerships or joint ventures. The risks involved in engaging in these types of transactions include the possible failure to successfully integrate the operations of acquired businesses, or to realize expected benefits within the anticipated time frame, or at all, such as cost savings, synergies, sales and growth opportunities. In addition, the integration of an acquired business or oversight of a partnership or joint venture may result in material unanticipated challenges, expenses, liabilities or competitive responses, including:</w:t>
      </w:r>
    </w:p>
    <w:p>
      <w:pPr>
        <w:spacing w:after="0" w:line="20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inconsistencies between our standards, procedures and policies and those of an acquired business, partnership and/or joint venture;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or inefficiencies associated with the integration of our operational and administrative systems;</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increased scope and complexity of our operations could require significant attention from management and could impose constraints on our operations or other projects;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expenses, delays or conditions, including required regulatory or other third-party approvals or consents, or provisions in contracts with third parties that could limit our flexibility to take certain actions;</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inability to retain the customers, employees, suppliers and/or marketing partners of an acquired business, partnership or joint venture or generate new customers or revenue opportunities through a strategic partnership;</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compliance with local laws and regulations and the implementation of compliance processes, as well as the assumption of unexpected liabilities, litigation, penalties or other enforcement actions;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exposure to undetected malware and viruses embedded in the acquired IT systems of the acquired entity;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than expected costs arising due to unforeseen changes in tax, trade, environmental, labor, safety, payroll or pension policies.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one of these factors could result in delays, increased costs or decreases in the amount of expected revenues related to or derived from a strategic transaction and could adversely impact our financial condition or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vehicle electrification.</w:t>
      </w:r>
    </w:p>
    <w:p>
      <w:pPr>
        <w:spacing w:after="0" w:line="25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Vehicle electrification refers to a range of technologies that uses electricity to propel a vehicle and includes hybrid, plug-in, extended range and battery electric vehicles, as well as autonomous vehicles. We believe that the vehicle industry will continue to experience significant change in the coming years, in particular as it relates to vehicle electrification. Worldwide demand for electric and hybrid vehicles continues to increase, and manufacturers continue to invest more time and cost into producing these types of vehicles in an effort to reduce fuel consumption and greenhouse gas emissions, as mandated by various governmental standards and regulations. If we are not adequately prepared to meet consumer demand for electric, hybrid and autonomous vehicles as such demand develops, including if we are unable to attain an optimal and consistently reliable charging infrastructure and systems, which will require substantial capital investment, our financial condition or results of operations could be adversely impacted.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liability and insurance.</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global operations expose us to several forms of liability, including claims for bodily injury, death and property damage related to the use of our vehicles, or for having our customers on our premises, as well as workers’ compensation and other claims. We may become exposed to uninsured liability at levels in excess of our historical levels, which may exceed the level of our reserves and could adversely impact our financial condition and results of operations. Furthermore, insurance with unaffiliated insurers may not continue to be available to us on economically reasonable terms or at all. Should we be subject to an adverse ruling, or experience other significant liability for which we did not plan and were not adequately insured, our results of operations, financial position or cash flows could be negatively impacted.</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reinsure certain insurance exposures as well as offer optional insurance coverages through unaffiliated third-party insurers that then reinsure all or a portion of their risks through our insurance company subsidiaries, which subjects us to regulation under various insurance laws and statutes. Any changes in regulations that alter or impede our reinsurance obligations or insurance subsidiary operations, or any negative regulatory or other legal action against us with respect to our reinsurance, could adversely impact the economic benefits that we rely upon to support our reinsurance efforts, which in turn would adversely impact our financial condition or results of operations.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Optional insurance products that we offer to renters in the United States, including, but not limited to, supplemental or additional liability insurance, personal accident insurance and personal effects protection, are regulated under state laws. Our vehicle rental operations outside the United States must also comply with certain local laws and regulations regarding the sale of personal accident and effects insurance by intermediaries. Any changes in law that affect our operating requirements with respect to our sale of optional insurance products could increase our costs of compliance or make it uneconomical to offer such products, which would lead to a reduction in revenue and profitability. Should more of our customers decline to purchase optional liability insurance products as a result of any changes in these laws, or otherwise, our financial condition or results of operations could be adversely impacted.</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offer loss damage waivers to our customers as an option for them to reduce their financial responsibility that may be incurred as a result of loss or damage to the rental vehicle. Certain states in the United States have enacted legislation that mandates disclosure to each customer and some states have statutes that establish or cap the daily rate that can be charged for loss damage waivers. Should new laws or regulations arise that place new limits on our ability to offer loss damage waivers to our customers, our financial condition or results of operations could be adversely impacted.</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Additionally, current U.S. federal law pre-empts state laws that impute tort liability based solely on ownership of a vehicle involved in an accident. If such federal law were to change, our insurance liability exposure could materially increase.</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may be unable to collect amounts that we believe are owed to us by customers, insurers and other third parties related to vehicle damage claims or liabilities. The inability to collect such amounts in a timely manner or to the extent that we expect could adversely impact our financial condition or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fluctuations in currency exchange rates.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operations generate revenue and incur operating costs in a variety of currencies. The financial position and results of operations of many of our foreign subsidiaries are reported in the relevant local currency and then translated to U.S. dollars at the applicable currency exchange rate for inclusion in our Consolidated Financial Statements. Changes in exchange rates among these currencies and the U.S. dollar have affected, and will continue to affect, among other things, the recorded levels of our assets and liabilities in our Consolidated Financial Statements. While we take steps to manage our currency exposure, such as currency hedging, we may not be able to effectively limit our exposure to intermediate- or long-term movements in currency exchange rates, which could adversely impact our financial condition or results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derivative instruments.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typically utilize derivative instruments to manage fluctuations in foreign exchange rates, interest rates and gasoline prices. The derivative instruments we use to manage our risk are usually in the form of interest rate swaps and caps and foreign exchange and commodity contracts. Periodically, we are required to determine the change in fair value, called the “mark-to-market,” of some of these derivative instruments, which could expose us to substantial mark-to-market losses or gains if such rates or prices fluctuate materially from the time we entered into the derivatives. Accordingly, volatility in rates or prices may adversely impact our financial position or results of operations and could impact the cost and effectiveness of our derivative instruments in managing our risks.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for future periods may be impacted by impairment charges for goodwill and intangible assets.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carry a significant amount of goodwill and identifiable intangible assets on our consolidated balance sheets. Goodwill is the excess of purchase price over the fair value of the net assets of acquired businesses. We assess goodwill and indefinite-lived intangible assets for impairment each year, or more frequently if circumstances suggest an impairment may have occurred. We have determined in the past and may again determine in the future that a significant impairment has occurred in the value of our goodwill. Additionally, we have a significant amount of identifiable intangible assets and fixed assets that could also be subject to impairment. If we determine that a significant impairment has occurred in the value of our unamortized intangible assets or fixed assets, we could be required to write off a portion of our assets, which could adversely affect our consolidated financial condition or our reported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REGULATORY AND ESG-RELATED MATTERS</w:t>
      </w:r>
    </w:p>
    <w:p>
      <w:pPr>
        <w:spacing w:after="0" w:line="24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Costs associated with lawsuits, investigations or increases in legal reserves that we establish based on our assessment of contingent liabilities may have an adverse effect on our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global operations expose us to various claims, lawsuits and other legal proceedings that arise in and outside of the ordinary course of our business in the countries in which we operate. We may be subject to complaints and/or litigation involving our customers, licensees, employees, independent operators and others with whom we conduct business, including claims for bodily injury, death and property damage related to use of our vehicles or our locations, or claims based on allegations of discrimination, misclassification as exempt, wage and hour pay disputes, and various other claims. We could be subject to substantial costs and/or adverse outcomes from such claims, which could have a material adverse effect on our financial condition, cash flows or results of operations.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some of our locations, we outsource to third party independent contractors who operate the business as a separate entity and pay a commission for operating their business under our brands. There is a growing trend in the United States aimed at the gig economy to define independent contractors as employees. As such, we are subject to legislative and or judicial determination that any such changes are applicable to these independent contractors. Such determinations may require us to change the business operations and make such independent contractor locations employee operated. This could potentially expose us to additional costs and material liability under federal and state labor and employment and tax laws.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our Company may be reviewed or investigated by government regulators, which could lead to tax assessments, enforcement actions, fines and penalties or the assertion of private litigation claims. It is not possible to predict with certainty the outcome of claims, investigations and lawsuits, which could have an adverse impact on our financial condition or results of operations. In addition, while we maintain insurance coverage with respect to exposure for certain types of legal claims, we may not be able to obtain such insurance on acceptable terms in the future, if at all, and any such insurance may not provide adequate coverage against any such claims.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laws and regulations that could impact our global operations.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multiple, and sometimes conflicting, laws and regulations in the countries in which we operate that relate to, among others, consumer protection, competition and antitrust, customer privacy and data protection, securities and public disclosure, automotive retail sales, franchising, corruption and anti-bribery, environmental matters, taxes, automobile-related liability, labor and employment matters, cost and fee recovery, currency-exchange and other various banking and financial industry regulations, health and safety, insurance rates and products, claims management, protection of our trademarks and other intellectual property and other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trade-related laws and regulations. We cannot predict the nature, scope or effect of future regulatory requirements to which our global operations may be subject or the manner in which existing or future laws may be administered or interpreted. Any alleged or actual violations of any law or regulation, change in law, regulation, trade treaties or tariffs, or changes in the interpretation of existing laws or regulations may subject us to government scrutiny, investigation and civil and criminal penalties, limit our ability to provide services in any of the countries in which we operate and could result in a material adverse impact on our reputation, business, financial position or results of operations.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certain countries where we have Company-operated locations, we may recover certain costs from consumers, including costs associated with the title and registration of our vehicles, or concession costs imposed by an airport authority or the owner and/or operator of the premises from which our vehicles are rented. We may in the future be subject to potential laws or regulations that could negatively impact our ability to separately state, charge and recover such costs, which could adversely impact our financial condition or results of operations.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seeking Advanced Pricing Agreements with certain tax authorities to obtain certainty regarding our transfer pricing policy While this effort is ongoing, the process of negotiating and ultimately entering into these agreements may take several years. The ultimate results of our negotiations of these agreements with tax authorities, the expiration of such agreements, or changes in circumstances or in the interpretation of such agreements could increase our tax costs in these jurisdictions, including through the assessment of significant interest charges and/or penalties if non-compliance is adjudicated. To the extent we do not have an existing Advance Pricing Agreement or other agreement, governmental authorities could challenge our transfer pricing policy in the future and, if challenged, we may not prevail, which could increase our tax costs or reduce savings related to our transfer pricing policy.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environmental laws and regulations.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a wide variety of environmental laws and regulations in connection with our operations, including, among other things, with respect to the ownership or use of tanks for the storage of petroleum products such as gasoline, diesel fuel and motor and waste oils; the treatment or discharge of waste waters; and the generation, storage, transportation and off-site treatment or disposal of solid or liquid wastes. We maintain liability insurance covering storage tanks at our locations. In the United States, we administer an environmental compliance program designed to ensure that these tanks are properly registered in the jurisdiction in which they are located and are in compliance with applicable technical and operational requirements. The tank systems located at each of our locations may not at all times remain free from undetected leaks, and the use of these tanks has resulted in, and from time to time in the future may result in, spills, which may be significant and may require remediation and expose us to material uninsured liability or liabilities in excess of insurance.</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also be subject to requirements related to the remediation of substances that have been released into the environment at properties owned or operated by us or at properties to which we send substances for treatment or disposal. Such remediation requirements may be imposed without regard to fault and liability for environmental remediation can be substantial. These remediation requirements and other environmental regulations differ depending on the country where the property is located. We have made, and will continue to make, expenditures to comply with environmental laws and regulations, including, among others, expenditures for the remediation of contamination at our owned and leased properties, as well as contamination at other locations at which our wastes have reportedly been identified. Our compliance with existing or future environmental laws and regulations may, however, require material expenditures by us or otherwise have an adverse impact on our financial condition or results of operations.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Governments are likely to continue to pursue measures related to climate change and greenhouse gas emissions, including vehicle travel restrictions. Should rules establishing limitations on greenhouse gas or other emissions or rules imposing fees on entities deemed to be responsible for greenhouse gas emissions, or rules establishing bans on diesel or fuel vehicles from entering certain locations become effective in the countries in which we operate, demand for our services could be affected, our fleet and/or other costs could increase, and our business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ESG matters.</w:t>
      </w:r>
    </w:p>
    <w:p>
      <w:pPr>
        <w:spacing w:after="0" w:line="25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Increasing attention to climate change, increasing societal expectations on companies to address climate change, and potential consumer and customer use of substitutes to our products may result in increased costs, reduced demand for our products, reduced profits, increased investigations and litigation, reputational harm and negative impacts on our stock price and access to capital markets. We have developed certain initiatives, goals and practices relating to environmental, social and governance (ESG) matters. We may not be successful in implementing these initiatives, goals and practices, including due to factors beyond our control, and even if successful, they may not achieve our desired or expected outcomes. If our ESG initiatives, goals, and practices do not meet our expectations or those of our investors or other stakeholders, which continue to evolve, we may incur additional costs, and our brand, reputation and our results of operations and financial condition may be adversely impacted.</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and investment community divestment initiatives may lead to negative publicity or investor sentiment toward us and to the diversion of investment to other industries, which could have a negative impact on our stock price and our access to and costs of capital.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franchising or licensing laws and regulations.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license to third parties the right to operate locations using our brands in exchange for royalty payments. Our licensing activities are subject to various laws and regulations in the countries in which we operate. In particular, laws in the United States require that we provide extensive disclosure to prospective licensees in connection with licensing offers and sales, as well as comply with franchise relationship laws that could limit our ability to, among other things, terminate license agreements or withhold consent to the renewal or transfer of these agreements. We are also subject to certain regulations affecting our license arrangements in Europe and other international locations. Should our operations become subject to new laws or regulations that negatively impact our ability to engage in licensing activities, our financial condition or results of operations could be adversely impacted.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actions of, or failures to act by, our licensees, dealers, independent operators or third-party vendors.</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vehicle rental licensee and dealer locations are independently owned and operated. We also operate many of our Company-owned locations through agreements with independent operators, which are third-party independent contractors who receive commissions to operate such locations. We also enter into service contracts with various third-party vendors that provide services for us or in support of our business. Under our agreements with our licensees, dealers, independent operators and third-party vendors (collectively referred to as “third-party operators”), the third-party operators retain control over the employment and management of all personnel at their locations or in support of the services that they provide our Company. These agreements also generally require that third-party operators comply with all laws and regulations applicable to their businesses, including relevant internal policies and standards. Regulators, courts or others may seek to hold us responsible for the actions of, or failures to act by, third-party operators or their employees based on theories of vicarious liability, negligence, joint operations or joint employer liability. Although we actively monitor the operations of these third-party operators, and under certain circumstances have the ability to terminate their agreements for failure to adhere to contracted operational standards, we are unlikely to detect all misconduct or noncompliance by a third-party operator or its employees. It is our policy to vigorously seek to be dismissed from any claims involving third-party operators and to pursue indemnity for any adverse outcomes that affect the Company. Failure of third-party operators to comply with laws and regulations or our operational standards, or our inability to be dismissed from claims against our third-party operators, may expose us to liability, damages and negative publicity that may damage our brand and reputation and adversely affect our financial condition or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changes in tax laws.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Tax Cuts and Jobs Act of 2017 (the “Tax Act”) eliminated the use of like-kind exchange for personal property and allowed for full expensing of qualified property purchases through 2022. From 2004 until its elimination, we utilized like-kind exchange to replace vehicles in a manner that allowed for a material deferral of U.S. federal and state income taxes. The effect of the repeal of the like-kind exchange treatment for vehicle sales has been largely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offset through 2022 by the availability of full expensing for certain business assets (including our vehicles) in the year placed in service. The full expensing provision is scheduled to start to phase-out ratably over five years starting in 2023 and there can be no assurance that the phase-out will be delayed or that full expensing will be made permanent. Certain U.S. states have modified their tax statutes as a result of the Tax Act, and such state legislation does not allow the use of full expensing benefits for state tax purposes, which negatively impacts our tax liability in such states. Other U.S. states continue to modify their tax statutes related to full expensing. Therefore, we cannot offer assurance that the benefits from the expected tax deductions will continue.</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Inflation Reduction Act of 2022 (the “IRA”) includes a 15% corporate alternative minimum tax on certain large corporations and a 1% excise tax on certain corporate stock repurchases. The impact on the Company of these provisions, which became effective on January 1, 2023, will depend on several factors, including recently released and forthcoming interpretive regulatory guidance. The Company continues to review and assess the provisions of the IRA, and its potential impact on our financial condition, results of operations, liquidity, and cash flows.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also a high level of uncertainty in today’s tax environment stemming from both global initiatives put forth by the Organisation for Economic Co-operation and Development (the “OECD”), and unilateral measures being implemented by various countries. As an example, the OECD has put forth two proposals—Pillar One and Pillar Two—that revise the existing profit allocation and nexus rules (profit allocation based on location of sales versus physical presence) and ensure a minimal level of taxation, respectively. The Council of the EU recently adopted a Directive to ensure a global minimum level of taxation for certain multinational groups active in the EU consistent with Pillar Two, to be effective beginning after 2023.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CAPITAL STRUCTURE AND INDEBTEDNESS</w:t>
      </w:r>
    </w:p>
    <w:p>
      <w:pPr>
        <w:spacing w:after="0" w:line="254"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We face risks related to our current and future debt obligations, including risks related to conditions in the credit and asset-backed securities markets.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ability to satisfy and manage our debt obligations depends on our ability to generate cash flow and on overall financial market conditions. To some extent, this is subject to prevailing economic and competitive conditions and to certain financial, business and other factors, many of which are beyond our control. Our outstanding debt obligations require us to dedicate a significant portion of our cash flows to pay interest and principal on our debt, which reduces funds available to us for other purposes. Our business may not generate sufficient cash flow from operations to permit us to service our debt obligations and meet our other cash needs, which may force us to reduce or delay capital expenditures, sell or curtail assets or operations, seek additional capital or seek to restructure or refinance our indebtedness. If we must sell or curtail our assets or operations, it may negatively affect our ability to generate revenue. Certain of our debt obligations contain restrictive covenants and provisions that limit our ability to, among other things, incur additional debt; provide guarantees; pay dividends or distributions, redeem or repurchase capital stock; prepay, redeem or repurchase debt; create or incur liens; make distributions from our subsidiaries; sell assets and capital stock of our subsidiaries; and consolidate merge with or into, or sell substantially all of our assets to, another person. These covenants and provisions also limit our ability to respond to adverse changes in general economic, industry and competitive conditions, as well as changes in government regulation and changes to our business.</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failure to comply with these restrictive covenants and provisions, if not waived, would cause a default under the applicable debt agreement and could result in a cross-default under several of our other debt obligations, including our U.S. and European asset-backed debt facilities. If such a default were to occur, we could be required to repay or accelerate debt payments to the lenders or holders of our debt, and there can be no assurance that we would be able to refinance or obtain a replacement for such financing programs.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finance our vehicle fleet purchases and operations through the use of asset-backed securities in the United States, Canada, Australia and Europe and other debt financing structures available through the credit markets. If the asset-backed financing and/or credit markets were to be disrupted for any reason, we may be unable to obtain refinancing for our operations or vehicle fleet purchases at current levels, or at all, when our respective asset-backed financings or debt financings mature. Likewise, any disruption of the asset-backed financing or credit markets could also increase our borrowing costs, as we seek to refinance existing debt or increase our indebtedness. In addition, we could be subject to increased collateral requirements to the extent that we request any amendment or renewal of any of our existing asset-backed or debt financings.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increases in interest rates.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portion of our borrowings, primarily our vehicle-backed borrowings, bears interest at variable rates that expose us to interest rate risk. If interest rates continue to increase, whether due to continued increases in market interest rates or one or more increases in our own cost of borrowing, our debt service obligations for our variable rate indebtedness would increase even though the amount of borrowings remain the same, and our results of operations could be adversely affected. As of December 31, 2022, our total outstanding debt of approximately $18.6 billion included unhedged interest rate sensitive debt of approximately $5.8 billion. During our seasonal borrowing peak in 2022, outstanding unhedged interest rate sensitive debt totaled approximately $7.2 billion.</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Virtually all of our debt under vehicle programs and certain of our corporate indebtedness matures within the next five years. If we are unable to refinance maturing indebtedness at interest rates that are equivalent to or lower than the interest rates on our maturing debt, our results of operations or our financial condition may be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certain risks related to our share repurchase program.</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of Directors previously authorized the repurchase of up to $ 8.1 billion of our common stock under a plan originally approved in 2013 and subsequently expanded most recently in February 2023 (the “Share Repurchase Program”). As of February 13, 2023, approximately $1.7 billion remains available under the Share Repurchase Program. If we purchase additional shares of our common stock under the Share Repurchase Program, the percentage of our outstanding common stock owned by SRS Investment Management, LLC and its affiliates (“SRS”) may increase, even without further action by SRS. Under the terms of the Fourth Amended and Restated Cooperation Agreement between the Company and SRS, SRS has committed, with respect to shares of common stock SRS holds in excess of 35% of the Company’s outstanding common stock, to exercise its voting rights in the same proportion in which other shares of common stock are voted. Notwithstanding this commitment, the ownership by SRS of more than 50% of the Company’s outstanding common stock could trigger, or increase the likelihood that we trigger, certain change in control provisions in the indentures governing our senior notes. The Company must make a 101% change of control offer for the senior notes if, within 60 days following a change of control, the ratings on the notes are downgraded by one or more gradations or withdrawn and the applicable rating agency announces that such downgrade or withdrawal is attributable to the change of control.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MATTERS, DATA SECURITY AND PRIVACY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protection of our intellectual property.</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registered certain marks and designs as trademarks in the United States and in certain other countries. At times, competitors may adopt service names similar to ours, thereby impeding our ability to build brand identity and possibly leading to market confusion. In addition, we have been subject to, and from time to time in the future may be subject to, trade name or trademark infringement claims brought by owners of other registered trademarks or trademarks that incorporate variations of our registered trademarks. From time to time, we have acquired or attempted to acquire Internet domain names held by others when such names have caused consumer confusion or had the potential to cause consumer confusion.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reliance on communications networks and centralized information systems.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heavily on the satisfactory performance and availability of our information systems, including our reservation systems, websites and network infrastructure to attract and retain customers, accept reservations, process rental and sales transactions, manage our fleet of vehicles, account for our activities and otherwise conduct our business. We rely on third-party communications service and system providers for technology services. We have been subjected to, and from time to time in the future may be subject to, a failure or interruption that results in the unavailability of certain of our information systems. Such a failure or interruption, or a major disruption, could cause a loss of reservations, interfere with our fleet management, slow rental and sales processes, create negative publicity that damages our reputation or otherwise adversely impacts our ability to manage our business effectively. We may experience system interruptions or disruptions for a variety of reasons,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including from network failures, power outages, cyber-attacks, employee errors, software errors, an unusually high volume of visitors attempting to access our systems, or other events such as fire, explosions, earthquakes, storms, floods, epidemics, strikes, acts of war, civil unrest or terrorist acts. Because we are dependent in part on independent third parties for the implementation and maintenance of certain aspects of our systems and because some of the causes of system interruptions may be outside of our control, we may not be able to remedy such interruptions in a timely manner, or at all. Our systems’ business continuity plans and insurance programs seek to mitigate such risks but they cannot fully eliminate the risks.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cybersecurity breaches of our systems and information technology.</w:t>
      </w:r>
    </w:p>
    <w:p>
      <w:pPr>
        <w:spacing w:after="0" w:line="2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Threats to network and data security are becoming increasingly diverse and sophisticated. As cybersecurity threats become more frequent, intense and sophisticated, costs of proactive defense measures may increase. Third parties may have the technology or expertise to breach the security of our customer transaction data and our security measures may not prevent or timely detect physical security or cybersecurity breaches, which could result in substantial harm to our business, our reputation or our results of operations. We rely on encryption and/or authentication technology licensed from and, at times, administered by independent third parties to secure transmission of confidential information, including credit card numbers and other customer personal information. Our outsourcing agreements with these third-party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service providers, including third-party hosted cloud environments, generally require that they have adequate security systems in place to protect our customer transaction data. Despite the implementation of cybersecurity measures (including access controls, data encryption,</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vulnerability assessments, continuous monitoring, and maintenance of backup and protective systems), our information technology systems or those used by our third-party service providers may still be vulnerable to a breach. Additionally, if a third-party service provider on which we rely experiences a breach, we may not learn of such breach in a timely manner, or at all, which may inhibit our ability to mitigate its impacts, and exacerbate the risks described in this paragraph.</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anyone who is able to circumvent our security measures, or those of our third-party service providers, could misappropriate proprietary information or cause interruptions in our operations. Risks of cybersecurity incidents caused by malicious third parties using sophisticated, targeted methods to circumvent firewalls, encryption, and other security defenses, could include hacking, viruses, malicious software, ransomware, phishing attacks, denial of service attacks and other attempts to capture, disrupt or gain unauthorized access to data are rapidly evolving and could lead to disruptions in our reservation system or other data systems, unauthorized release of confidential or otherwise protected information or corruption of data. The techniques used by third parties change frequently and may be difficult to detect for long periods of time. Any successful efforts by individuals to infiltrate, break into, disrupt, damage or otherwise steal from the Company’s, its licensees’ or its third-party service providers’ security or information systems could damage our reputation and expose us to increased cybersecurity protection costs, litigation or other liability that could adversely impact our financial condition or results of operations. A cybersecurity breach resulting in the unauthorized use or disclosure of certain personal information could put individuals at risk of identity theft and financial or other harm and result in costs to the Company in investigation, remediation, legal defense and in liability to parties who are financially harmed. Failure to appropriately address these issues could also give rise to potentially material legal risks and liabilities.</w:t>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are subject to privacy, data protection, data security and other regulations, as well as private industry standards, which could negatively impact our global operations and cause us to incur additional incremental expense or reputational harm that impacts our future operating results.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requires the secure processing and storage of personal information relating to our customers, employees, business partners and others. Current privacy and data protection laws, particularly the European Union’s General Data Protection Regulation and the equivalent in the United Kingdom (collectively, the “GDPR”), California Consumer Privacy Act including modifications by the California Privacy Rights Act (collectively, the “CCPA”), the Virginia Consumer Data Protection Act (“VCDPA”), and other regulations in the jurisdictions in which we operate impose obligations and restrictions regarding the types of information that we may collect, process, sell and retain about our customers, employees and other individuals with whom we deal or propose to deal, some of which may be non-public personal data. Several other US state privacy laws will go into effect in 2023, including the Colorado Privacy Act, the Connecticut Data Privacy Act, and the Utah Consumer Privacy Act. These laws and regulations, each wide-ranging in scope, provide individuals located in those jurisdictions greater control over their personal data. These laws impose several requirements relating to rights of the individuals to whom the personal data relates, the information provided to the individuals, the security and confidentiality of the personal data, data breach notification, the use of third-party processors in connection with the processing of personal</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data, and the transfer or sale of personal data, and measures we must take to demonstrate compliance. These laws also impose significant forfeitures and penalties for noncompliance and afford private rights of action to individuals under certain circumstances. The Company has adopted policies and procedures in compliance with these laws, which may need to be updated as additional information concerning best practices are made available through guidance from regulatory authorities or published enforcement decisions. Privacy laws in the countries where we operate are developing at a rapid pace and may be interpreted and applied inconsistently from jurisdiction to jurisdiction and impose inconsistent or conflicting requirements. Complying with varying jurisdictional privacy requirements could increase our operating costs, divert management attention or require additional changes to our business practices. Should we be found to not be in compliance with the GDPR, CCPA, VCDPA or similar privacy and data protection laws, we could be subject to substantial monetary forfeitures, government consent decrees, regulatory enforcement actions, and other penalties that could negatively impact our operating results or harm our reputation.</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centralized nature of our information systems combined with the global nature of our business requires the routine flow of information about employees, customers and potential customers across national borders, particularly in the United States, the United Kingdom and Europe. In 2020, the Court of Justice of the European Union invalidated mechanisms for transferring personal information out of the EU. This decision imposes additional obligations and restrictions related to data transfers between the EU and other countries, including the U.S., and may affect our ability to serve our customers and efficiently manage our employees and operations. In addition, our failure to maintain the security of the data we hold, whether as a result of our own error or the actions of others, could harm our reputation or give rise to legal liabilities that adversely impact our financial condition or results of operations. Privacy and data protection laws and regulations restrict the ways that we process our transaction information and the Payment Card Industry imposes strict customer credit card data security standards to ensure that our customers’ credit card information is protected. Failure to meet these data security standards could result in substantial increased fees to credit card companies, other liabilities and/or loss of the right to collect credit card payments, which could adversely impact our financial condition or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market price of our common stock.</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the prices at which our common stock will trade. The market price of our common stock has experienced substantial volatility in the past and may fluctuate widely in the future, depending on many factors, some of which may be beyond our control, including, but not limited to, the factors described in this “Risk Factors” section and the section titled “Forward-Looking Statements.” If any of these factors materialize, it could cause our stock price to fall and may expose us to litigation, including class action lawsuits that, even if unsuccessful, could be costly to defend, distract management, and harm our reputation.</w:t>
      </w:r>
    </w:p>
    <w:p>
      <w:pPr>
        <w:spacing w:after="0" w:line="208"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Certain provisions of our certificate of incorporation and by-laws and Delaware law could prevent or delay a potential acquisition of control of our Company, which could decrease the trading price of our common stock.</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amended and restated certificate of incorporation, amended and restated by-laws and the laws in the State of Delaware contain provisions that are intended to deter coercive takeover practices and inadequate takeover bids by making such practices or bids unacceptably expensive to the prospective acquirer and to encourage prospective acquirers to negotiate with our Board of Directors rather than to attempt a hostile takeover. Delaware law also imposes restrictions on mergers and other business combinations between us and any holder of 15% or more of our outstanding common stock.</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these provisions protect our stockholders from coercive or otherwise unfair takeover tactics by effectively requiring those who seek to obtain control of the Company to negotiate with our Board of Directors and by providing our Board with more time to assess any such potential acquisition of control. However, these provisions could apply even if such a potential acquisition of control of the Company may be considered beneficial by some stockholders and could delay or prevent an acquisition of control that our Board of Directors determines is not in the best interests of our Company and our stockholders.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40575"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1B. UNRESOLVED STAFF COMMENTS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40575"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2. PROPERTIES</w:t>
      </w:r>
    </w:p>
    <w:p>
      <w:pPr>
        <w:spacing w:after="0" w:line="33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principal executive offices are located at 6 Sylvan Way, Parsippany, New Jersey 07054 pursuant to a lease agreement that expires in October 2023. Upon expiration of our lease agreement, we plan to relocate to another property in the same city. We own a facility in Virginia Beach, Virginia, which serves as a satellite administrative facility for our car and truck rental operations. We also lease office space in Tulsa, Oklahoma, and Boston, Massachusetts, pursuant to leases expiring in 2025 and 2031, respectively. These locations primarily provide operational and administrative services or contact center operations for our Americas segment. We also lease office space in Bracknell, England, Barcelona, Spain and Budapest, Hungary, pursuant to leases expiring in 2032, 2026 and 2026, respectively, for corporate offices, contact center activities and other administrative functions, respectively, for our International segment. Other office locations throughout the world are leased for administrative, regional sales and operations activities.</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lease or have vehicle rental concessions for our brands at locations throughout the world. We own approximately 3% of the locations from which we operate and in some cases we sublease to licensees or other third parties. The remaining locations from which we operate our vehicle rental businesses are leased or operated under concession agreements with governmental authorities and private entities. Those leases and concession agreements typically require the payment of minimum rents or minimum concession fees and often also require us to pay or reimburse operating expenses, to pay additional rent, or concession fees above guaranteed minimums, based on a percentage of revenues or sales arising at the relevant premises, or to do both. See Note 3 – Leases to our Consolidated Financial Statements for information regarding lease commitments.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that our properties are sufficient to meet our present needs and we do not anticipate any difficulty in securing additional space, as needed, on acceptable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3. LEGAL PROCEEDINGS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 15 – Commitments and Contingencies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40575"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4. MINE SAFETY DISCLOSURES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40575"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0575" cy="308610"/>
                    </a:xfrm>
                    <a:prstGeom prst="rect">
                      <a:avLst/>
                    </a:prstGeom>
                    <a:noFill/>
                  </pic:spPr>
                </pic:pic>
              </a:graphicData>
            </a:graphic>
          </wp:anchor>
        </w:drawing>
      </w:r>
    </w:p>
    <w:p>
      <w:pPr>
        <w:spacing w:after="0" w:line="43"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w:t>
      </w:r>
    </w:p>
    <w:p>
      <w:pPr>
        <w:spacing w:after="0" w:line="4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MATTERS AND ISSUER PURCHASES OF EQUITY SECURITIES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FOR COMMON EQUITY</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common stock is currently traded on the Nasdaq Global Select Market (“Nasdaq”) under the symbol “CAR.” At January 31, 2023, the number of stockholders of record was 2,083.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POLICY</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neither declared nor paid any cash dividends on our common stock in 2022 or 2021, and we do not currently anticipate paying cash dividends on our common stock. However, we evaluate our dividend policy on a regular basis and may pay dividends in the future, subject to compliance with the covenants in our senior credit facility, the indentures governing our senior notes and our vehicle financing programs. The declaration and payment of future dividends to holders of our common stock will be at the discretion of our Board of Directors and will also depend upon many factors, including our financial condition, earnings, capital requirements of our businesses, covenants associated with certain debt obligations, legal requirements, regulatory constraints, industry practice and other factors that the Board of Directors deems relevant.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76"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Average Price</w:t>
            </w:r>
          </w:p>
        </w:tc>
        <w:tc>
          <w:tcPr>
            <w:tcW w:w="304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 Purchased as</w:t>
            </w:r>
          </w:p>
        </w:tc>
        <w:tc>
          <w:tcPr>
            <w:tcW w:w="140" w:type="dxa"/>
            <w:vAlign w:val="bottom"/>
          </w:tcPr>
          <w:p>
            <w:pPr>
              <w:spacing w:after="0"/>
              <w:rPr>
                <w:sz w:val="16"/>
                <w:szCs w:val="16"/>
                <w:color w:val="auto"/>
              </w:rPr>
            </w:pPr>
          </w:p>
        </w:tc>
        <w:tc>
          <w:tcPr>
            <w:tcW w:w="31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Approximate Dollar Value of Shares</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Purchased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Publicly Announced Plans or</w:t>
            </w:r>
          </w:p>
        </w:tc>
        <w:tc>
          <w:tcPr>
            <w:tcW w:w="140" w:type="dxa"/>
            <w:vAlign w:val="bottom"/>
          </w:tcPr>
          <w:p>
            <w:pPr>
              <w:spacing w:after="0"/>
              <w:rPr>
                <w:sz w:val="14"/>
                <w:szCs w:val="14"/>
                <w:color w:val="auto"/>
              </w:rPr>
            </w:pPr>
          </w:p>
        </w:tc>
        <w:tc>
          <w:tcPr>
            <w:tcW w:w="3120" w:type="dxa"/>
            <w:vAlign w:val="bottom"/>
            <w:gridSpan w:val="2"/>
          </w:tcPr>
          <w:p>
            <w:pPr>
              <w:jc w:val="right"/>
              <w:ind w:right="19"/>
              <w:spacing w:after="0" w:line="162" w:lineRule="exact"/>
              <w:rPr>
                <w:sz w:val="20"/>
                <w:szCs w:val="20"/>
                <w:color w:val="auto"/>
              </w:rPr>
            </w:pPr>
            <w:r>
              <w:rPr>
                <w:rFonts w:ascii="Arial" w:cs="Arial" w:eastAsia="Arial" w:hAnsi="Arial"/>
                <w:sz w:val="16"/>
                <w:szCs w:val="16"/>
                <w:b w:val="1"/>
                <w:bCs w:val="1"/>
                <w:color w:val="auto"/>
              </w:rPr>
              <w:t>That May Yet Be Purchased Under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Paid per Share</w:t>
            </w:r>
          </w:p>
        </w:tc>
        <w:tc>
          <w:tcPr>
            <w:tcW w:w="3040" w:type="dxa"/>
            <w:vAlign w:val="bottom"/>
          </w:tcPr>
          <w:p>
            <w:pPr>
              <w:jc w:val="center"/>
              <w:spacing w:after="0"/>
              <w:rPr>
                <w:sz w:val="20"/>
                <w:szCs w:val="20"/>
                <w:color w:val="auto"/>
              </w:rPr>
            </w:pPr>
            <w:r>
              <w:rPr>
                <w:rFonts w:ascii="Arial" w:cs="Arial" w:eastAsia="Arial" w:hAnsi="Arial"/>
                <w:sz w:val="16"/>
                <w:szCs w:val="16"/>
                <w:b w:val="1"/>
                <w:bCs w:val="1"/>
                <w:color w:val="auto"/>
              </w:rPr>
              <w:t>Programs (in millions)</w:t>
            </w:r>
          </w:p>
        </w:tc>
        <w:tc>
          <w:tcPr>
            <w:tcW w:w="1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b w:val="1"/>
                <w:bCs w:val="1"/>
                <w:color w:val="auto"/>
              </w:rPr>
              <w:t>Plans or Programs ($</w:t>
            </w: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08"/>
        </w:trPr>
        <w:tc>
          <w:tcPr>
            <w:tcW w:w="1160" w:type="dxa"/>
            <w:vAlign w:val="bottom"/>
          </w:tcPr>
          <w:p>
            <w:pPr>
              <w:jc w:val="right"/>
              <w:spacing w:after="0"/>
              <w:rPr>
                <w:sz w:val="20"/>
                <w:szCs w:val="20"/>
                <w:color w:val="auto"/>
              </w:rPr>
            </w:pPr>
            <w:r>
              <w:rPr>
                <w:rFonts w:ascii="Arial" w:cs="Arial" w:eastAsia="Arial" w:hAnsi="Arial"/>
                <w:sz w:val="16"/>
                <w:szCs w:val="16"/>
                <w:color w:val="auto"/>
              </w:rPr>
              <w:t>October 2022</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173.33</w:t>
            </w:r>
          </w:p>
        </w:tc>
        <w:tc>
          <w:tcPr>
            <w:tcW w:w="120" w:type="dxa"/>
            <w:vAlign w:val="bottom"/>
          </w:tcPr>
          <w:p>
            <w:pPr>
              <w:spacing w:after="0"/>
              <w:rPr>
                <w:sz w:val="18"/>
                <w:szCs w:val="18"/>
                <w:color w:val="auto"/>
              </w:rPr>
            </w:pPr>
          </w:p>
        </w:tc>
        <w:tc>
          <w:tcPr>
            <w:tcW w:w="3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8"/>
                <w:szCs w:val="18"/>
                <w:color w:val="auto"/>
              </w:rPr>
            </w:pPr>
          </w:p>
        </w:tc>
        <w:tc>
          <w:tcPr>
            <w:tcW w:w="1940" w:type="dxa"/>
            <w:vAlign w:val="bottom"/>
            <w:tcBorders>
              <w:top w:val="single" w:sz="8" w:color="auto"/>
            </w:tcBorders>
          </w:tcPr>
          <w:p>
            <w:pPr>
              <w:jc w:val="right"/>
              <w:ind w:right="17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215"/>
        </w:trPr>
        <w:tc>
          <w:tcPr>
            <w:tcW w:w="1160" w:type="dxa"/>
            <w:vAlign w:val="bottom"/>
          </w:tcPr>
          <w:p>
            <w:pPr>
              <w:jc w:val="right"/>
              <w:spacing w:after="0"/>
              <w:rPr>
                <w:sz w:val="20"/>
                <w:szCs w:val="20"/>
                <w:color w:val="auto"/>
              </w:rPr>
            </w:pPr>
            <w:r>
              <w:rPr>
                <w:rFonts w:ascii="Arial" w:cs="Arial" w:eastAsia="Arial" w:hAnsi="Arial"/>
                <w:sz w:val="16"/>
                <w:szCs w:val="16"/>
                <w:color w:val="auto"/>
              </w:rPr>
              <w:t>November 2022</w:t>
            </w:r>
          </w:p>
        </w:tc>
        <w:tc>
          <w:tcPr>
            <w:tcW w:w="1660" w:type="dxa"/>
            <w:vAlign w:val="bottom"/>
          </w:tcPr>
          <w:p>
            <w:pPr>
              <w:jc w:val="right"/>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225.02</w:t>
            </w:r>
          </w:p>
        </w:tc>
        <w:tc>
          <w:tcPr>
            <w:tcW w:w="120" w:type="dxa"/>
            <w:vAlign w:val="bottom"/>
          </w:tcPr>
          <w:p>
            <w:pPr>
              <w:spacing w:after="0"/>
              <w:rPr>
                <w:sz w:val="18"/>
                <w:szCs w:val="18"/>
                <w:color w:val="auto"/>
              </w:rPr>
            </w:pPr>
          </w:p>
        </w:tc>
        <w:tc>
          <w:tcPr>
            <w:tcW w:w="304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217"/>
        </w:trPr>
        <w:tc>
          <w:tcPr>
            <w:tcW w:w="1160" w:type="dxa"/>
            <w:vAlign w:val="bottom"/>
          </w:tcPr>
          <w:p>
            <w:pPr>
              <w:jc w:val="right"/>
              <w:spacing w:after="0"/>
              <w:rPr>
                <w:sz w:val="20"/>
                <w:szCs w:val="20"/>
                <w:color w:val="auto"/>
              </w:rPr>
            </w:pPr>
            <w:r>
              <w:rPr>
                <w:rFonts w:ascii="Arial" w:cs="Arial" w:eastAsia="Arial" w:hAnsi="Arial"/>
                <w:sz w:val="16"/>
                <w:szCs w:val="16"/>
                <w:color w:val="auto"/>
              </w:rPr>
              <w:t>December 2022</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188.54</w:t>
            </w:r>
          </w:p>
        </w:tc>
        <w:tc>
          <w:tcPr>
            <w:tcW w:w="120" w:type="dxa"/>
            <w:vAlign w:val="bottom"/>
          </w:tcPr>
          <w:p>
            <w:pPr>
              <w:spacing w:after="0"/>
              <w:rPr>
                <w:sz w:val="18"/>
                <w:szCs w:val="18"/>
                <w:color w:val="auto"/>
              </w:rPr>
            </w:pP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197.68</w:t>
            </w:r>
          </w:p>
        </w:tc>
        <w:tc>
          <w:tcPr>
            <w:tcW w:w="120" w:type="dxa"/>
            <w:vAlign w:val="bottom"/>
          </w:tcPr>
          <w:p>
            <w:pPr>
              <w:spacing w:after="0"/>
              <w:rPr>
                <w:sz w:val="18"/>
                <w:szCs w:val="18"/>
                <w:color w:val="auto"/>
              </w:rPr>
            </w:pP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2080" w:type="dxa"/>
            <w:vAlign w:val="bottom"/>
            <w:gridSpan w:val="2"/>
          </w:tcPr>
          <w:p>
            <w:pPr>
              <w:jc w:val="right"/>
              <w:ind w:right="17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62626"/>
        </w:rPr>
        <w:t>The Company’s Board of Directors has authorized the repurchase of up to approximately $8.1 billion of its common stock under a plan originally approved in 2013 and subsequently expanded, most recently in February 2023. Under the Company’s stock repurchase program, the Company repurchases shares from time to time in open market transactions, and may also repurchase shares in accelerated share repurchases, tender offers, privately negotiated transactions or by other means. Repurchases may also be made under a plan pursuant to Rule 10b5-1 under the Securities Exchange Act of 1934, as amended (the “Exchange Act”). The timing and amount of repurchase transactions will be determined by the Company’s management based on its evaluation of market conditions, the Company’s share price, legal requirements, restricted payment capacity under its debt instruments and other factors. The stock repurchase program may be suspended, modified or discontinued without prior notice.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GRAPH</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Set forth below are a line graph and table comparing the cumulative total stockholder return of our common stock against the cumulative total returns of peer group indices, the S&amp;P Midcap 400 Index, and the Dow Jones US Transportation Average Index for the period of five fiscal years commencing December 31, 2017 and ending December 31, 2022. The broad equity market indices used by the Company are the S&amp;P Midcap 400 Index, which measures the performance of mid-sized companies, and the Dow Jones US Transportation Average Index, which measures the performance of transportation companies. The graph and table depict the result of an investment on December 31, 2017 of $100 in the Company’s common stock, the S&amp;P Midcap 400 Index and the Dow Jones US Transportation Average Index, including investment of dividends.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394335</wp:posOffset>
            </wp:positionV>
            <wp:extent cx="5760720" cy="37719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6072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ind w:left="320"/>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Avis Budget Group, Inc.</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373.59</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20"/>
                <w:szCs w:val="20"/>
                <w:color w:val="auto"/>
              </w:rPr>
            </w:pPr>
            <w:r>
              <w:rPr>
                <w:rFonts w:ascii="Arial" w:cs="Arial" w:eastAsia="Arial" w:hAnsi="Arial"/>
                <w:sz w:val="16"/>
                <w:szCs w:val="16"/>
                <w:color w:val="auto"/>
              </w:rPr>
              <w:t>S&amp;P Midcap 400 Index</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88.92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112.21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127.54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159.12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138.34</w:t>
            </w: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Dow Jones US Transportation Average</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87.67</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105.94</w:t>
            </w:r>
          </w:p>
        </w:tc>
        <w:tc>
          <w:tcPr>
            <w:tcW w:w="1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123.44</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164.44</w:t>
            </w:r>
          </w:p>
        </w:tc>
        <w:tc>
          <w:tcPr>
            <w:tcW w:w="1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135.56</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Index</w:t>
            </w:r>
          </w:p>
        </w:tc>
        <w:tc>
          <w:tcPr>
            <w:tcW w:w="2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0575"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339"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40575"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05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60" w:right="2140" w:hanging="975"/>
        <w:spacing w:after="0" w:line="312" w:lineRule="auto"/>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Part I, Item 1, “Business”, Item 1A, “Risk Factors” and our Consolidated Financial Statements and accompanying Notes included in this Annual Report on Form 10-K commencing on page F-1. Our actual results of operations may differ materially from those discussed in forward-looking statements as a result of various factors, including but not limited to those included in Part I, Item 1A, “Risk Factors” and other portions of this Annual Report on Form 10-K. Unless otherwise noted, all dollar amounts in tables are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40575"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3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OVERVIEW</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COMPANY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of approximately 655,000 vehicles in 2022. We also license the use of our trademarks to licensees in the areas in which we do not operate directly. We and our licensees operate our brands in approximately 180 countries throughout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40575"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RESULTS OF OPERATIONS</w:t>
      </w:r>
    </w:p>
    <w:p>
      <w:pPr>
        <w:spacing w:after="0" w:line="3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discussion regarding our financial condition and results of operations for the year ended December 31, 2022 compared to 2021 is presented below. A discussion regarding our financial condition and results of operations for the year ended December 31, 2021 compared to 2020 can be found under Part II, Item 7 in our Annual Report on Form 10-K for the year ended December 31, 2021, filed with the SEC on February 17, 2022, which is available on the SEC’s website at www.sec.gov and our Investor Relations website at ir.avisbudgetgroup.com.</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2022, we saw strong demand and pricing for vehicle rentals, driven by global travel demand, and favorable conditions in the used-vehicle market in the United States. This coupled with disciplined cost management and continued fleet management resulted in revenues of approximately $12.0 billion, net income of $2.8 billion and Adjusted EBITDA of $4.1 billion for the year ended December 31, 2022.</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are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interest rates, inflationary impact on items such as commodity prices and wages, used car values, and an economic downturn that may impact travel demand. We continue to monitor the potential favorable or unfavorable impacts of these and other factors on our business, operations, financial condition, and future results of operations. Our strategy continues to primarily focus on costs and customer experience to strengthen our company, enable resilience, and deliver stakeholder value.</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being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management with the most relevant metrics in order to effectively manage the performance of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and other legal matters, net, which includes amounts recorded in excess of $5 million related to class action lawsuits; non-operational charges related to shareholder activist activity, which include third party advisory, legal and other professional fees; COVID-19 charges, net; other (income) expense, net, and income taxes.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revised our definition of Adjusted EBITDA to exclude other (income) expense, net. We did not revise prior years' Adjusted EBITDA because there were no other charges similar in nature. 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6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2022 vs. Year Ended December 31, 2021</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606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5"/>
          </w:tcPr>
          <w:p>
            <w:pPr>
              <w:jc w:val="center"/>
              <w:ind w:right="360"/>
              <w:spacing w:after="0" w:line="199" w:lineRule="exact"/>
              <w:rPr>
                <w:sz w:val="20"/>
                <w:szCs w:val="20"/>
                <w:color w:val="auto"/>
              </w:rPr>
            </w:pPr>
            <w:r>
              <w:rPr>
                <w:rFonts w:ascii="Arial" w:cs="Arial" w:eastAsia="Arial" w:hAnsi="Arial"/>
                <w:sz w:val="18"/>
                <w:szCs w:val="18"/>
                <w:b w:val="1"/>
                <w:bCs w:val="1"/>
                <w:color w:val="auto"/>
                <w:w w:val="98"/>
              </w:rPr>
              <w:t>Year Ended</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606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w:t>
            </w:r>
          </w:p>
        </w:tc>
        <w:tc>
          <w:tcPr>
            <w:tcW w:w="12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66"/>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1,030</w:t>
            </w: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606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w:t>
            </w:r>
          </w:p>
        </w:tc>
        <w:tc>
          <w:tcPr>
            <w:tcW w:w="1200" w:type="dxa"/>
            <w:vAlign w:val="bottom"/>
            <w:gridSpan w:val="2"/>
          </w:tcPr>
          <w:p>
            <w:pPr>
              <w:jc w:val="right"/>
              <w:ind w:right="2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60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w:t>
            </w: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606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060" w:type="dxa"/>
            <w:vAlign w:val="bottom"/>
          </w:tcPr>
          <w:p>
            <w:pPr>
              <w:ind w:left="400"/>
              <w:spacing w:after="0"/>
              <w:rPr>
                <w:sz w:val="20"/>
                <w:szCs w:val="20"/>
                <w:color w:val="auto"/>
              </w:rPr>
            </w:pPr>
            <w:r>
              <w:rPr>
                <w:rFonts w:ascii="Arial" w:cs="Arial" w:eastAsia="Arial" w:hAnsi="Arial"/>
                <w:sz w:val="18"/>
                <w:szCs w:val="18"/>
                <w:color w:val="auto"/>
              </w:rPr>
              <w:t>Non-vehicle related depreciation and amortization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1200" w:type="dxa"/>
            <w:vAlign w:val="bottom"/>
            <w:gridSpan w:val="2"/>
          </w:tcPr>
          <w:p>
            <w:pPr>
              <w:jc w:val="right"/>
              <w:ind w:right="2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060" w:type="dxa"/>
            <w:vAlign w:val="bottom"/>
          </w:tcPr>
          <w:p>
            <w:pPr>
              <w:ind w:left="400"/>
              <w:spacing w:after="0"/>
              <w:rPr>
                <w:sz w:val="20"/>
                <w:szCs w:val="20"/>
                <w:color w:val="auto"/>
              </w:rPr>
            </w:pPr>
            <w:r>
              <w:rPr>
                <w:rFonts w:ascii="Arial" w:cs="Arial" w:eastAsia="Arial" w:hAnsi="Arial"/>
                <w:sz w:val="18"/>
                <w:szCs w:val="18"/>
                <w:color w:val="auto"/>
              </w:rPr>
              <w:t>Interest expense related to corporate debt, net: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6060" w:type="dxa"/>
            <w:vAlign w:val="bottom"/>
          </w:tcPr>
          <w:p>
            <w:pPr>
              <w:ind w:left="50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6060" w:type="dxa"/>
            <w:vAlign w:val="bottom"/>
          </w:tcPr>
          <w:p>
            <w:pPr>
              <w:ind w:left="240"/>
              <w:spacing w:after="0"/>
              <w:rPr>
                <w:sz w:val="20"/>
                <w:szCs w:val="20"/>
                <w:color w:val="auto"/>
              </w:rPr>
            </w:pPr>
            <w:r>
              <w:rPr>
                <w:rFonts w:ascii="Arial" w:cs="Arial" w:eastAsia="Arial" w:hAnsi="Arial"/>
                <w:sz w:val="18"/>
                <w:szCs w:val="18"/>
                <w:color w:val="auto"/>
              </w:rPr>
              <w:t>Restructuring and other related charges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1200" w:type="dxa"/>
            <w:vAlign w:val="bottom"/>
            <w:gridSpan w:val="2"/>
          </w:tcPr>
          <w:p>
            <w:pPr>
              <w:jc w:val="right"/>
              <w:ind w:right="2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606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5"/>
        </w:trPr>
        <w:tc>
          <w:tcPr>
            <w:tcW w:w="606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2"/>
        </w:trPr>
        <w:tc>
          <w:tcPr>
            <w:tcW w:w="606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31"/>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1,928</w:t>
            </w:r>
          </w:p>
        </w:tc>
        <w:tc>
          <w:tcPr>
            <w:tcW w:w="120" w:type="dxa"/>
            <w:vAlign w:val="bottom"/>
          </w:tcPr>
          <w:p>
            <w:pPr>
              <w:spacing w:after="0"/>
              <w:rPr>
                <w:sz w:val="24"/>
                <w:szCs w:val="24"/>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5"/>
        </w:trPr>
        <w:tc>
          <w:tcPr>
            <w:tcW w:w="60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19"/>
                <w:szCs w:val="19"/>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Less: net loss attributable to non-controlling interests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Avis Budget Group,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19"/>
                <w:szCs w:val="19"/>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n/m</w:t>
        <w:tab/>
        <w:t>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Revenues increased $2.7 billion, or 29%, for the year ended December 31, 2022 compared to 2021, primarily due to a 23% increase in volume and a 8% increase in revenue per day, excluding exchange rate effects, partially offset by a $327 million negative impact from currency exchange rate movements. Total expenses increased 10% for the year ended December 31, 2022, compared to 2021, primarily due to increased demand, partially offset by cost discipline as volume returned. Our effective tax rates for the years ended December 31, 2022 and 2021 were provisions of approximately 24% and 25% , respectively. As a result of these items, our net income increased by $1.5 billion compared to 2021. For the years ended December 31, 2022 and 2021, we reported earnings per diluted share of $57.16 and $19.44, respectively.</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decreased to 44.1% of revenue for the year ended December 31, 2022 compared to 45.7% in 2021, primarily due to increased revenues and cost discipline as volume returned. Vehicle depreciation and lease charges decreased to 6.9% of revenue for the year ended December 31, 2022 compared to 12.9% in 2021, primarily due to 41% lower per unit fleet cost, excluding exchange rate effects, driven by a favorable trend in the used-vehicle market. Selling, general and administrative costs decreased to 11.2% of revenue for the year ended December 31, 2022 compared to 12.3% in 2021, primarily due to increased revenues and cost discipline as volume returned. Vehicle interest costs represented 3.4% of revenue, unchanged for the year ended December 31, 2022 compared to 2021.</w:t>
      </w:r>
    </w:p>
    <w:p>
      <w:pPr>
        <w:spacing w:after="0" w:line="128" w:lineRule="exact"/>
        <w:rPr>
          <w:sz w:val="20"/>
          <w:szCs w:val="20"/>
          <w:color w:val="auto"/>
        </w:rPr>
      </w:pPr>
    </w:p>
    <w:p>
      <w:pPr>
        <w:ind w:right="660"/>
        <w:spacing w:after="0" w:line="273"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4"/>
                <w:szCs w:val="14"/>
                <w:color w:val="auto"/>
              </w:rPr>
            </w:pPr>
          </w:p>
        </w:tc>
        <w:tc>
          <w:tcPr>
            <w:tcW w:w="122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4"/>
                <w:szCs w:val="14"/>
                <w:color w:val="auto"/>
              </w:rPr>
            </w:pPr>
          </w:p>
        </w:tc>
        <w:tc>
          <w:tcPr>
            <w:tcW w:w="1220" w:type="dxa"/>
            <w:vAlign w:val="bottom"/>
          </w:tcPr>
          <w:p>
            <w:pPr>
              <w:jc w:val="center"/>
              <w:ind w:right="170"/>
              <w:spacing w:after="0" w:line="169" w:lineRule="exact"/>
              <w:rPr>
                <w:sz w:val="20"/>
                <w:szCs w:val="20"/>
                <w:color w:val="auto"/>
              </w:rPr>
            </w:pPr>
            <w:r>
              <w:rPr>
                <w:rFonts w:ascii="Arial" w:cs="Arial" w:eastAsia="Arial" w:hAnsi="Arial"/>
                <w:sz w:val="18"/>
                <w:szCs w:val="18"/>
                <w:b w:val="1"/>
                <w:bCs w:val="1"/>
                <w:color w:val="auto"/>
                <w:w w:val="98"/>
              </w:rPr>
              <w:t>Adjusted</w:t>
            </w:r>
          </w:p>
        </w:tc>
        <w:tc>
          <w:tcPr>
            <w:tcW w:w="0" w:type="dxa"/>
            <w:vAlign w:val="bottom"/>
          </w:tcPr>
          <w:p>
            <w:pPr>
              <w:spacing w:after="0"/>
              <w:rPr>
                <w:sz w:val="1"/>
                <w:szCs w:val="1"/>
                <w:color w:val="auto"/>
              </w:rPr>
            </w:pPr>
          </w:p>
        </w:tc>
      </w:tr>
      <w:tr>
        <w:trPr>
          <w:trHeight w:val="243"/>
        </w:trPr>
        <w:tc>
          <w:tcPr>
            <w:tcW w:w="5040" w:type="dxa"/>
            <w:vAlign w:val="bottom"/>
            <w:vMerge w:val="restart"/>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EBITDA</w:t>
            </w:r>
          </w:p>
        </w:tc>
        <w:tc>
          <w:tcPr>
            <w:tcW w:w="2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18"/>
        </w:trPr>
        <w:tc>
          <w:tcPr>
            <w:tcW w:w="5040" w:type="dxa"/>
            <w:vAlign w:val="bottom"/>
            <w:vMerge w:val="continue"/>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5"/>
        </w:trPr>
        <w:tc>
          <w:tcPr>
            <w:tcW w:w="504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9"/>
                <w:szCs w:val="9"/>
                <w:color w:val="auto"/>
              </w:rPr>
              <w:t>(a)</w:t>
            </w:r>
          </w:p>
        </w:tc>
        <w:tc>
          <w:tcPr>
            <w:tcW w:w="20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2"/>
        </w:trPr>
        <w:tc>
          <w:tcPr>
            <w:tcW w:w="5040" w:type="dxa"/>
            <w:vAlign w:val="bottom"/>
          </w:tcPr>
          <w:p>
            <w:pPr>
              <w:ind w:left="280"/>
              <w:spacing w:after="0"/>
              <w:rPr>
                <w:sz w:val="20"/>
                <w:szCs w:val="20"/>
                <w:color w:val="auto"/>
              </w:rPr>
            </w:pPr>
            <w:r>
              <w:rPr>
                <w:rFonts w:ascii="Arial" w:cs="Arial" w:eastAsia="Arial" w:hAnsi="Arial"/>
                <w:sz w:val="18"/>
                <w:szCs w:val="18"/>
                <w:color w:val="auto"/>
              </w:rPr>
              <w:t>Total Company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382"/>
        </w:trPr>
        <w:tc>
          <w:tcPr>
            <w:tcW w:w="5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10"/>
          </w:tcPr>
          <w:p>
            <w:pPr>
              <w:jc w:val="right"/>
              <w:ind w:right="630"/>
              <w:spacing w:after="0"/>
              <w:rPr>
                <w:sz w:val="20"/>
                <w:szCs w:val="20"/>
                <w:color w:val="auto"/>
              </w:rPr>
            </w:pPr>
            <w:r>
              <w:rPr>
                <w:rFonts w:ascii="Arial" w:cs="Arial" w:eastAsia="Arial" w:hAnsi="Arial"/>
                <w:sz w:val="18"/>
                <w:szCs w:val="18"/>
                <w:b w:val="1"/>
                <w:bCs w:val="1"/>
                <w:color w:val="auto"/>
              </w:rPr>
              <w:t>Reconciliation of net income (loss) to Adjusted EBITDA</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Provision for income taxes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before income taxes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Add:</w:t>
            </w:r>
          </w:p>
        </w:tc>
        <w:tc>
          <w:tcPr>
            <w:tcW w:w="5060" w:type="dxa"/>
            <w:vAlign w:val="bottom"/>
          </w:tcPr>
          <w:p>
            <w:pPr>
              <w:ind w:left="180"/>
              <w:spacing w:after="0"/>
              <w:rPr>
                <w:sz w:val="20"/>
                <w:szCs w:val="20"/>
                <w:color w:val="auto"/>
              </w:rPr>
            </w:pPr>
            <w:r>
              <w:rPr>
                <w:rFonts w:ascii="Arial" w:cs="Arial" w:eastAsia="Arial" w:hAnsi="Arial"/>
                <w:sz w:val="18"/>
                <w:szCs w:val="18"/>
                <w:color w:val="auto"/>
              </w:rPr>
              <w:t xml:space="preserve">Non-vehicle related depreciation and amortization </w:t>
            </w:r>
            <w:r>
              <w:rPr>
                <w:rFonts w:ascii="Arial" w:cs="Arial" w:eastAsia="Arial" w:hAnsi="Arial"/>
                <w:sz w:val="9"/>
                <w:szCs w:val="9"/>
                <w:color w:val="auto"/>
              </w:rPr>
              <w:t>(b)</w:t>
            </w:r>
          </w:p>
        </w:tc>
      </w:tr>
      <w:tr>
        <w:trPr>
          <w:trHeight w:val="229"/>
        </w:trPr>
        <w:tc>
          <w:tcPr>
            <w:tcW w:w="56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Interest expense related to corporate debt, net:</w:t>
            </w:r>
          </w:p>
        </w:tc>
      </w:tr>
      <w:tr>
        <w:trPr>
          <w:trHeight w:val="230"/>
        </w:trPr>
        <w:tc>
          <w:tcPr>
            <w:tcW w:w="56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Interest expense</w:t>
            </w:r>
          </w:p>
        </w:tc>
      </w:tr>
      <w:tr>
        <w:trPr>
          <w:trHeight w:val="230"/>
        </w:trPr>
        <w:tc>
          <w:tcPr>
            <w:tcW w:w="56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Early extinguishment of debt</w:t>
            </w:r>
          </w:p>
        </w:tc>
      </w:tr>
      <w:tr>
        <w:trPr>
          <w:trHeight w:val="230"/>
        </w:trPr>
        <w:tc>
          <w:tcPr>
            <w:tcW w:w="56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 xml:space="preserve">Restructuring and other related charges </w:t>
            </w:r>
            <w:r>
              <w:rPr>
                <w:rFonts w:ascii="Arial" w:cs="Arial" w:eastAsia="Arial" w:hAnsi="Arial"/>
                <w:sz w:val="9"/>
                <w:szCs w:val="9"/>
                <w:color w:val="auto"/>
              </w:rPr>
              <w:t>(c)</w:t>
            </w:r>
          </w:p>
        </w:tc>
      </w:tr>
      <w:tr>
        <w:trPr>
          <w:trHeight w:val="229"/>
        </w:trPr>
        <w:tc>
          <w:tcPr>
            <w:tcW w:w="56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9"/>
                <w:szCs w:val="9"/>
                <w:color w:val="auto"/>
              </w:rPr>
              <w:t>(d)</w:t>
            </w:r>
          </w:p>
        </w:tc>
      </w:tr>
      <w:tr>
        <w:trPr>
          <w:trHeight w:val="230"/>
        </w:trPr>
        <w:tc>
          <w:tcPr>
            <w:tcW w:w="56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w w:val="99"/>
              </w:rPr>
              <w:t xml:space="preserve">Unprecedented personal-injury and other legal matters, net </w:t>
            </w:r>
            <w:r>
              <w:rPr>
                <w:rFonts w:ascii="Arial" w:cs="Arial" w:eastAsia="Arial" w:hAnsi="Arial"/>
                <w:sz w:val="9"/>
                <w:szCs w:val="9"/>
                <w:color w:val="auto"/>
                <w:w w:val="99"/>
              </w:rPr>
              <w:t>(e)</w:t>
            </w:r>
          </w:p>
        </w:tc>
      </w:tr>
      <w:tr>
        <w:trPr>
          <w:trHeight w:val="230"/>
        </w:trPr>
        <w:tc>
          <w:tcPr>
            <w:tcW w:w="56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 xml:space="preserve">COVID-19 charges, net </w:t>
            </w:r>
            <w:r>
              <w:rPr>
                <w:rFonts w:ascii="Arial" w:cs="Arial" w:eastAsia="Arial" w:hAnsi="Arial"/>
                <w:sz w:val="9"/>
                <w:szCs w:val="9"/>
                <w:color w:val="auto"/>
              </w:rPr>
              <w:t>(f)</w:t>
            </w:r>
          </w:p>
        </w:tc>
      </w:tr>
      <w:tr>
        <w:trPr>
          <w:trHeight w:val="239"/>
        </w:trPr>
        <w:tc>
          <w:tcPr>
            <w:tcW w:w="560" w:type="dxa"/>
            <w:vAlign w:val="bottom"/>
          </w:tcPr>
          <w:p>
            <w:pPr>
              <w:spacing w:after="0"/>
              <w:rPr>
                <w:sz w:val="20"/>
                <w:szCs w:val="20"/>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r>
    </w:tbl>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EBITDA</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ind w:left="280" w:hanging="272"/>
        <w:spacing w:after="0" w:line="219" w:lineRule="auto"/>
        <w:tabs>
          <w:tab w:leader="none" w:pos="2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220" w:hanging="212"/>
        <w:spacing w:after="0" w:line="192" w:lineRule="auto"/>
        <w:tabs>
          <w:tab w:leader="none" w:pos="22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Includes cloud computing costs of $10 million and $7 million in 2022 and 2021, respectively, within operating expenses.</w:t>
      </w:r>
    </w:p>
    <w:p>
      <w:pPr>
        <w:ind w:left="280" w:hanging="272"/>
        <w:spacing w:after="0" w:line="187" w:lineRule="auto"/>
        <w:tabs>
          <w:tab w:leader="none" w:pos="28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Other related charges include costs associated with the separation of certain of our officers.</w:t>
      </w:r>
    </w:p>
    <w:p>
      <w:pPr>
        <w:ind w:left="280" w:hanging="272"/>
        <w:spacing w:after="0"/>
        <w:tabs>
          <w:tab w:leader="none" w:pos="280" w:val="left"/>
        </w:tabs>
        <w:numPr>
          <w:ilvl w:val="0"/>
          <w:numId w:val="20"/>
        </w:numPr>
        <w:rPr>
          <w:rFonts w:ascii="Arial" w:cs="Arial" w:eastAsia="Arial" w:hAnsi="Arial"/>
          <w:sz w:val="9"/>
          <w:szCs w:val="9"/>
          <w:color w:val="auto"/>
        </w:rPr>
      </w:pPr>
      <w:r>
        <w:rPr>
          <w:rFonts w:ascii="Arial" w:cs="Arial" w:eastAsia="Arial" w:hAnsi="Arial"/>
          <w:sz w:val="14"/>
          <w:szCs w:val="14"/>
          <w:color w:val="auto"/>
        </w:rPr>
        <w:t>Primarily comprised of acquisition and integration related expenses.</w:t>
      </w:r>
    </w:p>
    <w:p>
      <w:pPr>
        <w:spacing w:after="0" w:line="14" w:lineRule="exact"/>
        <w:rPr>
          <w:rFonts w:ascii="Arial" w:cs="Arial" w:eastAsia="Arial" w:hAnsi="Arial"/>
          <w:sz w:val="9"/>
          <w:szCs w:val="9"/>
          <w:color w:val="auto"/>
        </w:rPr>
      </w:pPr>
    </w:p>
    <w:p>
      <w:pPr>
        <w:ind w:left="280" w:hanging="272"/>
        <w:spacing w:after="0"/>
        <w:tabs>
          <w:tab w:leader="none" w:pos="280" w:val="left"/>
        </w:tabs>
        <w:numPr>
          <w:ilvl w:val="0"/>
          <w:numId w:val="20"/>
        </w:numPr>
        <w:rPr>
          <w:rFonts w:ascii="Arial" w:cs="Arial" w:eastAsia="Arial" w:hAnsi="Arial"/>
          <w:sz w:val="9"/>
          <w:szCs w:val="9"/>
          <w:color w:val="auto"/>
        </w:rPr>
      </w:pPr>
      <w:r>
        <w:rPr>
          <w:rFonts w:ascii="Arial" w:cs="Arial" w:eastAsia="Arial" w:hAnsi="Arial"/>
          <w:sz w:val="14"/>
          <w:szCs w:val="14"/>
          <w:color w:val="auto"/>
        </w:rPr>
        <w:t>Reported within operating expenses in our consolidated results of operations.</w:t>
      </w:r>
    </w:p>
    <w:p>
      <w:pPr>
        <w:spacing w:after="0" w:line="14" w:lineRule="exact"/>
        <w:rPr>
          <w:rFonts w:ascii="Arial" w:cs="Arial" w:eastAsia="Arial" w:hAnsi="Arial"/>
          <w:sz w:val="9"/>
          <w:szCs w:val="9"/>
          <w:color w:val="auto"/>
        </w:rPr>
      </w:pPr>
    </w:p>
    <w:p>
      <w:pPr>
        <w:ind w:left="260" w:hanging="252"/>
        <w:spacing w:after="0" w:line="193" w:lineRule="auto"/>
        <w:tabs>
          <w:tab w:leader="none" w:pos="26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The following table presents the unusual, direct and incremental costs due to the COVID-19 pandemic: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120" w:type="dxa"/>
            <w:vAlign w:val="bottom"/>
          </w:tcPr>
          <w:p>
            <w:pPr>
              <w:spacing w:after="0"/>
              <w:rPr>
                <w:sz w:val="18"/>
                <w:szCs w:val="18"/>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w:t>
            </w:r>
          </w:p>
        </w:tc>
      </w:tr>
      <w:tr>
        <w:trPr>
          <w:trHeight w:val="235"/>
        </w:trPr>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r>
      <w:tr>
        <w:trPr>
          <w:trHeight w:val="232"/>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3,636</w:t>
            </w:r>
          </w:p>
        </w:tc>
        <w:tc>
          <w:tcPr>
            <w:tcW w:w="12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1,708</w:t>
            </w:r>
          </w:p>
        </w:tc>
      </w:tr>
      <w:tr>
        <w:trPr>
          <w:trHeight w:val="386"/>
        </w:trPr>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w:t>
            </w:r>
          </w:p>
        </w:tc>
      </w:tr>
    </w:tbl>
    <w:p>
      <w:pPr>
        <w:spacing w:after="0" w:line="220" w:lineRule="exact"/>
        <w:rPr>
          <w:sz w:val="20"/>
          <w:szCs w:val="20"/>
          <w:color w:val="auto"/>
        </w:rPr>
      </w:pPr>
    </w:p>
    <w:p>
      <w:pPr>
        <w:ind w:left="2660" w:hanging="1570"/>
        <w:spacing w:after="0"/>
        <w:tabs>
          <w:tab w:leader="none" w:pos="2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218</w:t>
      </w:r>
    </w:p>
    <w:p>
      <w:pPr>
        <w:spacing w:after="0" w:line="31"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136</w:t>
      </w:r>
    </w:p>
    <w:p>
      <w:pPr>
        <w:spacing w:after="0" w:line="23" w:lineRule="exact"/>
        <w:rPr>
          <w:sz w:val="20"/>
          <w:szCs w:val="20"/>
          <w:color w:val="auto"/>
        </w:rPr>
      </w:pPr>
    </w:p>
    <w:tbl>
      <w:tblPr>
        <w:tblLayout w:type="fixed"/>
        <w:tblInd w:w="1200" w:type="dxa"/>
        <w:tblCellMar>
          <w:top w:w="0" w:type="dxa"/>
          <w:left w:w="0" w:type="dxa"/>
          <w:bottom w:w="0" w:type="dxa"/>
          <w:right w:w="0" w:type="dxa"/>
        </w:tblCellMar>
      </w:tblPr>
      <w:tr>
        <w:trPr>
          <w:trHeight w:val="220"/>
        </w:trPr>
        <w:tc>
          <w:tcPr>
            <w:tcW w:w="880" w:type="dxa"/>
            <w:vAlign w:val="bottom"/>
          </w:tcPr>
          <w:p>
            <w:pPr>
              <w:jc w:val="right"/>
              <w:ind w:right="590"/>
              <w:spacing w:after="0"/>
              <w:rPr>
                <w:sz w:val="20"/>
                <w:szCs w:val="20"/>
                <w:color w:val="auto"/>
              </w:rPr>
            </w:pPr>
            <w:r>
              <w:rPr>
                <w:rFonts w:ascii="Arial" w:cs="Arial" w:eastAsia="Arial" w:hAnsi="Arial"/>
                <w:sz w:val="18"/>
                <w:szCs w:val="18"/>
                <w:color w:val="auto"/>
                <w:w w:val="89"/>
              </w:rPr>
              <w:t>19</w:t>
            </w: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880" w:type="dxa"/>
            <w:vAlign w:val="bottom"/>
          </w:tcPr>
          <w:p>
            <w:pPr>
              <w:jc w:val="right"/>
              <w:ind w:right="590"/>
              <w:spacing w:after="0"/>
              <w:rPr>
                <w:sz w:val="20"/>
                <w:szCs w:val="20"/>
                <w:color w:val="auto"/>
              </w:rPr>
            </w:pPr>
            <w:r>
              <w:rPr>
                <w:rFonts w:ascii="Arial" w:cs="Arial" w:eastAsia="Arial" w:hAnsi="Arial"/>
                <w:sz w:val="18"/>
                <w:szCs w:val="18"/>
                <w:color w:val="auto"/>
              </w:rPr>
              <w:t>8</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9"/>
        </w:trPr>
        <w:tc>
          <w:tcPr>
            <w:tcW w:w="880" w:type="dxa"/>
            <w:vAlign w:val="bottom"/>
          </w:tcPr>
          <w:p>
            <w:pPr>
              <w:jc w:val="right"/>
              <w:ind w:right="590"/>
              <w:spacing w:after="0"/>
              <w:rPr>
                <w:sz w:val="20"/>
                <w:szCs w:val="20"/>
                <w:color w:val="auto"/>
              </w:rPr>
            </w:pPr>
            <w:r>
              <w:rPr>
                <w:rFonts w:ascii="Arial" w:cs="Arial" w:eastAsia="Arial" w:hAnsi="Arial"/>
                <w:sz w:val="18"/>
                <w:szCs w:val="18"/>
                <w:color w:val="auto"/>
              </w:rPr>
              <w:t>1</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bl>
    <w:p>
      <w:pPr>
        <w:ind w:left="2780" w:hanging="1560"/>
        <w:spacing w:after="0"/>
        <w:tabs>
          <w:tab w:leader="none" w:pos="2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w:t>
      </w:r>
    </w:p>
    <w:p>
      <w:pPr>
        <w:spacing w:after="0" w:line="23" w:lineRule="exact"/>
        <w:rPr>
          <w:sz w:val="20"/>
          <w:szCs w:val="20"/>
          <w:color w:val="auto"/>
        </w:rPr>
      </w:pPr>
    </w:p>
    <w:p>
      <w:pPr>
        <w:ind w:left="2780" w:hanging="1560"/>
        <w:spacing w:after="0"/>
        <w:tabs>
          <w:tab w:leader="none" w:pos="2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19202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20" w:val="left"/>
          <w:tab w:leader="none" w:pos="1580" w:val="left"/>
          <w:tab w:leader="none" w:pos="2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4,133</w:t>
        <w:tab/>
        <w:t>$</w:t>
      </w:r>
      <w:r>
        <w:rPr>
          <w:sz w:val="20"/>
          <w:szCs w:val="20"/>
          <w:color w:val="auto"/>
        </w:rPr>
        <w:tab/>
      </w:r>
      <w:r>
        <w:rPr>
          <w:rFonts w:ascii="Arial" w:cs="Arial" w:eastAsia="Arial" w:hAnsi="Arial"/>
          <w:sz w:val="17"/>
          <w:szCs w:val="17"/>
          <w:color w:val="auto"/>
        </w:rPr>
        <w:t>2,411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192024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20240" cy="34290"/>
                    </a:xfrm>
                    <a:prstGeom prst="rect">
                      <a:avLst/>
                    </a:prstGeom>
                    <a:noFill/>
                  </pic:spPr>
                </pic:pic>
              </a:graphicData>
            </a:graphic>
          </wp:anchor>
        </w:drawing>
      </w:r>
    </w:p>
    <w:p>
      <w:pPr>
        <w:spacing w:after="0" w:line="1609" w:lineRule="exact"/>
        <w:rPr>
          <w:sz w:val="20"/>
          <w:szCs w:val="20"/>
          <w:color w:val="auto"/>
        </w:rPr>
      </w:pPr>
    </w:p>
    <w:p>
      <w:pPr>
        <w:sectPr>
          <w:pgSz w:w="11900" w:h="16838" w:orient="portrait"/>
          <w:cols w:equalWidth="0" w:num="2">
            <w:col w:w="7800" w:space="380"/>
            <w:col w:w="3060"/>
          </w:cols>
          <w:pgMar w:left="320" w:top="121" w:right="339" w:bottom="1440" w:gutter="0" w:footer="0" w:header="0"/>
          <w:type w:val="continuous"/>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360" w:type="dxa"/>
        <w:tblCellMar>
          <w:top w:w="0" w:type="dxa"/>
          <w:left w:w="0" w:type="dxa"/>
          <w:bottom w:w="0" w:type="dxa"/>
          <w:right w:w="0" w:type="dxa"/>
        </w:tblCellMar>
      </w:tblPr>
      <w:tr>
        <w:trPr>
          <w:trHeight w:val="196"/>
        </w:trPr>
        <w:tc>
          <w:tcPr>
            <w:tcW w:w="7620" w:type="dxa"/>
            <w:vAlign w:val="bottom"/>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0"/>
        </w:trPr>
        <w:tc>
          <w:tcPr>
            <w:tcW w:w="7620" w:type="dxa"/>
            <w:vAlign w:val="bottom"/>
          </w:tcPr>
          <w:p>
            <w:pPr>
              <w:spacing w:after="0"/>
              <w:rPr>
                <w:sz w:val="20"/>
                <w:szCs w:val="20"/>
                <w:color w:val="auto"/>
              </w:rPr>
            </w:pPr>
            <w:r>
              <w:rPr>
                <w:rFonts w:ascii="Arial" w:cs="Arial" w:eastAsia="Arial" w:hAnsi="Arial"/>
                <w:sz w:val="14"/>
                <w:szCs w:val="14"/>
                <w:color w:val="auto"/>
              </w:rPr>
              <w:t>Minimum annual guaranteed rent in excess of concession fees, net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Pr>
          <w:p>
            <w:pPr>
              <w:ind w:left="16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left="788"/>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4"/>
                <w:szCs w:val="14"/>
                <w:color w:val="auto"/>
              </w:rPr>
              <w:t>Vehicles damaged in overflow parking lots, net of insurance proceeds</w:t>
            </w:r>
          </w:p>
        </w:tc>
        <w:tc>
          <w:tcPr>
            <w:tcW w:w="104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center"/>
              <w:ind w:left="78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204"/>
        </w:trPr>
        <w:tc>
          <w:tcPr>
            <w:tcW w:w="7620" w:type="dxa"/>
            <w:vAlign w:val="bottom"/>
          </w:tcPr>
          <w:p>
            <w:pPr>
              <w:spacing w:after="0"/>
              <w:rPr>
                <w:sz w:val="20"/>
                <w:szCs w:val="20"/>
                <w:color w:val="auto"/>
              </w:rPr>
            </w:pPr>
            <w:r>
              <w:rPr>
                <w:rFonts w:ascii="Arial" w:cs="Arial" w:eastAsia="Arial" w:hAnsi="Arial"/>
                <w:sz w:val="14"/>
                <w:szCs w:val="14"/>
                <w:color w:val="auto"/>
              </w:rPr>
              <w:t>Other charges</w:t>
            </w:r>
          </w:p>
        </w:tc>
        <w:tc>
          <w:tcPr>
            <w:tcW w:w="104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center"/>
              <w:ind w:left="78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41"/>
        </w:trPr>
        <w:tc>
          <w:tcPr>
            <w:tcW w:w="7620" w:type="dxa"/>
            <w:vAlign w:val="bottom"/>
            <w:vMerge w:val="restart"/>
          </w:tcPr>
          <w:p>
            <w:pPr>
              <w:spacing w:after="0"/>
              <w:rPr>
                <w:sz w:val="20"/>
                <w:szCs w:val="20"/>
                <w:color w:val="auto"/>
              </w:rPr>
            </w:pPr>
            <w:r>
              <w:rPr>
                <w:rFonts w:ascii="Arial" w:cs="Arial" w:eastAsia="Arial" w:hAnsi="Arial"/>
                <w:sz w:val="14"/>
                <w:szCs w:val="14"/>
                <w:color w:val="auto"/>
              </w:rPr>
              <w:t>Operating expenses</w:t>
            </w:r>
          </w:p>
        </w:tc>
        <w:tc>
          <w:tcPr>
            <w:tcW w:w="1040" w:type="dxa"/>
            <w:vAlign w:val="bottom"/>
            <w:tcBorders>
              <w:top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1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76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ind w:left="16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center"/>
              <w:ind w:left="788"/>
              <w:spacing w:after="0"/>
              <w:rPr>
                <w:sz w:val="20"/>
                <w:szCs w:val="20"/>
                <w:color w:val="auto"/>
              </w:rPr>
            </w:pPr>
            <w:r>
              <w:rPr>
                <w:rFonts w:ascii="Arial" w:cs="Arial" w:eastAsia="Arial" w:hAnsi="Arial"/>
                <w:sz w:val="14"/>
                <w:szCs w:val="14"/>
                <w:color w:val="auto"/>
                <w:w w:val="93"/>
              </w:rPr>
              <w:t>(3)</w:t>
            </w:r>
          </w:p>
        </w:tc>
        <w:tc>
          <w:tcPr>
            <w:tcW w:w="0" w:type="dxa"/>
            <w:vAlign w:val="bottom"/>
          </w:tcPr>
          <w:p>
            <w:pPr>
              <w:spacing w:after="0"/>
              <w:rPr>
                <w:sz w:val="1"/>
                <w:szCs w:val="1"/>
                <w:color w:val="auto"/>
              </w:rPr>
            </w:pPr>
          </w:p>
        </w:tc>
      </w:tr>
      <w:tr>
        <w:trPr>
          <w:trHeight w:val="207"/>
        </w:trPr>
        <w:tc>
          <w:tcPr>
            <w:tcW w:w="762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10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left="78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7620" w:type="dxa"/>
            <w:vAlign w:val="bottom"/>
          </w:tcPr>
          <w:p>
            <w:pPr>
              <w:spacing w:after="0"/>
              <w:rPr>
                <w:sz w:val="20"/>
                <w:szCs w:val="20"/>
                <w:color w:val="auto"/>
              </w:rPr>
            </w:pPr>
            <w:r>
              <w:rPr>
                <w:rFonts w:ascii="Arial" w:cs="Arial" w:eastAsia="Arial" w:hAnsi="Arial"/>
                <w:sz w:val="14"/>
                <w:szCs w:val="14"/>
                <w:color w:val="auto"/>
              </w:rPr>
              <w:t>COVID-19 charges, net</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center"/>
              <w:ind w:left="788"/>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2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2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1"/>
                <w:szCs w:val="21"/>
                <w:color w:val="auto"/>
              </w:rPr>
            </w:pP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8"/>
        </w:trPr>
        <w:tc>
          <w:tcPr>
            <w:tcW w:w="6520" w:type="dxa"/>
            <w:vAlign w:val="bottom"/>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7,557</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9"/>
        </w:trPr>
        <w:tc>
          <w:tcPr>
            <w:tcW w:w="65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2,364</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Revenues increased 25% for the year ended December 31, 2022 compared to 2021, primarily due to a 22% increase in volume and a 3% increase in revenue per day.</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are consistent with prior year at 43.8% of revenue for the year ended December 31, 2022 compared to 43.7% in 2021. Vehicle depreciation and lease charges decreased to 4.4% of revenue for the year ended December 31, 2022 compared to 11.3% in 2021, primarily due to increased revenues and a 61% decrease in per-unit fleet costs, excluding exchange rate effects, driven by a favorable trend in the used-vehicle market. Selling, general and administrative costs decreased to 9.5% of revenue for the year ended December 31, 2022 compared to 10.3% in 2021, primarily due to increased revenues and cost discipline as volume returned. Vehicle interest costs increased to 3.7% of revenue for the year ended December 31, 2022 compared to 3.4% in 2021, primarily due to higher interest rates.</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EBITDA was $ 1.3 billion higher for the year ended December 31, 2022 compared to 2021, primarily due to increased revenues, lower per-unit fleet costs and cost discipline as volume returned.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2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52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1"/>
                <w:szCs w:val="21"/>
                <w:color w:val="auto"/>
              </w:rPr>
            </w:pP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8"/>
        </w:trPr>
        <w:tc>
          <w:tcPr>
            <w:tcW w:w="6520" w:type="dxa"/>
            <w:vAlign w:val="bottom"/>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9"/>
        </w:trPr>
        <w:tc>
          <w:tcPr>
            <w:tcW w:w="65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375 %</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increased 44% for the year ended December 31, 2022, compared to 2021, primarily due to a 31% increase in revenue per day, excluding exchange rate effects, a 23% increase in volume, partially offset by a $310 million negative impact from currency exchange rate movements.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decreased to 44.3% of revenue for the year ended December 31, 2022 compared to 53.5% in 2021, primarily due to increased revenues and cost discipline as volume returned. Vehicle depreciation and lease charges decreased to 16.4% of revenue for the year ended December 31, 2022 compared to 19.7% in 2021, primarily due to increased revenues and improved utilization, partially offset by a 10% increase in per-unit fleet costs, excluding exchange rate effects. Selling, general and administrative costs decreased to 15.0% of revenue for the year ended December 31, 2022 compared to 17.1% in 2021, primarily due to increased revenues and cost discipline as volume returned. Vehicle interest costs decreased to 2.2% of revenue for the year ended December 31, 2022 compared to 3.1% in 2021, primarily due to increased revenue.</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EBITDA was $442 million higher for the year ended December 31, 2022 compared to 2021, primarily due to increased revenues and cost discipline as volume returned, partially offset by an increase in per-unit fleet costs and a $80 million negative impact from currency exchange rate movements.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65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6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Corporate and Other</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52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1"/>
                <w:szCs w:val="21"/>
                <w:color w:val="auto"/>
              </w:rPr>
            </w:pP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8"/>
        </w:trPr>
        <w:tc>
          <w:tcPr>
            <w:tcW w:w="6520" w:type="dxa"/>
            <w:vAlign w:val="bottom"/>
            <w:gridSpan w:val="2"/>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ind w:left="7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9"/>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n/m</w:t>
        <w:tab/>
        <w:t>Not meaningful.</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EBITDA decreased $16 million for the year ended December 31, 2022, compared to 2021, due to higher selling, general and administrative expenses related to current year performance accruals and computer technology transformation costs, which are not attributable to a particular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40575"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FINANCIAL CONDITION</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40" w:type="dxa"/>
            <w:vAlign w:val="bottom"/>
            <w:tcBorders>
              <w:top w:val="single" w:sz="8" w:color="auto"/>
            </w:tcBorders>
          </w:tcPr>
          <w:p>
            <w:pPr>
              <w:spacing w:after="0"/>
              <w:rPr>
                <w:sz w:val="24"/>
                <w:szCs w:val="24"/>
                <w:color w:val="auto"/>
              </w:rPr>
            </w:pPr>
          </w:p>
        </w:tc>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5"/>
          </w:tcPr>
          <w:p>
            <w:pPr>
              <w:ind w:left="360"/>
              <w:spacing w:after="0"/>
              <w:rPr>
                <w:sz w:val="20"/>
                <w:szCs w:val="20"/>
                <w:color w:val="auto"/>
              </w:rPr>
            </w:pPr>
            <w:r>
              <w:rPr>
                <w:rFonts w:ascii="Arial" w:cs="Arial" w:eastAsia="Arial" w:hAnsi="Arial"/>
                <w:sz w:val="18"/>
                <w:szCs w:val="18"/>
                <w:b w:val="1"/>
                <w:bCs w:val="1"/>
                <w:color w:val="auto"/>
              </w:rPr>
              <w:t>As of December 31,</w:t>
            </w:r>
          </w:p>
        </w:tc>
        <w:tc>
          <w:tcPr>
            <w:tcW w:w="280" w:type="dxa"/>
            <w:vAlign w:val="bottom"/>
          </w:tcPr>
          <w:p>
            <w:pPr>
              <w:spacing w:after="0"/>
              <w:rPr>
                <w:sz w:val="24"/>
                <w:szCs w:val="24"/>
                <w:color w:val="auto"/>
              </w:rPr>
            </w:pP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6620" w:type="dxa"/>
            <w:vAlign w:val="bottom"/>
            <w:gridSpan w:val="2"/>
            <w:vMerge w:val="restart"/>
          </w:tcPr>
          <w:p>
            <w:pPr>
              <w:ind w:left="20"/>
              <w:spacing w:after="0"/>
              <w:rPr>
                <w:sz w:val="20"/>
                <w:szCs w:val="20"/>
                <w:color w:val="auto"/>
              </w:rPr>
            </w:pPr>
            <w:r>
              <w:rPr>
                <w:rFonts w:ascii="Arial" w:cs="Arial" w:eastAsia="Arial" w:hAnsi="Arial"/>
                <w:sz w:val="18"/>
                <w:szCs w:val="18"/>
                <w:color w:val="auto"/>
              </w:rPr>
              <w:t>Total assets exclusive of assets under vehicle programs</w:t>
            </w: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20" w:type="dxa"/>
            <w:vAlign w:val="bottom"/>
            <w:gridSpan w:val="2"/>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8,499</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8,581</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9"/>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Assets under vehicle programs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30"/>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Liabilities under vehicle programs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39"/>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liabilities exclusive of liabilities under vehicle programs compared to 2021 is principally related to the increase in corporate indebtedness from the issuance of Floating Rate Term Loan due March 2029. See “Liquidity and Capital Resources” and Note 13 – Long-term Corporate Debt and Borrowing Arrangements to our Consolidated Financial Statements.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increases in assets and liabilities under vehicle programs are principally related to the increase in the size of our vehicle rental fleet to meet increased demand. The decrease in stockholders’ equity compared to 2021 is principally related to our share repurchases, partially offset by 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2022, we entered into a $750 million Floating Rate Term Loan due March 2029, at a price of 97% of the aggregate principal amount, with interest paid monthly, which is part of our senior credit facilities. The Floating Rate Term Loan due March 2029 bears interest at one-month Secured Overnight Financing Rate (“SOFR”) plus 350 basis points.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2022, our Avis Budget Rental Car Funding (AESOP) LLC subsidiary issued approximately $2.1 billion of asset-backed notes with expected final payment dates ranging from March 2023 to February 2028, and a weighted average interest rate of 4.94%. The proceeds from these borrowings were used to fund the repayment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of maturing vehicle-backed debt and the acquisition of rental cars in the United States.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Board of Directors has authorized the repurchase of up to </w:t>
      </w:r>
      <w:r>
        <w:rPr>
          <w:rFonts w:ascii="Arial" w:cs="Arial" w:eastAsia="Arial" w:hAnsi="Arial"/>
          <w:sz w:val="18"/>
          <w:szCs w:val="18"/>
          <w:color w:val="262626"/>
        </w:rPr>
        <w:t>$8.1 billion</w:t>
      </w:r>
      <w:r>
        <w:rPr>
          <w:rFonts w:ascii="Arial" w:cs="Arial" w:eastAsia="Arial" w:hAnsi="Arial"/>
          <w:sz w:val="18"/>
          <w:szCs w:val="18"/>
          <w:color w:val="auto"/>
        </w:rPr>
        <w:t xml:space="preserve"> of our common stock under a plan originally approved in 2013 and subsequently expanded, most recently in February 2023. Our stock repurchases may occur through open market purchases, privately negotiated transactions or trading plans pursuant to Rule 10b5-1 of the Exchange Act. The amount and timing of specific repurchases are subject to market conditions, applicable legal requirements, restricted payment capacity under our debt instruments and other factors. The repurchase program may be suspended, modified or discontinued at any time without prior notice. The repurchase program has no set expiration or termination date. For the year ended December 31, 2022, we repurchased approximately 16.7 million shares of common stock at a cost of approximately $3.3 billion under the program. As of February 13, 2023, approximately $1.7 billion of authorization remained available to repurchase common stock under the program.</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62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662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2022 vs. Year Ended December 31, 2021</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662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60" w:type="dxa"/>
            <w:vAlign w:val="bottom"/>
            <w:gridSpan w:val="5"/>
          </w:tcPr>
          <w:p>
            <w:pPr>
              <w:ind w:left="140"/>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Pr>
          <w:p>
            <w:pPr>
              <w:spacing w:after="0"/>
              <w:rPr>
                <w:sz w:val="21"/>
                <w:szCs w:val="21"/>
                <w:color w:val="auto"/>
              </w:rPr>
            </w:pP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6620" w:type="dxa"/>
            <w:vAlign w:val="bottom"/>
            <w:vMerge w:val="restart"/>
          </w:tcPr>
          <w:p>
            <w:pPr>
              <w:ind w:left="20"/>
              <w:spacing w:after="0"/>
              <w:rPr>
                <w:sz w:val="20"/>
                <w:szCs w:val="20"/>
                <w:color w:val="auto"/>
              </w:rPr>
            </w:pPr>
            <w:r>
              <w:rPr>
                <w:rFonts w:ascii="Arial" w:cs="Arial" w:eastAsia="Arial" w:hAnsi="Arial"/>
                <w:sz w:val="18"/>
                <w:szCs w:val="18"/>
                <w:color w:val="auto"/>
              </w:rPr>
              <w:t>Cash provided by (used in):</w:t>
            </w: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4,707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3,491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181"/>
        </w:trPr>
        <w:tc>
          <w:tcPr>
            <w:tcW w:w="6620" w:type="dxa"/>
            <w:vAlign w:val="bottom"/>
          </w:tcPr>
          <w:p>
            <w:pPr>
              <w:ind w:left="20"/>
              <w:spacing w:after="0" w:line="181" w:lineRule="exact"/>
              <w:rPr>
                <w:sz w:val="20"/>
                <w:szCs w:val="20"/>
                <w:color w:val="auto"/>
              </w:rPr>
            </w:pPr>
            <w:r>
              <w:rPr>
                <w:rFonts w:ascii="Arial" w:cs="Arial" w:eastAsia="Arial" w:hAnsi="Arial"/>
                <w:sz w:val="18"/>
                <w:szCs w:val="18"/>
                <w:color w:val="auto"/>
              </w:rPr>
              <w:t>Effect of changes in exchange rates on cash and cash equivalents, program and</w:t>
            </w:r>
          </w:p>
        </w:tc>
        <w:tc>
          <w:tcPr>
            <w:tcW w:w="2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620" w:type="dxa"/>
            <w:vAlign w:val="bottom"/>
          </w:tcPr>
          <w:p>
            <w:pPr>
              <w:ind w:left="20"/>
              <w:spacing w:after="0"/>
              <w:rPr>
                <w:sz w:val="20"/>
                <w:szCs w:val="20"/>
                <w:color w:val="auto"/>
              </w:rPr>
            </w:pPr>
            <w:r>
              <w:rPr>
                <w:rFonts w:ascii="Arial" w:cs="Arial" w:eastAsia="Arial" w:hAnsi="Arial"/>
                <w:sz w:val="18"/>
                <w:szCs w:val="18"/>
                <w:color w:val="auto"/>
              </w:rPr>
              <w:t>Net change in cash and cash equivalents, program and restricted cash</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5"/>
        </w:trPr>
        <w:tc>
          <w:tcPr>
            <w:tcW w:w="6620" w:type="dxa"/>
            <w:vAlign w:val="bottom"/>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Cash and cash equivalents, program and restricted cash,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cash provided by operating activities during 2022 compared with 2021 is primarily due to the increase in our net income.</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decrease in cash used in investing activities during 2022 compared with 2021 is primarily due to the increase in proceeds received on vehicle sales.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decrease in cash provided by financing activities during 2022 compared with 2021 is primarily due to the increase in repurchases of common stock and net payments on vehicle borrowings, offset by a decrease in net payments on corporate borrowings.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our non-vehicle property and equipment additions will be approximately $325 million in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December 31, 2022, we had approximately $18.5 billion of indebtedness (including corporate indebtedness of approximately $4.7 billion and debt under vehicle programs of approximately $13.8 billion). For information regarding our debt and borrowing arrangements, see Note 1 – Basis of Presentation, Note 13 – Long-term Corporate Debt and Borrowing Arrangements, and Note 14 – Debt Under Vehicle Programs and Borrowing Arrangements to our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40575"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highlight w:val="lightGray"/>
        </w:rPr>
        <w:t>LIQUIDITY RISK</w:t>
      </w:r>
    </w:p>
    <w:p>
      <w:pPr>
        <w:spacing w:after="0" w:line="2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liquidity has in the past been, and could in the future be, negatively affected by any financial market disruptions or the absence of a recovery or worsening of the U.S. and worldwide economies,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used-vehicle market, (ii) 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 (see Part I, Item 1A, “Risk Factors” for further discussion).</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2022, we had access to $0.6 billion of available cash and cash equivalents and available borrowings under our revolving credit facility of approximately $1.0 billion, providing us with access to an approximate $1.6 billion of total liquidity.</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consolidated first lien leverage ratio requirement and other covenants associated with our senior credit facilities and other borrowings. As of December 31, 2022, we were in compliance with the financial covenants governing our indebtedness. For additional information regarding our liquidity risks, see Part I, Item 1A, “Risk Factors”.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contractual obligations for material cash requirements from known contractual and other obligations as part of a liquidity and capital resources discussion, see Note 3 – Leases, Note 13 – Long-term Corporate Debt and Borrowing Arrangements, Note 14 – Debt Under Vehicle Programs and Borrowing Arrangements, and Note 15 – Commitments and Contingencies to our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principals (GAAP), we are required to make estimates and assumptions that affect the amounts reported therein. Several of the estimates and assumptions we are required to make relate to matters that are inherently uncertain as they relate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below are those accounting policies that we believe require subjective and complex judgments that could potentially affect reported results.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Goodwill and Other Indefinite-lived Intangible Assets. </w:t>
      </w:r>
      <w:r>
        <w:rPr>
          <w:rFonts w:ascii="Arial" w:cs="Arial" w:eastAsia="Arial" w:hAnsi="Arial"/>
          <w:sz w:val="18"/>
          <w:szCs w:val="18"/>
          <w:color w:val="auto"/>
        </w:rPr>
        <w:t>We have reviewed the carrying value of our goodwill and other indefinite-lived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for impairment. In performing this review, we are required to make an assessment of fair value for our goodwill and other indefinite-lived intangible assets. When determining fair value, we utilize various assumptions, including the fair market trading price of our common stock and management’s projections of future cash flows, which include forecast of future revenue and Adjusted EBITDA. When appropriate, comparative market multiples and other factors are used to corroborate the discounted cash flow results. A change in these underlying assumptions will cause a change in the results of the tests and, as such, could cause the fair value to be less than the respective carrying amount. In such event, we would then be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required to record a charge, which would impact earnings. We review the carrying value of goodwill and other indefinite-lived intangible assets for impairment annually or more frequently if circumstances indicate that an impairment may have occurred.</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goodwill and other indefinite-lived intangible assets are allocated among our reporting units. During 2022, 2021 and 2020, there was no impairment of goodwill and other intangible assets. See Note 7 – Intangible Assets to our Consolidated Financial Statements.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Vehicles. </w:t>
      </w:r>
      <w:r>
        <w:rPr>
          <w:rFonts w:ascii="Arial" w:cs="Arial" w:eastAsia="Arial" w:hAnsi="Arial"/>
          <w:sz w:val="18"/>
          <w:szCs w:val="18"/>
          <w:color w:val="auto"/>
        </w:rPr>
        <w:t>We present vehicles at cost, net of accumulated depreciation, on the Consolidated Balance Sheets. We record the initial cost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net of incentives and allowances from manufacturers. We acquire our rental vehicles either through repurchase and guaranteed depreciation programs with certain automobile manufacturers or outside of such programs. For rental vehicles purchased under such programs, we depreciate the vehicles such that the net book value on the date of sale or return to the manufacturers is intended to equal the contractual guaranteed residual values. For risk vehicles acquired outside of manufacturer repurchase and guaranteed depreciation programs, we depreciate based on the vehicles’ estimated residual market values at their expected dates of disposition. The estimation of residual values requires us to make assumptions regarding the age and mileage of the vehicle at the time of disposal, as well as expected used vehicle market conditions. We regularly evaluate estimated residual values and adjusts depreciation rates as appropriate. Differences between actual residual values and those estimated result in a gain or loss on disposal and are recorded as part of vehicle depreciation and lease charges, net, at the time of sale. See Note 2 – Summary of Significant Accounting Policies to our Consolidated Financial Statements. For a discussion of risk factors and assumptions relative to our vehicle valuations, refer to Item 1A, “Risk Factors”, included under Part 1 of this Annual Report on Form 10-K.</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account for income taxes under the asset and liability method, which requires the recognition of deferred tax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the expected future tax consequences of events that have been reflected in the financial statements. Under this method, deferred tax assets and liabilities are determined based on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results of operations. In the event we were to determine that we would be able to realize deferred income tax assets in the future in excess of their net recorded amount, we would make an adjustment to the valuation allowance which would reduce the provision for income taxes. Currently we do not record valuation allowances on the majority of our tax loss carryforwards as there are adequate deferred tax liabilities that could be realized within the carryforward period.</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Note 2 – Summary of Significant Accounting Policies and Note 9 – Income Taxes to our Consolidated Financial Statements for more information regarding income taxes.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Public Liability, Property Damage and Other Insurance Liabilities. </w:t>
      </w:r>
      <w:r>
        <w:rPr>
          <w:rFonts w:ascii="Arial" w:cs="Arial" w:eastAsia="Arial" w:hAnsi="Arial"/>
          <w:sz w:val="18"/>
          <w:szCs w:val="18"/>
          <w:color w:val="auto"/>
        </w:rPr>
        <w:t>Insurance liabilities on our Consolidated Balance Sheets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liability insurance, personal effects protection insurance, public liability, property damage and personal accident insurance claims for which we are self-insured. We estimate the required liability of such claims on an undiscounted basis utilizing an actuarial method that is based upon various assumptions which include, but are not limited to, our historical loss experience and projected loss development factors. The required liability is also subject to adjustment in the future based upon changes in claims experience, including changes in the number of incidents for which we are ultimately liable and changes in the cost per incident. See Note 2 – Summary of Significant Accounting Policies to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a description of our adoption of new accounting pronouncements and the impact thereof on our business, see Note 2 – Summary of Significant Accounting Policies to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a description of recently issued accounting pronouncements and the impact thereof on our business, see Note 2 – Summary of Significant Accounting Policies to our Consolidated Financial Statements.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40575"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manage our exposure to market risks through our regular operating and financing activities and, when deemed appropriate, through the use of derivative financial instruments, particularly currency forward contracts to manage and reduce currency exchange rate risk; swap contracts, futures and options contracts, to manage and reduce the interest rate risk related to our debt; and derivative commodity instruments to manage and reduce the risk of changing unleaded gasoline prices.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exclusively an end user of these instruments. We do not engage in trading, market-making or other speculative activities in the derivatives markets. We manage our exposure to counterparty credit risk related to our use of derivatives through specific minimum credit standards, diversification of counterparties, and procedures to monitor concentrations of credit risk. Our counterparties are substantial investment and commercial banks with significant experience providing such derivative instruments.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total market risk is influenced by a wide variety of factors including the volatility present within the markets and the liquidity of the markets. There are certain limitations inherent in the sensitivity analyses discussed below. These “shock tests” are constrained by several factors, including the necessity to conduct the analysis based on a single point in time and the inability to include the complex market reactions that normally would arise from the market shifts modeled. For additional information regarding our borrowings and financial instruments, see Note 13 – Long-term Corporate Debt and Borrowing Arrangements, Note 14 – Debt Under Vehicle Programs and Borrowing Arrangements and Note 20 – Financial Instruments to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 Management</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exposure to currency exchange rate fluctuations worldwide and particularly with respect to the Australian, Canadian and New Zealand dollars, the euro and British pound sterling. We use currency forward contracts and currency swap contracts to manage exchange rate risk that arises from certain intercompany transactions and from non-functional currency denominated assets and liabilities and earnings denominated in non-U.S. dollar currencies. Our currency forward contracts are often not designated as hedges and therefore changes in the fair value of these derivatives are recognized in earnings as they occur. We anticipate that such currency exchange rate risk will remain a market risk exposure for the foreseeable future.</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assess our market risk based on changes in currency exchange rates utilizing a sensitivity analysis. The sensitivity analysis measures the potential impact on earnings, cash flows and fair values based on a hypothetical 10% appreciation or depreciation in the value of the underlying currencies being hedged, against the U.S. dollar at December 31, 2022. With all other variables held constant, a hypothetical 10% change (increase or decrease) in currency exchange rates would not have a material impact on our 2022 earnings. Because unrealized gains or losses related to foreign currency forward and swap contracts are expected to be offset by corresponding gains or losses on the underlying exposures being hedged, when combined, these foreign currency contracts and the offsetting underlying commitments do not create a material impact on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primary interest rate exposure at December 31, 2022 was interest rate fluctuation in the U.S. due to its impact on variable rate borrowings and other interest rate sensitive liabilities. We use interest rate swaps and caps to manage our exposure to interest rate movements. We anticipate interest rate fluctuation will remain a primary market risk exposure for the foreseeable future.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assess our market risk based on changes in interest rates utilizing a sensitivity analysis. Based on our interest rate exposures and derivatives as of December 31, 2022, we estimate that a 10% change in interest rates would not have a material impact on our 2022 earnings. Because gains or losses related to interest rate derivatives are expected to be offset by corresponding gains or losses on the underlying exposures being hedged, when combined, these interest rate contracts and the offsetting underlying commitments do not create a material impact on our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Risk Management</w:t>
      </w:r>
    </w:p>
    <w:p>
      <w:pPr>
        <w:spacing w:after="0" w:line="16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commodity price exposure related to fluctuations in the price of gasoline. We anticipate that such commodity risk will remain a market risk exposure for the foreseeable future. We determined that a hypothetical 10% change in the price of gasoline would not have a material impact on our earnings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40575"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3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See Consolidated Financial Statements and Consolidated Financial Statement Index commencing on Page F-1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40575"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40575"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9A. CONTROLS AND PROCEDURES</w:t>
      </w:r>
    </w:p>
    <w:p>
      <w:pPr>
        <w:spacing w:after="0" w:line="360" w:lineRule="exact"/>
        <w:rPr>
          <w:sz w:val="20"/>
          <w:szCs w:val="20"/>
          <w:color w:val="auto"/>
        </w:rPr>
      </w:pPr>
    </w:p>
    <w:p>
      <w:pPr>
        <w:jc w:val="both"/>
        <w:ind w:left="340" w:hanging="332"/>
        <w:spacing w:after="0" w:line="259" w:lineRule="auto"/>
        <w:tabs>
          <w:tab w:leader="none" w:pos="436"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the end of the period covered by this annual report.</w:t>
      </w:r>
    </w:p>
    <w:p>
      <w:pPr>
        <w:spacing w:after="0" w:line="206" w:lineRule="exact"/>
        <w:rPr>
          <w:rFonts w:ascii="Arial" w:cs="Arial" w:eastAsia="Arial" w:hAnsi="Arial"/>
          <w:sz w:val="18"/>
          <w:szCs w:val="18"/>
          <w:color w:val="auto"/>
        </w:rPr>
      </w:pPr>
    </w:p>
    <w:p>
      <w:pPr>
        <w:jc w:val="both"/>
        <w:ind w:left="340" w:hanging="332"/>
        <w:spacing w:after="0" w:line="255" w:lineRule="auto"/>
        <w:tabs>
          <w:tab w:leader="none" w:pos="557"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 Our management is responsible for establishing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maintaining adequate internal control over financial reporting, as defined in Rules 13a-15(f) and 15d-15(f) under the Exchange Act. Our management assessed the effectiveness of our internal control over financial reporting as of December 31, 2022.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Based on this assessment, our management believes that, as of December 31, 2022, our internal control over financial reporting was effective. The effectiveness of our internal control over financial reporting as of December 31, 2022 has been audited by Deloitte &amp; Touche LLP, an independent registered public accounting firm. Their attestation report is included below.</w:t>
      </w:r>
    </w:p>
    <w:p>
      <w:pPr>
        <w:spacing w:after="0" w:line="211" w:lineRule="exact"/>
        <w:rPr>
          <w:rFonts w:ascii="Arial" w:cs="Arial" w:eastAsia="Arial" w:hAnsi="Arial"/>
          <w:sz w:val="18"/>
          <w:szCs w:val="18"/>
          <w:color w:val="auto"/>
        </w:rPr>
      </w:pPr>
    </w:p>
    <w:p>
      <w:pPr>
        <w:jc w:val="both"/>
        <w:ind w:left="340" w:hanging="332"/>
        <w:spacing w:after="0" w:line="268"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During the fourth quarter of 2022, there was no change in our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Avis Budget Group,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Parsippany, New Jersey</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We have audited the internal control over financial reporting of Avis Budget Group, Inc. and subsidiaries (the "Company") as of December 31,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2022 of the Company and our report dated February 16, 2023 expressed an unqualified opinion on those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6"/>
          <w:szCs w:val="16"/>
          <w:i w:val="1"/>
          <w:iCs w:val="1"/>
          <w:color w:val="auto"/>
        </w:rPr>
        <w:t>Management’s Annual Report on Internal Control over Financial Reporting</w:t>
      </w:r>
      <w:r>
        <w:rPr>
          <w:rFonts w:ascii="Arial" w:cs="Arial" w:eastAsia="Arial" w:hAnsi="Arial"/>
          <w:sz w:val="16"/>
          <w:szCs w:val="16"/>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40575"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40575"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40575"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36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2023 Annual Meeting of Stockholders to be filed with the SEC pursuant to Regulation 14A within 120 days after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11. EXECUTIVE COMPENSATION</w:t>
      </w:r>
    </w:p>
    <w:p>
      <w:pPr>
        <w:spacing w:after="0" w:line="34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2023 Annual Meeting of Stockholders to be filed with the SEC pursuant to Regulation 14A within 120 days after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283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0575" cy="283210"/>
                    </a:xfrm>
                    <a:prstGeom prst="rect">
                      <a:avLst/>
                    </a:prstGeom>
                    <a:noFill/>
                  </pic:spPr>
                </pic:pic>
              </a:graphicData>
            </a:graphic>
          </wp:anchor>
        </w:drawing>
      </w:r>
    </w:p>
    <w:p>
      <w:pPr>
        <w:spacing w:after="0" w:line="214" w:lineRule="exact"/>
        <w:rPr>
          <w:sz w:val="20"/>
          <w:szCs w:val="20"/>
          <w:color w:val="auto"/>
        </w:rPr>
      </w:pPr>
    </w:p>
    <w:p>
      <w:pPr>
        <w:ind w:left="40" w:right="640"/>
        <w:spacing w:after="0" w:line="26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2023 Annual Meeting of Stockholders to be filed with the SEC pursuant to Regulation 14A within 120 days after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36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2023 Annual Meeting of Stockholders to be filed with the SEC pursuant to Regulation 14A within 120 days after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34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2023 Annual Meeting of Stockholders to be filed with the SEC pursuant to Regulation 14A within 120 days after December 31, 2022.</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40575"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40575"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39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15(A)(1). FINANCIAL STATEMENTS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See Consolidated Financial Statements and Consolidated Financial Statements Index commencing on page F-1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40575"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15(A)(2). FINANCIAL STATEMENT SCHEDULES</w:t>
      </w:r>
    </w:p>
    <w:p>
      <w:pPr>
        <w:spacing w:after="0" w:line="36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See Schedule II – Valuation and Qualifying Accounts for the years ended December 31, 2022, 2021 and 2020 commencing on page G-1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15(A)(3). EXHIBITS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commencing on page H-1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40575"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16. FORM 10-K SUMMARY</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2" w:right="71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180"/>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AVIS BUDGET GROUP, INC.</w:t>
      </w:r>
    </w:p>
    <w:p>
      <w:pPr>
        <w:spacing w:after="0" w:line="293" w:lineRule="exact"/>
        <w:rPr>
          <w:sz w:val="20"/>
          <w:szCs w:val="20"/>
          <w:color w:val="auto"/>
        </w:rPr>
      </w:pPr>
    </w:p>
    <w:tbl>
      <w:tblPr>
        <w:tblLayout w:type="fixed"/>
        <w:tblInd w:w="5920" w:type="dxa"/>
        <w:tblCellMar>
          <w:top w:w="0" w:type="dxa"/>
          <w:left w:w="0" w:type="dxa"/>
          <w:bottom w:w="0" w:type="dxa"/>
          <w:right w:w="0" w:type="dxa"/>
        </w:tblCellMar>
      </w:tblPr>
      <w:tr>
        <w:trPr>
          <w:trHeight w:val="235"/>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CATHLEEN DEGENOVA</w:t>
            </w:r>
          </w:p>
        </w:tc>
      </w:tr>
      <w:tr>
        <w:trPr>
          <w:trHeight w:val="220"/>
        </w:trPr>
        <w:tc>
          <w:tcPr>
            <w:tcW w:w="800" w:type="dxa"/>
            <w:vAlign w:val="bottom"/>
          </w:tcPr>
          <w:p>
            <w:pPr>
              <w:spacing w:after="0"/>
              <w:rPr>
                <w:sz w:val="19"/>
                <w:szCs w:val="19"/>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rPr>
              <w:t>Cathleen DeGenova</w:t>
            </w:r>
          </w:p>
        </w:tc>
      </w:tr>
      <w:tr>
        <w:trPr>
          <w:trHeight w:val="228"/>
        </w:trPr>
        <w:tc>
          <w:tcPr>
            <w:tcW w:w="5320" w:type="dxa"/>
            <w:vAlign w:val="bottom"/>
            <w:gridSpan w:val="2"/>
          </w:tcPr>
          <w:p>
            <w:pPr>
              <w:spacing w:after="0"/>
              <w:rPr>
                <w:sz w:val="20"/>
                <w:szCs w:val="20"/>
                <w:color w:val="auto"/>
              </w:rPr>
            </w:pPr>
            <w:r>
              <w:rPr>
                <w:rFonts w:ascii="Arial" w:cs="Arial" w:eastAsia="Arial" w:hAnsi="Arial"/>
                <w:sz w:val="18"/>
                <w:szCs w:val="18"/>
                <w:i w:val="1"/>
                <w:iCs w:val="1"/>
                <w:color w:val="auto"/>
              </w:rPr>
              <w:t>Vice President and Chief Accounting Officer</w:t>
            </w:r>
          </w:p>
        </w:tc>
      </w:tr>
      <w:tr>
        <w:trPr>
          <w:trHeight w:val="239"/>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tcPr>
          <w:p>
            <w:pPr>
              <w:ind w:left="20"/>
              <w:spacing w:after="0"/>
              <w:rPr>
                <w:sz w:val="20"/>
                <w:szCs w:val="20"/>
                <w:color w:val="auto"/>
              </w:rPr>
            </w:pPr>
            <w:r>
              <w:rPr>
                <w:rFonts w:ascii="Arial" w:cs="Arial" w:eastAsia="Arial" w:hAnsi="Arial"/>
                <w:sz w:val="18"/>
                <w:szCs w:val="18"/>
                <w:color w:val="auto"/>
              </w:rPr>
              <w:t>February 16, 2023</w:t>
            </w:r>
          </w:p>
        </w:tc>
      </w:tr>
    </w:tbl>
    <w:p>
      <w:pPr>
        <w:spacing w:after="0" w:line="31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2" w:right="339" w:bottom="1440" w:gutter="0" w:footer="0" w:header="0"/>
        </w:sectPr>
      </w:pPr>
    </w:p>
    <w:p>
      <w:pPr>
        <w:spacing w:after="0" w:line="252"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Signature</w:t>
      </w:r>
    </w:p>
    <w:p>
      <w:pPr>
        <w:spacing w:after="0" w:line="35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(Joseph A. Ferraro)</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(Brian Choi)</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CATHLEEN DEGENOVA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(Cathleen DeGenova)</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BERNARDO HEES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(Bernardo Hees)</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JAGDEEP PAHWA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(Jagdeep Pahwa)</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ANU HARIHARAN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(Anu Hariharan)</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(Lynn Krominga)</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(Glenn Lurie)</w:t>
      </w:r>
    </w:p>
    <w:p>
      <w:pPr>
        <w:spacing w:after="0" w:line="181"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KARTHIK SARMA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(Karthik Sarma)</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620" w:type="dxa"/>
            <w:vAlign w:val="bottom"/>
          </w:tcPr>
          <w:p>
            <w:pPr>
              <w:jc w:val="center"/>
              <w:ind w:right="299"/>
              <w:spacing w:after="0"/>
              <w:rPr>
                <w:sz w:val="20"/>
                <w:szCs w:val="20"/>
                <w:color w:val="auto"/>
              </w:rPr>
            </w:pPr>
            <w:r>
              <w:rPr>
                <w:rFonts w:ascii="Arial" w:cs="Arial" w:eastAsia="Arial" w:hAnsi="Arial"/>
                <w:sz w:val="16"/>
                <w:szCs w:val="16"/>
                <w:b w:val="1"/>
                <w:bCs w:val="1"/>
                <w:color w:val="auto"/>
                <w:w w:val="97"/>
              </w:rPr>
              <w:t>Title</w:t>
            </w:r>
          </w:p>
        </w:tc>
        <w:tc>
          <w:tcPr>
            <w:tcW w:w="1720" w:type="dxa"/>
            <w:vAlign w:val="bottom"/>
          </w:tcPr>
          <w:p>
            <w:pPr>
              <w:jc w:val="center"/>
              <w:ind w:left="319"/>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478"/>
        </w:trPr>
        <w:tc>
          <w:tcPr>
            <w:tcW w:w="3620" w:type="dxa"/>
            <w:vAlign w:val="bottom"/>
          </w:tcPr>
          <w:p>
            <w:pPr>
              <w:jc w:val="center"/>
              <w:ind w:right="299"/>
              <w:spacing w:after="0"/>
              <w:rPr>
                <w:sz w:val="20"/>
                <w:szCs w:val="20"/>
                <w:color w:val="auto"/>
              </w:rPr>
            </w:pPr>
            <w:r>
              <w:rPr>
                <w:rFonts w:ascii="Arial" w:cs="Arial" w:eastAsia="Arial" w:hAnsi="Arial"/>
                <w:sz w:val="16"/>
                <w:szCs w:val="16"/>
                <w:color w:val="auto"/>
              </w:rPr>
              <w:t>President and Chief Executive Officer</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16, 2023</w:t>
            </w:r>
          </w:p>
        </w:tc>
        <w:tc>
          <w:tcPr>
            <w:tcW w:w="0" w:type="dxa"/>
            <w:vAlign w:val="bottom"/>
          </w:tcPr>
          <w:p>
            <w:pPr>
              <w:spacing w:after="0"/>
              <w:rPr>
                <w:sz w:val="1"/>
                <w:szCs w:val="1"/>
                <w:color w:val="auto"/>
              </w:rPr>
            </w:pPr>
          </w:p>
        </w:tc>
      </w:tr>
      <w:tr>
        <w:trPr>
          <w:trHeight w:val="542"/>
        </w:trPr>
        <w:tc>
          <w:tcPr>
            <w:tcW w:w="3620" w:type="dxa"/>
            <w:vAlign w:val="bottom"/>
          </w:tcPr>
          <w:p>
            <w:pPr>
              <w:jc w:val="center"/>
              <w:ind w:right="319"/>
              <w:spacing w:after="0"/>
              <w:rPr>
                <w:sz w:val="20"/>
                <w:szCs w:val="20"/>
                <w:color w:val="auto"/>
              </w:rPr>
            </w:pPr>
            <w:r>
              <w:rPr>
                <w:rFonts w:ascii="Arial" w:cs="Arial" w:eastAsia="Arial" w:hAnsi="Arial"/>
                <w:sz w:val="16"/>
                <w:szCs w:val="16"/>
                <w:color w:val="auto"/>
              </w:rPr>
              <w:t>Executive Vice President and Chief Financial</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16, 2023</w:t>
            </w:r>
          </w:p>
        </w:tc>
        <w:tc>
          <w:tcPr>
            <w:tcW w:w="0" w:type="dxa"/>
            <w:vAlign w:val="bottom"/>
          </w:tcPr>
          <w:p>
            <w:pPr>
              <w:spacing w:after="0"/>
              <w:rPr>
                <w:sz w:val="1"/>
                <w:szCs w:val="1"/>
                <w:color w:val="auto"/>
              </w:rPr>
            </w:pPr>
          </w:p>
        </w:tc>
      </w:tr>
      <w:tr>
        <w:trPr>
          <w:trHeight w:val="215"/>
        </w:trPr>
        <w:tc>
          <w:tcPr>
            <w:tcW w:w="3620" w:type="dxa"/>
            <w:vAlign w:val="bottom"/>
          </w:tcPr>
          <w:p>
            <w:pPr>
              <w:jc w:val="center"/>
              <w:ind w:right="299"/>
              <w:spacing w:after="0"/>
              <w:rPr>
                <w:sz w:val="20"/>
                <w:szCs w:val="20"/>
                <w:color w:val="auto"/>
              </w:rPr>
            </w:pPr>
            <w:r>
              <w:rPr>
                <w:rFonts w:ascii="Arial" w:cs="Arial" w:eastAsia="Arial" w:hAnsi="Arial"/>
                <w:sz w:val="16"/>
                <w:szCs w:val="16"/>
                <w:color w:val="auto"/>
              </w:rPr>
              <w:t>Officer</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3620" w:type="dxa"/>
            <w:vAlign w:val="bottom"/>
          </w:tcPr>
          <w:p>
            <w:pPr>
              <w:jc w:val="center"/>
              <w:ind w:right="299"/>
              <w:spacing w:after="0"/>
              <w:rPr>
                <w:sz w:val="20"/>
                <w:szCs w:val="20"/>
                <w:color w:val="auto"/>
              </w:rPr>
            </w:pPr>
            <w:r>
              <w:rPr>
                <w:rFonts w:ascii="Arial" w:cs="Arial" w:eastAsia="Arial" w:hAnsi="Arial"/>
                <w:sz w:val="16"/>
                <w:szCs w:val="16"/>
                <w:color w:val="auto"/>
              </w:rPr>
              <w:t>Vice President and Chief Accounting Officer</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16, 2023</w:t>
            </w:r>
          </w:p>
        </w:tc>
        <w:tc>
          <w:tcPr>
            <w:tcW w:w="0" w:type="dxa"/>
            <w:vAlign w:val="bottom"/>
          </w:tcPr>
          <w:p>
            <w:pPr>
              <w:spacing w:after="0"/>
              <w:rPr>
                <w:sz w:val="1"/>
                <w:szCs w:val="1"/>
                <w:color w:val="auto"/>
              </w:rPr>
            </w:pPr>
          </w:p>
        </w:tc>
      </w:tr>
      <w:tr>
        <w:trPr>
          <w:trHeight w:val="594"/>
        </w:trPr>
        <w:tc>
          <w:tcPr>
            <w:tcW w:w="3620" w:type="dxa"/>
            <w:vAlign w:val="bottom"/>
          </w:tcPr>
          <w:p>
            <w:pPr>
              <w:jc w:val="center"/>
              <w:ind w:right="299"/>
              <w:spacing w:after="0"/>
              <w:rPr>
                <w:sz w:val="20"/>
                <w:szCs w:val="20"/>
                <w:color w:val="auto"/>
              </w:rPr>
            </w:pPr>
            <w:r>
              <w:rPr>
                <w:rFonts w:ascii="Arial" w:cs="Arial" w:eastAsia="Arial" w:hAnsi="Arial"/>
                <w:sz w:val="16"/>
                <w:szCs w:val="16"/>
                <w:color w:val="auto"/>
              </w:rPr>
              <w:t>Executive Chairman of the Board of Directors</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16, 2023</w:t>
            </w:r>
          </w:p>
        </w:tc>
        <w:tc>
          <w:tcPr>
            <w:tcW w:w="0" w:type="dxa"/>
            <w:vAlign w:val="bottom"/>
          </w:tcPr>
          <w:p>
            <w:pPr>
              <w:spacing w:after="0"/>
              <w:rPr>
                <w:sz w:val="1"/>
                <w:szCs w:val="1"/>
                <w:color w:val="auto"/>
              </w:rPr>
            </w:pPr>
          </w:p>
        </w:tc>
      </w:tr>
      <w:tr>
        <w:trPr>
          <w:trHeight w:val="594"/>
        </w:trPr>
        <w:tc>
          <w:tcPr>
            <w:tcW w:w="3620" w:type="dxa"/>
            <w:vAlign w:val="bottom"/>
          </w:tcPr>
          <w:p>
            <w:pPr>
              <w:jc w:val="center"/>
              <w:ind w:right="319"/>
              <w:spacing w:after="0"/>
              <w:rPr>
                <w:sz w:val="20"/>
                <w:szCs w:val="20"/>
                <w:color w:val="auto"/>
              </w:rPr>
            </w:pPr>
            <w:r>
              <w:rPr>
                <w:rFonts w:ascii="Arial" w:cs="Arial" w:eastAsia="Arial" w:hAnsi="Arial"/>
                <w:sz w:val="16"/>
                <w:szCs w:val="16"/>
                <w:color w:val="auto"/>
              </w:rPr>
              <w:t>Vice Chairman of the Board of Directors</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16, 2023</w:t>
            </w:r>
          </w:p>
        </w:tc>
        <w:tc>
          <w:tcPr>
            <w:tcW w:w="0" w:type="dxa"/>
            <w:vAlign w:val="bottom"/>
          </w:tcPr>
          <w:p>
            <w:pPr>
              <w:spacing w:after="0"/>
              <w:rPr>
                <w:sz w:val="1"/>
                <w:szCs w:val="1"/>
                <w:color w:val="auto"/>
              </w:rPr>
            </w:pPr>
          </w:p>
        </w:tc>
      </w:tr>
      <w:tr>
        <w:trPr>
          <w:trHeight w:val="594"/>
        </w:trPr>
        <w:tc>
          <w:tcPr>
            <w:tcW w:w="3620" w:type="dxa"/>
            <w:vAlign w:val="bottom"/>
          </w:tcPr>
          <w:p>
            <w:pPr>
              <w:jc w:val="center"/>
              <w:ind w:right="299"/>
              <w:spacing w:after="0"/>
              <w:rPr>
                <w:sz w:val="20"/>
                <w:szCs w:val="20"/>
                <w:color w:val="auto"/>
              </w:rPr>
            </w:pPr>
            <w:r>
              <w:rPr>
                <w:rFonts w:ascii="Arial" w:cs="Arial" w:eastAsia="Arial" w:hAnsi="Arial"/>
                <w:sz w:val="16"/>
                <w:szCs w:val="16"/>
                <w:color w:val="auto"/>
                <w:w w:val="99"/>
              </w:rPr>
              <w:t>Director</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16, 2023</w:t>
            </w:r>
          </w:p>
        </w:tc>
        <w:tc>
          <w:tcPr>
            <w:tcW w:w="0" w:type="dxa"/>
            <w:vAlign w:val="bottom"/>
          </w:tcPr>
          <w:p>
            <w:pPr>
              <w:spacing w:after="0"/>
              <w:rPr>
                <w:sz w:val="1"/>
                <w:szCs w:val="1"/>
                <w:color w:val="auto"/>
              </w:rPr>
            </w:pPr>
          </w:p>
        </w:tc>
      </w:tr>
      <w:tr>
        <w:trPr>
          <w:trHeight w:val="594"/>
        </w:trPr>
        <w:tc>
          <w:tcPr>
            <w:tcW w:w="3620" w:type="dxa"/>
            <w:vAlign w:val="bottom"/>
          </w:tcPr>
          <w:p>
            <w:pPr>
              <w:jc w:val="center"/>
              <w:ind w:right="299"/>
              <w:spacing w:after="0"/>
              <w:rPr>
                <w:sz w:val="20"/>
                <w:szCs w:val="20"/>
                <w:color w:val="auto"/>
              </w:rPr>
            </w:pPr>
            <w:r>
              <w:rPr>
                <w:rFonts w:ascii="Arial" w:cs="Arial" w:eastAsia="Arial" w:hAnsi="Arial"/>
                <w:sz w:val="16"/>
                <w:szCs w:val="16"/>
                <w:color w:val="auto"/>
                <w:w w:val="99"/>
              </w:rPr>
              <w:t>Director</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16, 2023</w:t>
            </w:r>
          </w:p>
        </w:tc>
        <w:tc>
          <w:tcPr>
            <w:tcW w:w="0" w:type="dxa"/>
            <w:vAlign w:val="bottom"/>
          </w:tcPr>
          <w:p>
            <w:pPr>
              <w:spacing w:after="0"/>
              <w:rPr>
                <w:sz w:val="1"/>
                <w:szCs w:val="1"/>
                <w:color w:val="auto"/>
              </w:rPr>
            </w:pPr>
          </w:p>
        </w:tc>
      </w:tr>
      <w:tr>
        <w:trPr>
          <w:trHeight w:val="594"/>
        </w:trPr>
        <w:tc>
          <w:tcPr>
            <w:tcW w:w="3620" w:type="dxa"/>
            <w:vAlign w:val="bottom"/>
          </w:tcPr>
          <w:p>
            <w:pPr>
              <w:jc w:val="center"/>
              <w:ind w:right="299"/>
              <w:spacing w:after="0"/>
              <w:rPr>
                <w:sz w:val="20"/>
                <w:szCs w:val="20"/>
                <w:color w:val="auto"/>
              </w:rPr>
            </w:pPr>
            <w:r>
              <w:rPr>
                <w:rFonts w:ascii="Arial" w:cs="Arial" w:eastAsia="Arial" w:hAnsi="Arial"/>
                <w:sz w:val="16"/>
                <w:szCs w:val="16"/>
                <w:color w:val="auto"/>
                <w:w w:val="99"/>
              </w:rPr>
              <w:t>Director</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16, 2023</w:t>
            </w:r>
          </w:p>
        </w:tc>
        <w:tc>
          <w:tcPr>
            <w:tcW w:w="0" w:type="dxa"/>
            <w:vAlign w:val="bottom"/>
          </w:tcPr>
          <w:p>
            <w:pPr>
              <w:spacing w:after="0"/>
              <w:rPr>
                <w:sz w:val="1"/>
                <w:szCs w:val="1"/>
                <w:color w:val="auto"/>
              </w:rPr>
            </w:pPr>
          </w:p>
        </w:tc>
      </w:tr>
      <w:tr>
        <w:trPr>
          <w:trHeight w:val="635"/>
        </w:trPr>
        <w:tc>
          <w:tcPr>
            <w:tcW w:w="3620" w:type="dxa"/>
            <w:vAlign w:val="bottom"/>
          </w:tcPr>
          <w:p>
            <w:pPr>
              <w:jc w:val="center"/>
              <w:ind w:right="299"/>
              <w:spacing w:after="0"/>
              <w:rPr>
                <w:sz w:val="20"/>
                <w:szCs w:val="20"/>
                <w:color w:val="auto"/>
              </w:rPr>
            </w:pPr>
            <w:r>
              <w:rPr>
                <w:rFonts w:ascii="Arial" w:cs="Arial" w:eastAsia="Arial" w:hAnsi="Arial"/>
                <w:sz w:val="16"/>
                <w:szCs w:val="16"/>
                <w:color w:val="auto"/>
                <w:w w:val="99"/>
              </w:rPr>
              <w:t>Director</w:t>
            </w:r>
          </w:p>
        </w:tc>
        <w:tc>
          <w:tcPr>
            <w:tcW w:w="1720" w:type="dxa"/>
            <w:vAlign w:val="bottom"/>
            <w:vMerge w:val="restart"/>
          </w:tcPr>
          <w:p>
            <w:pPr>
              <w:jc w:val="center"/>
              <w:ind w:left="319"/>
              <w:spacing w:after="0"/>
              <w:rPr>
                <w:sz w:val="20"/>
                <w:szCs w:val="20"/>
                <w:color w:val="auto"/>
              </w:rPr>
            </w:pPr>
            <w:r>
              <w:rPr>
                <w:rFonts w:ascii="Arial" w:cs="Arial" w:eastAsia="Arial" w:hAnsi="Arial"/>
                <w:sz w:val="16"/>
                <w:szCs w:val="16"/>
                <w:color w:val="auto"/>
              </w:rPr>
              <w:t>February 16, 2023</w:t>
            </w: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39" w:lineRule="exact"/>
        <w:rPr>
          <w:sz w:val="20"/>
          <w:szCs w:val="20"/>
          <w:color w:val="auto"/>
        </w:rPr>
      </w:pPr>
    </w:p>
    <w:p>
      <w:pPr>
        <w:sectPr>
          <w:pgSz w:w="11900" w:h="16838" w:orient="portrait"/>
          <w:cols w:equalWidth="0" w:num="2">
            <w:col w:w="4940" w:space="720"/>
            <w:col w:w="558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9840" w:type="dxa"/>
            <w:vAlign w:val="bottom"/>
            <w:gridSpan w:val="9"/>
          </w:tcPr>
          <w:p>
            <w:pPr>
              <w:spacing w:after="0"/>
              <w:rPr>
                <w:sz w:val="20"/>
                <w:szCs w:val="20"/>
                <w:color w:val="auto"/>
              </w:rPr>
            </w:pPr>
            <w:r>
              <w:rPr>
                <w:rFonts w:ascii="Arial" w:cs="Arial" w:eastAsia="Arial" w:hAnsi="Arial"/>
                <w:sz w:val="18"/>
                <w:szCs w:val="18"/>
                <w:color w:val="0000FF"/>
              </w:rPr>
              <w:t>Table of Contents</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3"/>
        </w:trPr>
        <w:tc>
          <w:tcPr>
            <w:tcW w:w="20" w:type="dxa"/>
            <w:vAlign w:val="bottom"/>
            <w:tcBorders>
              <w:top w:val="single" w:sz="8" w:color="0000FF"/>
            </w:tcBorders>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8440" w:type="dxa"/>
            <w:vAlign w:val="bottom"/>
            <w:gridSpan w:val="7"/>
          </w:tcPr>
          <w:p>
            <w:pPr>
              <w:ind w:left="1940"/>
              <w:spacing w:after="0"/>
              <w:rPr>
                <w:sz w:val="20"/>
                <w:szCs w:val="20"/>
                <w:color w:val="auto"/>
              </w:rPr>
            </w:pPr>
            <w:r>
              <w:rPr>
                <w:rFonts w:ascii="Arial" w:cs="Arial" w:eastAsia="Arial" w:hAnsi="Arial"/>
                <w:sz w:val="18"/>
                <w:szCs w:val="18"/>
                <w:b w:val="1"/>
                <w:bCs w:val="1"/>
                <w:color w:val="auto"/>
              </w:rPr>
              <w:t>INDEX TO CONSOLIDATED FINANCIAL STATEMENTS</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No. 34)</w:t>
            </w:r>
          </w:p>
        </w:tc>
        <w:tc>
          <w:tcPr>
            <w:tcW w:w="1400" w:type="dxa"/>
            <w:vAlign w:val="bottom"/>
            <w:gridSpan w:val="4"/>
          </w:tcPr>
          <w:p>
            <w:pPr>
              <w:jc w:val="right"/>
              <w:ind w:right="20"/>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7680" w:type="dxa"/>
            <w:vAlign w:val="bottom"/>
            <w:gridSpan w:val="5"/>
          </w:tcPr>
          <w:p>
            <w:pPr>
              <w:spacing w:after="0"/>
              <w:rPr>
                <w:sz w:val="20"/>
                <w:szCs w:val="20"/>
                <w:color w:val="auto"/>
              </w:rPr>
            </w:pPr>
            <w:r>
              <w:rPr>
                <w:rFonts w:ascii="Arial" w:cs="Arial" w:eastAsia="Arial" w:hAnsi="Arial"/>
                <w:sz w:val="18"/>
                <w:szCs w:val="18"/>
                <w:color w:val="0000FF"/>
                <w:w w:val="99"/>
              </w:rPr>
              <w:t>Consolidated Statements of Operations for the years ended December 31, 2022, 2021 and 2020</w:t>
            </w:r>
          </w:p>
        </w:tc>
        <w:tc>
          <w:tcPr>
            <w:tcW w:w="2140" w:type="dxa"/>
            <w:vAlign w:val="bottom"/>
            <w:gridSpan w:val="3"/>
          </w:tcPr>
          <w:p>
            <w:pPr>
              <w:spacing w:after="0"/>
              <w:rPr>
                <w:sz w:val="24"/>
                <w:szCs w:val="24"/>
                <w:color w:val="auto"/>
              </w:rPr>
            </w:pPr>
          </w:p>
        </w:tc>
        <w:tc>
          <w:tcPr>
            <w:tcW w:w="1280" w:type="dxa"/>
            <w:vAlign w:val="bottom"/>
            <w:gridSpan w:val="2"/>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7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Consolidated Statements of Comprehensive Income for the years ended December 31, 2022, 2021 and 2020</w:t>
            </w:r>
          </w:p>
        </w:tc>
        <w:tc>
          <w:tcPr>
            <w:tcW w:w="1120" w:type="dxa"/>
            <w:vAlign w:val="bottom"/>
            <w:vMerge w:val="restart"/>
          </w:tcPr>
          <w:p>
            <w:pPr>
              <w:spacing w:after="0"/>
              <w:rPr>
                <w:sz w:val="24"/>
                <w:szCs w:val="24"/>
                <w:color w:val="auto"/>
              </w:rPr>
            </w:pPr>
          </w:p>
        </w:tc>
        <w:tc>
          <w:tcPr>
            <w:tcW w:w="1280" w:type="dxa"/>
            <w:vAlign w:val="bottom"/>
            <w:gridSpan w:val="2"/>
            <w:vMerge w:val="restart"/>
          </w:tcPr>
          <w:p>
            <w:pPr>
              <w:spacing w:after="0"/>
              <w:rPr>
                <w:sz w:val="24"/>
                <w:szCs w:val="24"/>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0000FF"/>
                <w:w w:val="99"/>
              </w:rPr>
              <w:t>Consolidated Balance Sheets as of December 31, 2022 and 2021</w:t>
            </w:r>
          </w:p>
        </w:tc>
        <w:tc>
          <w:tcPr>
            <w:tcW w:w="4580" w:type="dxa"/>
            <w:vAlign w:val="bottom"/>
            <w:gridSpan w:val="4"/>
          </w:tcPr>
          <w:p>
            <w:pPr>
              <w:spacing w:after="0"/>
              <w:rPr>
                <w:sz w:val="24"/>
                <w:szCs w:val="24"/>
                <w:color w:val="auto"/>
              </w:rPr>
            </w:pPr>
          </w:p>
        </w:tc>
        <w:tc>
          <w:tcPr>
            <w:tcW w:w="1280" w:type="dxa"/>
            <w:vAlign w:val="bottom"/>
            <w:gridSpan w:val="2"/>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7680" w:type="dxa"/>
            <w:vAlign w:val="bottom"/>
            <w:gridSpan w:val="5"/>
          </w:tcPr>
          <w:p>
            <w:pPr>
              <w:spacing w:after="0"/>
              <w:rPr>
                <w:sz w:val="20"/>
                <w:szCs w:val="20"/>
                <w:color w:val="auto"/>
              </w:rPr>
            </w:pPr>
            <w:r>
              <w:rPr>
                <w:rFonts w:ascii="Arial" w:cs="Arial" w:eastAsia="Arial" w:hAnsi="Arial"/>
                <w:sz w:val="18"/>
                <w:szCs w:val="18"/>
                <w:color w:val="0000FF"/>
                <w:w w:val="98"/>
              </w:rPr>
              <w:t>Consolidated Statements of Cash Flows for the years ended December 31, 2022, 2021 and 2020</w:t>
            </w:r>
          </w:p>
        </w:tc>
        <w:tc>
          <w:tcPr>
            <w:tcW w:w="2140" w:type="dxa"/>
            <w:vAlign w:val="bottom"/>
            <w:gridSpan w:val="3"/>
          </w:tcPr>
          <w:p>
            <w:pPr>
              <w:spacing w:after="0"/>
              <w:rPr>
                <w:sz w:val="24"/>
                <w:szCs w:val="24"/>
                <w:color w:val="auto"/>
              </w:rPr>
            </w:pPr>
          </w:p>
        </w:tc>
        <w:tc>
          <w:tcPr>
            <w:tcW w:w="1280" w:type="dxa"/>
            <w:vAlign w:val="bottom"/>
            <w:gridSpan w:val="2"/>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Consolidated Statements of Stockholders’ Equity for the years ended December 31, 2022, 2021 and 2020</w:t>
            </w:r>
          </w:p>
        </w:tc>
        <w:tc>
          <w:tcPr>
            <w:tcW w:w="1400" w:type="dxa"/>
            <w:vAlign w:val="bottom"/>
            <w:gridSpan w:val="2"/>
            <w:vMerge w:val="restart"/>
          </w:tcPr>
          <w:p>
            <w:pPr>
              <w:spacing w:after="0"/>
              <w:rPr>
                <w:sz w:val="24"/>
                <w:szCs w:val="24"/>
                <w:color w:val="auto"/>
              </w:rPr>
            </w:pPr>
          </w:p>
        </w:tc>
        <w:tc>
          <w:tcPr>
            <w:tcW w:w="1200" w:type="dxa"/>
            <w:vAlign w:val="bottom"/>
            <w:vMerge w:val="restart"/>
          </w:tcPr>
          <w:p>
            <w:pPr>
              <w:spacing w:after="0"/>
              <w:rPr>
                <w:sz w:val="24"/>
                <w:szCs w:val="24"/>
                <w:color w:val="auto"/>
              </w:rPr>
            </w:pPr>
          </w:p>
        </w:tc>
        <w:tc>
          <w:tcPr>
            <w:tcW w:w="2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w w:val="79"/>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6320" w:type="dxa"/>
            <w:vAlign w:val="bottom"/>
            <w:gridSpan w:val="6"/>
          </w:tcPr>
          <w:p>
            <w:pPr>
              <w:spacing w:after="0" w:line="20" w:lineRule="exact"/>
              <w:rPr>
                <w:sz w:val="1"/>
                <w:szCs w:val="1"/>
                <w:color w:val="auto"/>
              </w:rPr>
            </w:pPr>
          </w:p>
        </w:tc>
        <w:tc>
          <w:tcPr>
            <w:tcW w:w="12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12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Avis Budget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audited the accompanying consolidated balance sheets of Avis Budget Group, Inc. and subsidiaries (the "Company") as of December 31, 2022 and 2021, the related consolidated statements of operations, comprehensive income, stockholders' equity, and cash flows for each of the three years in the period ended December 31, 2022, and the related notes and the schedule listed in the Index at Item 15 (collectively referred to as the “financial statements”). In our opinion, the financial statements present fairly, in all material respects, the financial position of the Company as of December 31, 2022 and 2021, and the results of its operations and its cash flows for each of the</w:t>
      </w:r>
    </w:p>
    <w:p>
      <w:pPr>
        <w:spacing w:after="0" w:line="4"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three years in the period ended December 31, 2022, in conformity with accounting principles generally accepted in the United States of America.</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16,</w:t>
      </w:r>
      <w:r>
        <w:rPr>
          <w:rFonts w:ascii="Arial" w:cs="Arial" w:eastAsia="Arial" w:hAnsi="Arial"/>
          <w:sz w:val="18"/>
          <w:szCs w:val="18"/>
          <w:i w:val="1"/>
          <w:iCs w:val="1"/>
          <w:color w:val="auto"/>
        </w:rPr>
        <w:t xml:space="preserve"> </w:t>
      </w:r>
      <w:r>
        <w:rPr>
          <w:rFonts w:ascii="Arial" w:cs="Arial" w:eastAsia="Arial" w:hAnsi="Arial"/>
          <w:sz w:val="18"/>
          <w:szCs w:val="18"/>
          <w:color w:val="auto"/>
        </w:rPr>
        <w:t>2023, expressed an unqualified opinion on the Company's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w:t>
      </w:r>
    </w:p>
    <w:p>
      <w:pPr>
        <w:jc w:val="both"/>
        <w:spacing w:after="0" w:line="226" w:lineRule="auto"/>
        <w:rPr>
          <w:sz w:val="20"/>
          <w:szCs w:val="20"/>
          <w:color w:val="auto"/>
        </w:rPr>
      </w:pPr>
      <w:r>
        <w:rPr>
          <w:rFonts w:ascii="Arial" w:cs="Arial" w:eastAsia="Arial" w:hAnsi="Arial"/>
          <w:sz w:val="18"/>
          <w:szCs w:val="18"/>
          <w:color w:val="auto"/>
        </w:rPr>
        <w:t>audits included performing procedures to assess the risks of material misstatement of the financial statements, whether due to error or fraud, and performing procedures that respond to those risks. Such procedures included examining, on a test basis, evidence regarding the</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Vehicles - Depreciation Expense - United States Risk Vehicles - Refer to Notes 2 and 8 to the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3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records rental vehicles at cost, net of accumulated depreciation. The initial cost of the vehicles is recorded net of incentives and allowances from manufacturers. Rental vehicles acquired by the Company outside of manufacturer repurchase and guaranteed depreciation programs are referred to as risk vehicles and the carrying values of these risk vehicles are depreciated based upon the vehicles’ estimated residual values at their expected dates of disposition. The estimation of residual values for risk vehicles requires the Company to</w:t>
      </w:r>
    </w:p>
    <w:p>
      <w:pPr>
        <w:jc w:val="both"/>
        <w:spacing w:after="0" w:line="226" w:lineRule="auto"/>
        <w:rPr>
          <w:sz w:val="20"/>
          <w:szCs w:val="20"/>
          <w:color w:val="auto"/>
        </w:rPr>
      </w:pPr>
      <w:r>
        <w:rPr>
          <w:rFonts w:ascii="Arial" w:cs="Arial" w:eastAsia="Arial" w:hAnsi="Arial"/>
          <w:sz w:val="18"/>
          <w:szCs w:val="18"/>
          <w:color w:val="auto"/>
        </w:rPr>
        <w:t>make assumptions regarding factors which include, but are not limited to, the anticipated age of the vehicles and market conditions for used vehicles at the time of disposal. The Company regularly evaluates estimated residual values and adjusts vehicle depreciation rates 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appropriate. Any adjustments to depreciation are made prospectively.</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Given the volume of risk vehicles in the United States and the significant estimation uncertainty and judgments made by management to calculate the estimated residual values of these risk vehicles, auditing the estimated residual values of United States risk vehicles and related vehicle depreciation expense required extensive audit effort to develop an independent expectation of residual values and depreciation expense, and a high degree of auditor judgment was required when performing audit procedures and evaluating the results of those procedures. The significant estimation uncertainty was primarily due to management’s assumptions regarding the impact of future consumer demand and general economic conditions on expected pricing of used vehicles. Additionally, auditing the calculation of the estimated residual values for United States risk vehicles was challenging due to the volume of data inputs utilized in management’s calculation, including historical sales data and data specific to the Company’s current fleet.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audit procedures to assess the reasonableness of the estimated residual values and vehicle depreciation expense related to United States risk vehicles included the following, among others:</w:t>
      </w:r>
    </w:p>
    <w:p>
      <w:pPr>
        <w:spacing w:after="0" w:line="167" w:lineRule="exact"/>
        <w:rPr>
          <w:sz w:val="20"/>
          <w:szCs w:val="20"/>
          <w:color w:val="auto"/>
        </w:rPr>
      </w:pPr>
    </w:p>
    <w:p>
      <w:pPr>
        <w:ind w:left="340" w:hanging="332"/>
        <w:spacing w:after="0" w:line="271"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evaluated the appropriateness and consistency of the Company’s methods, significant assumptions and judgments to calculate the estimated residual values of risk vehicles and the expected dates of disposition.</w:t>
      </w:r>
    </w:p>
    <w:p>
      <w:pPr>
        <w:spacing w:after="0" w:line="180" w:lineRule="exact"/>
        <w:rPr>
          <w:rFonts w:ascii="Arial" w:cs="Arial" w:eastAsia="Arial" w:hAnsi="Arial"/>
          <w:sz w:val="18"/>
          <w:szCs w:val="18"/>
          <w:color w:val="auto"/>
        </w:rPr>
      </w:pPr>
    </w:p>
    <w:p>
      <w:pPr>
        <w:jc w:val="both"/>
        <w:ind w:left="340" w:hanging="332"/>
        <w:spacing w:after="0" w:line="253"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tested the effectiveness of controls over vehicle depreciation expense related to risk vehicles and management’s review of the significant assumptions and judgments to calculate the estimated residual values of risk vehicles, including those over the Company’s monitoring of residual values and used vehicle market conditions.</w:t>
      </w:r>
    </w:p>
    <w:p>
      <w:pPr>
        <w:spacing w:after="0" w:line="195" w:lineRule="exact"/>
        <w:rPr>
          <w:rFonts w:ascii="Arial" w:cs="Arial" w:eastAsia="Arial" w:hAnsi="Arial"/>
          <w:sz w:val="18"/>
          <w:szCs w:val="18"/>
          <w:color w:val="auto"/>
        </w:rPr>
      </w:pPr>
    </w:p>
    <w:p>
      <w:pPr>
        <w:ind w:left="340" w:right="20" w:hanging="332"/>
        <w:spacing w:after="0" w:line="271"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assessed the reasonableness of the estimated residual values of risk vehicles by performing the following procedures on a selection of risk vehicles:</w:t>
      </w:r>
    </w:p>
    <w:p>
      <w:pPr>
        <w:spacing w:after="0" w:line="180" w:lineRule="exact"/>
        <w:rPr>
          <w:rFonts w:ascii="Arial" w:cs="Arial" w:eastAsia="Arial" w:hAnsi="Arial"/>
          <w:sz w:val="18"/>
          <w:szCs w:val="18"/>
          <w:color w:val="auto"/>
        </w:rPr>
      </w:pPr>
    </w:p>
    <w:p>
      <w:pPr>
        <w:ind w:left="660" w:hanging="324"/>
        <w:spacing w:after="0" w:line="271" w:lineRule="auto"/>
        <w:rPr>
          <w:rFonts w:ascii="Arial" w:cs="Arial" w:eastAsia="Arial" w:hAnsi="Arial"/>
          <w:sz w:val="18"/>
          <w:szCs w:val="18"/>
          <w:color w:val="auto"/>
        </w:rPr>
      </w:pPr>
      <w:r>
        <w:rPr>
          <w:rFonts w:ascii="Arial" w:cs="Arial" w:eastAsia="Arial" w:hAnsi="Arial"/>
          <w:sz w:val="18"/>
          <w:szCs w:val="18"/>
          <w:color w:val="auto"/>
        </w:rPr>
        <w:t>– We tested the underlying historical data that served as the basis for the Company’s calculation of the estimated residual values to evaluate the reasonableness of the inputs.</w:t>
      </w:r>
    </w:p>
    <w:p>
      <w:pPr>
        <w:spacing w:after="0" w:line="180" w:lineRule="exact"/>
        <w:rPr>
          <w:rFonts w:ascii="Arial" w:cs="Arial" w:eastAsia="Arial" w:hAnsi="Arial"/>
          <w:sz w:val="18"/>
          <w:szCs w:val="18"/>
          <w:color w:val="auto"/>
        </w:rPr>
      </w:pPr>
    </w:p>
    <w:p>
      <w:pPr>
        <w:ind w:left="660" w:hanging="324"/>
        <w:spacing w:after="0" w:line="271" w:lineRule="auto"/>
        <w:rPr>
          <w:rFonts w:ascii="Arial" w:cs="Arial" w:eastAsia="Arial" w:hAnsi="Arial"/>
          <w:sz w:val="18"/>
          <w:szCs w:val="18"/>
          <w:color w:val="auto"/>
        </w:rPr>
      </w:pPr>
      <w:r>
        <w:rPr>
          <w:rFonts w:ascii="Arial" w:cs="Arial" w:eastAsia="Arial" w:hAnsi="Arial"/>
          <w:sz w:val="18"/>
          <w:szCs w:val="18"/>
          <w:color w:val="auto"/>
        </w:rPr>
        <w:t>– We tested the mathematical accuracy of the Company’s calculation of the estimated residual values and vehicle depreciation expense rates.</w:t>
      </w:r>
    </w:p>
    <w:p>
      <w:pPr>
        <w:spacing w:after="0" w:line="180" w:lineRule="exact"/>
        <w:rPr>
          <w:rFonts w:ascii="Arial" w:cs="Arial" w:eastAsia="Arial" w:hAnsi="Arial"/>
          <w:sz w:val="18"/>
          <w:szCs w:val="18"/>
          <w:color w:val="auto"/>
        </w:rPr>
      </w:pPr>
    </w:p>
    <w:p>
      <w:pPr>
        <w:ind w:left="660" w:hanging="324"/>
        <w:spacing w:after="0" w:line="241" w:lineRule="auto"/>
        <w:rPr>
          <w:rFonts w:ascii="Arial" w:cs="Arial" w:eastAsia="Arial" w:hAnsi="Arial"/>
          <w:sz w:val="18"/>
          <w:szCs w:val="18"/>
          <w:color w:val="auto"/>
        </w:rPr>
      </w:pPr>
      <w:r>
        <w:rPr>
          <w:rFonts w:ascii="Arial" w:cs="Arial" w:eastAsia="Arial" w:hAnsi="Arial"/>
          <w:sz w:val="18"/>
          <w:szCs w:val="18"/>
          <w:color w:val="auto"/>
        </w:rPr>
        <w:t>– We tested significant assumptions and judgments used in the Company’s calculation by developing an independent expectation of residual values and compared them to the estimated residual values calculated by the Company. Our independent expectation was calculated using our professional judgment by reference to third-party data, information produced by the Company, subsequent vehicle sales, and inquiries of management.</w:t>
      </w:r>
    </w:p>
    <w:p>
      <w:pPr>
        <w:spacing w:after="0" w:line="208" w:lineRule="exact"/>
        <w:rPr>
          <w:rFonts w:ascii="Arial" w:cs="Arial" w:eastAsia="Arial" w:hAnsi="Arial"/>
          <w:sz w:val="18"/>
          <w:szCs w:val="18"/>
          <w:color w:val="auto"/>
        </w:rPr>
      </w:pPr>
    </w:p>
    <w:p>
      <w:pPr>
        <w:ind w:left="660" w:hanging="324"/>
        <w:spacing w:after="0" w:line="271" w:lineRule="auto"/>
        <w:rPr>
          <w:rFonts w:ascii="Arial" w:cs="Arial" w:eastAsia="Arial" w:hAnsi="Arial"/>
          <w:sz w:val="18"/>
          <w:szCs w:val="18"/>
          <w:color w:val="auto"/>
        </w:rPr>
      </w:pPr>
      <w:r>
        <w:rPr>
          <w:rFonts w:ascii="Arial" w:cs="Arial" w:eastAsia="Arial" w:hAnsi="Arial"/>
          <w:sz w:val="18"/>
          <w:szCs w:val="18"/>
          <w:color w:val="auto"/>
        </w:rPr>
        <w:t>– We searched for contradictory evidence associated with the significant assumptions and judgments made by management based on our knowledge of the industry and review of third-party industry data.</w:t>
      </w:r>
    </w:p>
    <w:p>
      <w:pPr>
        <w:spacing w:after="0" w:line="180" w:lineRule="exact"/>
        <w:rPr>
          <w:rFonts w:ascii="Arial" w:cs="Arial" w:eastAsia="Arial" w:hAnsi="Arial"/>
          <w:sz w:val="18"/>
          <w:szCs w:val="18"/>
          <w:color w:val="auto"/>
        </w:rPr>
      </w:pPr>
    </w:p>
    <w:p>
      <w:pPr>
        <w:ind w:left="340" w:hanging="332"/>
        <w:spacing w:after="0" w:line="271"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developed an independent expectation of depreciation expense based on, but not limited to, the vehicles’ age and results of our residual value testing and compared it to the amount recorded by the Company as depreciation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Reserves - Public Liability and Property Damage Claims - United States - Refer to Note 2 to the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3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is self-insured for public liability and property damage claims. These self-insurance reserves represent an estimate for both reported claims not yet paid and claims incurred but not yet reported. The estimated reserve requirements for such claims are calculated on an undiscounted basis using actuarial methods and various assumptions which include, but are not limited to, historical loss experience and projected loss development factors. The required liability is subject to adjustment in the future based upon changes in claims experience, including changes in the number of incidents for which the Company is ultimately liable and changes in the cost per incident.</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Given the volume of public liability and property damage claims in the United States and the subjectivity of estimating the related self-insurance reserves for reported claims not yet paid and claims incurred but not yet reported due to uncertain exposure and projected loss development, performing audit procedures to evaluate whether these self-insurance reserves were appropriately recorded as of December 31, 2022 required a significant degree of auditor judgment and an increased extent of effort, including the need to involve our actuarial specialists.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audit procedures related to United States public liability and property damage self-insurance reserves included the following, among others:</w:t>
      </w:r>
    </w:p>
    <w:p>
      <w:pPr>
        <w:spacing w:after="0" w:line="181" w:lineRule="exact"/>
        <w:rPr>
          <w:sz w:val="20"/>
          <w:szCs w:val="20"/>
          <w:color w:val="auto"/>
        </w:rPr>
      </w:pPr>
    </w:p>
    <w:p>
      <w:pPr>
        <w:ind w:left="340" w:right="20" w:hanging="332"/>
        <w:spacing w:after="0" w:line="271"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review of significant assumptions, key inputs and methods used to calculate the estimate of the reported claims not yet paid and claims incurred but not yet reported.</w:t>
      </w:r>
    </w:p>
    <w:p>
      <w:pPr>
        <w:spacing w:after="0" w:line="180" w:lineRule="exact"/>
        <w:rPr>
          <w:rFonts w:ascii="Arial" w:cs="Arial" w:eastAsia="Arial" w:hAnsi="Arial"/>
          <w:sz w:val="18"/>
          <w:szCs w:val="18"/>
          <w:color w:val="auto"/>
        </w:rPr>
      </w:pPr>
    </w:p>
    <w:p>
      <w:pPr>
        <w:ind w:left="340" w:right="20" w:hanging="332"/>
        <w:spacing w:after="0" w:line="271"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tested the underlying data that served as the basis for the Company’s actuarial analysis, including historical claims, to test the reasonableness of the inputs to the actuarial estimate.</w:t>
      </w:r>
    </w:p>
    <w:p>
      <w:pPr>
        <w:spacing w:after="0" w:line="180" w:lineRule="exact"/>
        <w:rPr>
          <w:rFonts w:ascii="Arial" w:cs="Arial" w:eastAsia="Arial" w:hAnsi="Arial"/>
          <w:sz w:val="18"/>
          <w:szCs w:val="18"/>
          <w:color w:val="auto"/>
        </w:rPr>
      </w:pPr>
    </w:p>
    <w:p>
      <w:pPr>
        <w:jc w:val="both"/>
        <w:ind w:left="340" w:right="20" w:hanging="332"/>
        <w:spacing w:after="0" w:line="245"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 the assistance of our actuarial specialists, we developed an independent estimate of the self-insurance reserves, including assessment of loss data and claim development factors, and compared our estimate to management’s estimate. In addition, we performed the following:</w:t>
      </w:r>
    </w:p>
    <w:p>
      <w:pPr>
        <w:spacing w:after="0" w:line="203" w:lineRule="exact"/>
        <w:rPr>
          <w:rFonts w:ascii="Arial" w:cs="Arial" w:eastAsia="Arial" w:hAnsi="Arial"/>
          <w:sz w:val="18"/>
          <w:szCs w:val="18"/>
          <w:color w:val="auto"/>
        </w:rPr>
      </w:pPr>
    </w:p>
    <w:p>
      <w:pPr>
        <w:ind w:left="660" w:right="20" w:hanging="324"/>
        <w:spacing w:after="0" w:line="271" w:lineRule="auto"/>
        <w:rPr>
          <w:rFonts w:ascii="Arial" w:cs="Arial" w:eastAsia="Arial" w:hAnsi="Arial"/>
          <w:sz w:val="18"/>
          <w:szCs w:val="18"/>
          <w:color w:val="auto"/>
        </w:rPr>
      </w:pPr>
      <w:r>
        <w:rPr>
          <w:rFonts w:ascii="Arial" w:cs="Arial" w:eastAsia="Arial" w:hAnsi="Arial"/>
          <w:sz w:val="18"/>
          <w:szCs w:val="18"/>
          <w:color w:val="auto"/>
        </w:rPr>
        <w:t>– Evaluated the reasonableness of the methodologies used in management’s estimate based on actuarial methods followed in the insurance industry associated with such liabilities.</w:t>
      </w:r>
    </w:p>
    <w:p>
      <w:pPr>
        <w:spacing w:after="0" w:line="180" w:lineRule="exact"/>
        <w:rPr>
          <w:rFonts w:ascii="Arial" w:cs="Arial" w:eastAsia="Arial" w:hAnsi="Arial"/>
          <w:sz w:val="18"/>
          <w:szCs w:val="18"/>
          <w:color w:val="auto"/>
        </w:rPr>
      </w:pPr>
    </w:p>
    <w:p>
      <w:pPr>
        <w:ind w:left="660" w:hanging="324"/>
        <w:spacing w:after="0" w:line="253" w:lineRule="auto"/>
        <w:rPr>
          <w:rFonts w:ascii="Arial" w:cs="Arial" w:eastAsia="Arial" w:hAnsi="Arial"/>
          <w:sz w:val="18"/>
          <w:szCs w:val="18"/>
          <w:color w:val="auto"/>
        </w:rPr>
      </w:pPr>
      <w:r>
        <w:rPr>
          <w:rFonts w:ascii="Arial" w:cs="Arial" w:eastAsia="Arial" w:hAnsi="Arial"/>
          <w:sz w:val="18"/>
          <w:szCs w:val="18"/>
          <w:color w:val="auto"/>
        </w:rPr>
        <w:t>– Evaluated the reasonableness of the assumptions used in management’s estimate by comparing prior-year assumptions of expected development and ultimate loss to actuals incurred during the current year to identify potential bias in the determination of these liabilities.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73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59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Avis Budget Group, Inc.</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240" w:type="dxa"/>
            <w:vAlign w:val="bottom"/>
            <w:gridSpan w:val="4"/>
          </w:tcPr>
          <w:p>
            <w:pPr>
              <w:jc w:val="center"/>
              <w:ind w:left="111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59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(In millions, except per share data)</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8"/>
        </w:trPr>
        <w:tc>
          <w:tcPr>
            <w:tcW w:w="14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jc w:val="right"/>
              <w:ind w:right="69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26"/>
        </w:trPr>
        <w:tc>
          <w:tcPr>
            <w:tcW w:w="7300" w:type="dxa"/>
            <w:vAlign w:val="bottom"/>
            <w:gridSpan w:val="2"/>
          </w:tcPr>
          <w:p>
            <w:pPr>
              <w:ind w:left="2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11,994</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0" w:type="dxa"/>
            <w:vAlign w:val="bottom"/>
          </w:tcPr>
          <w:p>
            <w:pPr>
              <w:spacing w:after="0"/>
              <w:rPr>
                <w:sz w:val="1"/>
                <w:szCs w:val="1"/>
                <w:color w:val="auto"/>
              </w:rPr>
            </w:pPr>
          </w:p>
        </w:tc>
      </w:tr>
      <w:tr>
        <w:trPr>
          <w:trHeight w:val="420"/>
        </w:trPr>
        <w:tc>
          <w:tcPr>
            <w:tcW w:w="7300" w:type="dxa"/>
            <w:vAlign w:val="bottom"/>
            <w:gridSpan w:val="2"/>
          </w:tcPr>
          <w:p>
            <w:pPr>
              <w:ind w:left="22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29"/>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30"/>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29"/>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9"/>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gridSpan w:val="2"/>
          </w:tcPr>
          <w:p>
            <w:pPr>
              <w:ind w:left="6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9"/>
        </w:trPr>
        <w:tc>
          <w:tcPr>
            <w:tcW w:w="7300" w:type="dxa"/>
            <w:vAlign w:val="bottom"/>
            <w:gridSpan w:val="2"/>
          </w:tcPr>
          <w:p>
            <w:pPr>
              <w:ind w:left="68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Transaction-related costs,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5"/>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gridSpan w:val="2"/>
          </w:tcPr>
          <w:p>
            <w:pPr>
              <w:ind w:left="22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6,358</w:t>
            </w:r>
          </w:p>
        </w:tc>
        <w:tc>
          <w:tcPr>
            <w:tcW w:w="0" w:type="dxa"/>
            <w:vAlign w:val="bottom"/>
          </w:tcPr>
          <w:p>
            <w:pPr>
              <w:spacing w:after="0"/>
              <w:rPr>
                <w:sz w:val="1"/>
                <w:szCs w:val="1"/>
                <w:color w:val="auto"/>
              </w:rPr>
            </w:pPr>
          </w:p>
        </w:tc>
      </w:tr>
      <w:tr>
        <w:trPr>
          <w:trHeight w:val="299"/>
        </w:trPr>
        <w:tc>
          <w:tcPr>
            <w:tcW w:w="7300" w:type="dxa"/>
            <w:vAlign w:val="bottom"/>
            <w:gridSpan w:val="2"/>
          </w:tcPr>
          <w:p>
            <w:pPr>
              <w:ind w:left="220"/>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35"/>
        </w:trPr>
        <w:tc>
          <w:tcPr>
            <w:tcW w:w="7300" w:type="dxa"/>
            <w:vAlign w:val="bottom"/>
            <w:gridSpan w:val="2"/>
          </w:tcPr>
          <w:p>
            <w:pPr>
              <w:ind w:left="22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304"/>
        </w:trPr>
        <w:tc>
          <w:tcPr>
            <w:tcW w:w="730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3"/>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Less: net loss attributable to non-controlling interests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 income (loss) attributable to Avis Budget Group, Inc.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Earnings (loss) per share</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73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58.41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39"/>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57.16</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040"/>
          </w:cols>
          <w:pgMar w:left="320" w:top="108"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 w:right="5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75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6100" w:type="dxa"/>
            <w:vAlign w:val="bottom"/>
          </w:tcPr>
          <w:p>
            <w:pPr>
              <w:jc w:val="center"/>
              <w:ind w:left="2250"/>
              <w:spacing w:after="0"/>
              <w:rPr>
                <w:sz w:val="20"/>
                <w:szCs w:val="20"/>
                <w:color w:val="auto"/>
              </w:rPr>
            </w:pPr>
            <w:r>
              <w:rPr>
                <w:rFonts w:ascii="Arial" w:cs="Arial" w:eastAsia="Arial" w:hAnsi="Arial"/>
                <w:sz w:val="18"/>
                <w:szCs w:val="18"/>
                <w:b w:val="1"/>
                <w:bCs w:val="1"/>
                <w:color w:val="auto"/>
                <w:w w:val="99"/>
              </w:rPr>
              <w:t>Avis Budget Group,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340" w:type="dxa"/>
            <w:vAlign w:val="bottom"/>
            <w:gridSpan w:val="4"/>
          </w:tcPr>
          <w:p>
            <w:pPr>
              <w:jc w:val="center"/>
              <w:ind w:left="1010"/>
              <w:spacing w:after="0"/>
              <w:rPr>
                <w:sz w:val="20"/>
                <w:szCs w:val="20"/>
                <w:color w:val="auto"/>
              </w:rPr>
            </w:pPr>
            <w:r>
              <w:rPr>
                <w:rFonts w:ascii="Arial" w:cs="Arial" w:eastAsia="Arial" w:hAnsi="Arial"/>
                <w:sz w:val="18"/>
                <w:szCs w:val="18"/>
                <w:b w:val="1"/>
                <w:bCs w:val="1"/>
                <w:color w:val="auto"/>
                <w:w w:val="99"/>
              </w:rPr>
              <w:t>CONSOLIDATED STATEMENTS OF COMPREHENSIVE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6100" w:type="dxa"/>
            <w:vAlign w:val="bottom"/>
          </w:tcPr>
          <w:p>
            <w:pPr>
              <w:jc w:val="center"/>
              <w:ind w:left="2250"/>
              <w:spacing w:after="0"/>
              <w:rPr>
                <w:sz w:val="20"/>
                <w:szCs w:val="20"/>
                <w:color w:val="auto"/>
              </w:rPr>
            </w:pPr>
            <w:r>
              <w:rPr>
                <w:rFonts w:ascii="Arial" w:cs="Arial" w:eastAsia="Arial" w:hAnsi="Arial"/>
                <w:sz w:val="18"/>
                <w:szCs w:val="18"/>
                <w:b w:val="1"/>
                <w:bCs w:val="1"/>
                <w:color w:val="auto"/>
                <w:w w:val="98"/>
              </w:rPr>
              <w:t>(In millions)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8"/>
        </w:trPr>
        <w:tc>
          <w:tcPr>
            <w:tcW w:w="14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20"/>
        </w:trPr>
        <w:tc>
          <w:tcPr>
            <w:tcW w:w="7500" w:type="dxa"/>
            <w:vAlign w:val="bottom"/>
            <w:gridSpan w:val="2"/>
          </w:tcPr>
          <w:p>
            <w:pPr>
              <w:ind w:left="8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35"/>
        </w:trPr>
        <w:tc>
          <w:tcPr>
            <w:tcW w:w="7500" w:type="dxa"/>
            <w:vAlign w:val="bottom"/>
            <w:gridSpan w:val="2"/>
          </w:tcPr>
          <w:p>
            <w:pPr>
              <w:ind w:left="300"/>
              <w:spacing w:after="0"/>
              <w:rPr>
                <w:sz w:val="20"/>
                <w:szCs w:val="20"/>
                <w:color w:val="auto"/>
              </w:rPr>
            </w:pPr>
            <w:r>
              <w:rPr>
                <w:rFonts w:ascii="Arial" w:cs="Arial" w:eastAsia="Arial" w:hAnsi="Arial"/>
                <w:sz w:val="18"/>
                <w:szCs w:val="18"/>
                <w:color w:val="auto"/>
              </w:rPr>
              <w:t>Less: net loss attributable to non-controlling interests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500" w:type="dxa"/>
            <w:vAlign w:val="bottom"/>
            <w:gridSpan w:val="2"/>
          </w:tcPr>
          <w:p>
            <w:pPr>
              <w:ind w:left="80"/>
              <w:spacing w:after="0"/>
              <w:rPr>
                <w:sz w:val="20"/>
                <w:szCs w:val="20"/>
                <w:color w:val="auto"/>
              </w:rPr>
            </w:pPr>
            <w:r>
              <w:rPr>
                <w:rFonts w:ascii="Arial" w:cs="Arial" w:eastAsia="Arial" w:hAnsi="Arial"/>
                <w:sz w:val="18"/>
                <w:szCs w:val="18"/>
                <w:b w:val="1"/>
                <w:bCs w:val="1"/>
                <w:color w:val="auto"/>
              </w:rPr>
              <w:t>Net income (loss) attributable to Avis Budget Group, Inc.</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374"/>
        </w:trPr>
        <w:tc>
          <w:tcPr>
            <w:tcW w:w="7500" w:type="dxa"/>
            <w:vAlign w:val="bottom"/>
            <w:gridSpan w:val="2"/>
          </w:tcPr>
          <w:p>
            <w:pPr>
              <w:ind w:left="80"/>
              <w:spacing w:after="0"/>
              <w:rPr>
                <w:sz w:val="20"/>
                <w:szCs w:val="20"/>
                <w:color w:val="auto"/>
              </w:rPr>
            </w:pPr>
            <w:r>
              <w:rPr>
                <w:rFonts w:ascii="Arial" w:cs="Arial" w:eastAsia="Arial" w:hAnsi="Arial"/>
                <w:sz w:val="18"/>
                <w:szCs w:val="18"/>
                <w:b w:val="1"/>
                <w:bCs w:val="1"/>
                <w:color w:val="auto"/>
              </w:rPr>
              <w:t>Other comprehensive income (loss), net of tax</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30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460"/>
              <w:spacing w:after="0"/>
              <w:rPr>
                <w:sz w:val="20"/>
                <w:szCs w:val="20"/>
                <w:color w:val="auto"/>
              </w:rPr>
            </w:pPr>
            <w:r>
              <w:rPr>
                <w:rFonts w:ascii="Arial" w:cs="Arial" w:eastAsia="Arial" w:hAnsi="Arial"/>
                <w:sz w:val="18"/>
                <w:szCs w:val="18"/>
                <w:color w:val="auto"/>
              </w:rPr>
              <w:t>Currency translation adjustments, net of tax of $(11), $(20) and $23, respectively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7500" w:type="dxa"/>
            <w:vAlign w:val="bottom"/>
            <w:gridSpan w:val="2"/>
          </w:tcPr>
          <w:p>
            <w:pPr>
              <w:ind w:left="520"/>
              <w:spacing w:after="0"/>
              <w:rPr>
                <w:sz w:val="20"/>
                <w:szCs w:val="20"/>
                <w:color w:val="auto"/>
              </w:rPr>
            </w:pPr>
            <w:r>
              <w:rPr>
                <w:rFonts w:ascii="Arial" w:cs="Arial" w:eastAsia="Arial" w:hAnsi="Arial"/>
                <w:sz w:val="18"/>
                <w:szCs w:val="18"/>
                <w:color w:val="auto"/>
              </w:rPr>
              <w:t>Reclassification of currency translation adjustments to earnings</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500" w:type="dxa"/>
            <w:vAlign w:val="bottom"/>
            <w:gridSpan w:val="2"/>
          </w:tcPr>
          <w:p>
            <w:pPr>
              <w:ind w:left="30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520"/>
              <w:spacing w:after="0"/>
              <w:rPr>
                <w:sz w:val="20"/>
                <w:szCs w:val="20"/>
                <w:color w:val="auto"/>
              </w:rPr>
            </w:pPr>
            <w:r>
              <w:rPr>
                <w:rFonts w:ascii="Arial" w:cs="Arial" w:eastAsia="Arial" w:hAnsi="Arial"/>
                <w:sz w:val="18"/>
                <w:szCs w:val="18"/>
                <w:color w:val="auto"/>
              </w:rPr>
              <w:t>Net unrealized holding gains (losses), net of tax of $(20), $(6), and $14, respectively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1"/>
        </w:trPr>
        <w:tc>
          <w:tcPr>
            <w:tcW w:w="7500" w:type="dxa"/>
            <w:vAlign w:val="bottom"/>
            <w:gridSpan w:val="2"/>
          </w:tcPr>
          <w:p>
            <w:pPr>
              <w:ind w:left="520"/>
              <w:spacing w:after="0" w:line="181" w:lineRule="exact"/>
              <w:rPr>
                <w:sz w:val="20"/>
                <w:szCs w:val="20"/>
                <w:color w:val="auto"/>
              </w:rPr>
            </w:pPr>
            <w:r>
              <w:rPr>
                <w:rFonts w:ascii="Arial" w:cs="Arial" w:eastAsia="Arial" w:hAnsi="Arial"/>
                <w:sz w:val="18"/>
                <w:szCs w:val="18"/>
                <w:color w:val="auto"/>
              </w:rPr>
              <w:t>Reclassification of cash flow hedges to earnings, net of tax of $(2), $(5), and $(3),</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8"/>
        </w:trPr>
        <w:tc>
          <w:tcPr>
            <w:tcW w:w="7500" w:type="dxa"/>
            <w:vAlign w:val="bottom"/>
            <w:gridSpan w:val="2"/>
          </w:tcPr>
          <w:p>
            <w:pPr>
              <w:ind w:left="68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300"/>
              <w:spacing w:after="0"/>
              <w:rPr>
                <w:sz w:val="20"/>
                <w:szCs w:val="20"/>
                <w:color w:val="auto"/>
              </w:rPr>
            </w:pPr>
            <w:r>
              <w:rPr>
                <w:rFonts w:ascii="Arial" w:cs="Arial" w:eastAsia="Arial" w:hAnsi="Arial"/>
                <w:sz w:val="18"/>
                <w:szCs w:val="18"/>
                <w:color w:val="auto"/>
              </w:rPr>
              <w:t>Minimum pension liability adjustment: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520"/>
              <w:spacing w:after="0"/>
              <w:rPr>
                <w:sz w:val="20"/>
                <w:szCs w:val="20"/>
                <w:color w:val="auto"/>
              </w:rPr>
            </w:pPr>
            <w:r>
              <w:rPr>
                <w:rFonts w:ascii="Arial" w:cs="Arial" w:eastAsia="Arial" w:hAnsi="Arial"/>
                <w:sz w:val="18"/>
                <w:szCs w:val="18"/>
                <w:color w:val="auto"/>
              </w:rPr>
              <w:t>Pension and post-retirement benefits, net of tax of $(4), $(13), and $12, respectively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1"/>
        </w:trPr>
        <w:tc>
          <w:tcPr>
            <w:tcW w:w="7500" w:type="dxa"/>
            <w:vAlign w:val="bottom"/>
            <w:gridSpan w:val="2"/>
          </w:tcPr>
          <w:p>
            <w:pPr>
              <w:ind w:left="520"/>
              <w:spacing w:after="0" w:line="181" w:lineRule="exact"/>
              <w:rPr>
                <w:sz w:val="20"/>
                <w:szCs w:val="20"/>
                <w:color w:val="auto"/>
              </w:rPr>
            </w:pPr>
            <w:r>
              <w:rPr>
                <w:rFonts w:ascii="Arial" w:cs="Arial" w:eastAsia="Arial" w:hAnsi="Arial"/>
                <w:sz w:val="18"/>
                <w:szCs w:val="18"/>
                <w:color w:val="auto"/>
              </w:rPr>
              <w:t>Reclassification of pension and post-retirement benefits to earnings, net of tax of $(2),</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500" w:type="dxa"/>
            <w:vAlign w:val="bottom"/>
            <w:gridSpan w:val="2"/>
          </w:tcPr>
          <w:p>
            <w:pPr>
              <w:ind w:left="680"/>
              <w:spacing w:after="0"/>
              <w:rPr>
                <w:sz w:val="20"/>
                <w:szCs w:val="20"/>
                <w:color w:val="auto"/>
              </w:rPr>
            </w:pPr>
            <w:r>
              <w:rPr>
                <w:rFonts w:ascii="Arial" w:cs="Arial" w:eastAsia="Arial" w:hAnsi="Arial"/>
                <w:sz w:val="18"/>
                <w:szCs w:val="18"/>
                <w:color w:val="auto"/>
              </w:rPr>
              <w:t>$(2), and $(3), respectively</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5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 comprehensive income (loss) attributable to Avis Budget Group, Inc.</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7500" w:type="dxa"/>
            <w:vAlign w:val="bottom"/>
            <w:gridSpan w:val="2"/>
            <w:vMerge w:val="continue"/>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Avis Budget Group,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 millions, except par value)</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53"/>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8"/>
        </w:trPr>
        <w:tc>
          <w:tcPr>
            <w:tcW w:w="7760" w:type="dxa"/>
            <w:vAlign w:val="bottom"/>
          </w:tcPr>
          <w:p>
            <w:pPr>
              <w:spacing w:after="0"/>
              <w:rPr>
                <w:sz w:val="20"/>
                <w:szCs w:val="20"/>
                <w:color w:val="auto"/>
              </w:rPr>
            </w:pPr>
            <w:r>
              <w:rPr>
                <w:rFonts w:ascii="Arial" w:cs="Arial" w:eastAsia="Arial" w:hAnsi="Arial"/>
                <w:sz w:val="13"/>
                <w:szCs w:val="13"/>
                <w:b w:val="1"/>
                <w:bCs w:val="1"/>
                <w:color w:val="auto"/>
              </w:rPr>
              <w:t>Assets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760" w:type="dxa"/>
            <w:vAlign w:val="bottom"/>
          </w:tcPr>
          <w:p>
            <w:pPr>
              <w:spacing w:after="0"/>
              <w:rPr>
                <w:sz w:val="20"/>
                <w:szCs w:val="20"/>
                <w:color w:val="auto"/>
              </w:rPr>
            </w:pPr>
            <w:r>
              <w:rPr>
                <w:rFonts w:ascii="Arial" w:cs="Arial" w:eastAsia="Arial" w:hAnsi="Arial"/>
                <w:sz w:val="13"/>
                <w:szCs w:val="13"/>
                <w:color w:val="auto"/>
              </w:rPr>
              <w:t>Current assets: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Cash and cash equivalents</w:t>
            </w: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570</w:t>
            </w:r>
          </w:p>
        </w:tc>
        <w:tc>
          <w:tcPr>
            <w:tcW w:w="100" w:type="dxa"/>
            <w:vAlign w:val="bottom"/>
          </w:tcPr>
          <w:p>
            <w:pPr>
              <w:spacing w:after="0"/>
              <w:rPr>
                <w:sz w:val="16"/>
                <w:szCs w:val="16"/>
                <w:color w:val="auto"/>
              </w:rPr>
            </w:pPr>
          </w:p>
        </w:tc>
        <w:tc>
          <w:tcPr>
            <w:tcW w:w="680" w:type="dxa"/>
            <w:vAlign w:val="bottom"/>
          </w:tcPr>
          <w:p>
            <w:pPr>
              <w:jc w:val="right"/>
              <w:ind w:right="51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534</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Receivables (net of allowance for doubtful accounts of $86 and $84, respectively)</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810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775</w:t>
            </w:r>
          </w:p>
        </w:tc>
        <w:tc>
          <w:tcPr>
            <w:tcW w:w="0" w:type="dxa"/>
            <w:vAlign w:val="bottom"/>
          </w:tcPr>
          <w:p>
            <w:pPr>
              <w:spacing w:after="0"/>
              <w:rPr>
                <w:sz w:val="1"/>
                <w:szCs w:val="1"/>
                <w:color w:val="auto"/>
              </w:rPr>
            </w:pPr>
          </w:p>
        </w:tc>
      </w:tr>
      <w:tr>
        <w:trPr>
          <w:trHeight w:val="195"/>
        </w:trPr>
        <w:tc>
          <w:tcPr>
            <w:tcW w:w="7760" w:type="dxa"/>
            <w:vAlign w:val="bottom"/>
          </w:tcPr>
          <w:p>
            <w:pPr>
              <w:ind w:left="200"/>
              <w:spacing w:after="0"/>
              <w:rPr>
                <w:sz w:val="20"/>
                <w:szCs w:val="20"/>
                <w:color w:val="auto"/>
              </w:rPr>
            </w:pPr>
            <w:r>
              <w:rPr>
                <w:rFonts w:ascii="Arial" w:cs="Arial" w:eastAsia="Arial" w:hAnsi="Arial"/>
                <w:sz w:val="13"/>
                <w:szCs w:val="13"/>
                <w:color w:val="auto"/>
              </w:rPr>
              <w:t>Other current assets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506</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538</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3"/>
                <w:szCs w:val="13"/>
                <w:color w:val="auto"/>
              </w:rPr>
              <w:t>Total current assets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1,886</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1,847</w:t>
            </w:r>
          </w:p>
        </w:tc>
        <w:tc>
          <w:tcPr>
            <w:tcW w:w="0" w:type="dxa"/>
            <w:vAlign w:val="bottom"/>
          </w:tcPr>
          <w:p>
            <w:pPr>
              <w:spacing w:after="0"/>
              <w:rPr>
                <w:sz w:val="1"/>
                <w:szCs w:val="1"/>
                <w:color w:val="auto"/>
              </w:rPr>
            </w:pPr>
          </w:p>
        </w:tc>
      </w:tr>
      <w:tr>
        <w:trPr>
          <w:trHeight w:val="283"/>
        </w:trPr>
        <w:tc>
          <w:tcPr>
            <w:tcW w:w="776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594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537</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3"/>
                <w:szCs w:val="13"/>
                <w:color w:val="auto"/>
              </w:rPr>
              <w:t>Operating lease right-of-use assets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2,405</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2,368</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3"/>
                <w:szCs w:val="13"/>
                <w:color w:val="auto"/>
              </w:rPr>
              <w:t>Deferred income taxes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1,379</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1,615</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3"/>
                <w:szCs w:val="13"/>
                <w:color w:val="auto"/>
              </w:rPr>
              <w:t>Goodwill</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1,070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1,108</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3"/>
                <w:szCs w:val="13"/>
                <w:color w:val="auto"/>
              </w:rPr>
              <w:t>Other intangibles, net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666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724</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3"/>
                <w:szCs w:val="13"/>
                <w:color w:val="auto"/>
              </w:rPr>
              <w:t>Other non-current assets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382</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3"/>
                <w:szCs w:val="13"/>
                <w:color w:val="auto"/>
              </w:rPr>
              <w:t>Total assets exclusive of assets under vehicle programs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8,499</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8,581</w:t>
            </w:r>
          </w:p>
        </w:tc>
        <w:tc>
          <w:tcPr>
            <w:tcW w:w="0" w:type="dxa"/>
            <w:vAlign w:val="bottom"/>
          </w:tcPr>
          <w:p>
            <w:pPr>
              <w:spacing w:after="0"/>
              <w:rPr>
                <w:sz w:val="1"/>
                <w:szCs w:val="1"/>
                <w:color w:val="auto"/>
              </w:rPr>
            </w:pPr>
          </w:p>
        </w:tc>
      </w:tr>
      <w:tr>
        <w:trPr>
          <w:trHeight w:val="218"/>
        </w:trPr>
        <w:tc>
          <w:tcPr>
            <w:tcW w:w="7760" w:type="dxa"/>
            <w:vAlign w:val="bottom"/>
          </w:tcPr>
          <w:p>
            <w:pPr>
              <w:spacing w:after="0"/>
              <w:rPr>
                <w:sz w:val="20"/>
                <w:szCs w:val="20"/>
                <w:color w:val="auto"/>
              </w:rPr>
            </w:pPr>
            <w:r>
              <w:rPr>
                <w:rFonts w:ascii="Arial" w:cs="Arial" w:eastAsia="Arial" w:hAnsi="Arial"/>
                <w:sz w:val="13"/>
                <w:szCs w:val="13"/>
                <w:color w:val="auto"/>
              </w:rPr>
              <w:t>Assets under vehicle programs: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Program cash</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Vehicles, net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15,961</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12,866</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Receivables from vehicle manufacturers and other</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421</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195"/>
        </w:trPr>
        <w:tc>
          <w:tcPr>
            <w:tcW w:w="7760" w:type="dxa"/>
            <w:vAlign w:val="bottom"/>
          </w:tcPr>
          <w:p>
            <w:pPr>
              <w:ind w:left="200"/>
              <w:spacing w:after="0"/>
              <w:rPr>
                <w:sz w:val="20"/>
                <w:szCs w:val="20"/>
                <w:color w:val="auto"/>
              </w:rPr>
            </w:pPr>
            <w:r>
              <w:rPr>
                <w:rFonts w:ascii="Arial" w:cs="Arial" w:eastAsia="Arial" w:hAnsi="Arial"/>
                <w:sz w:val="13"/>
                <w:szCs w:val="13"/>
                <w:color w:val="auto"/>
              </w:rPr>
              <w:t>Investment in Avis Budget Rental Car Funding (AESOP) LLC—related party</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976</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842</w:t>
            </w:r>
          </w:p>
        </w:tc>
        <w:tc>
          <w:tcPr>
            <w:tcW w:w="0" w:type="dxa"/>
            <w:vAlign w:val="bottom"/>
          </w:tcPr>
          <w:p>
            <w:pPr>
              <w:spacing w:after="0"/>
              <w:rPr>
                <w:sz w:val="1"/>
                <w:szCs w:val="1"/>
                <w:color w:val="auto"/>
              </w:rPr>
            </w:pPr>
          </w:p>
        </w:tc>
      </w:tr>
      <w:tr>
        <w:trPr>
          <w:trHeight w:val="182"/>
        </w:trPr>
        <w:tc>
          <w:tcPr>
            <w:tcW w:w="7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17,428</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14,019</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3"/>
                <w:szCs w:val="13"/>
                <w:b w:val="1"/>
                <w:bCs w:val="1"/>
                <w:color w:val="auto"/>
              </w:rPr>
              <w:t>Total assets</w:t>
            </w: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25,927</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22,600</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776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7760" w:type="dxa"/>
            <w:vAlign w:val="bottom"/>
          </w:tcPr>
          <w:p>
            <w:pPr>
              <w:spacing w:after="0"/>
              <w:rPr>
                <w:sz w:val="20"/>
                <w:szCs w:val="20"/>
                <w:color w:val="auto"/>
              </w:rPr>
            </w:pPr>
            <w:r>
              <w:rPr>
                <w:rFonts w:ascii="Arial" w:cs="Arial" w:eastAsia="Arial" w:hAnsi="Arial"/>
                <w:sz w:val="13"/>
                <w:szCs w:val="13"/>
                <w:color w:val="auto"/>
              </w:rPr>
              <w:t>Current liabilities: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Accounts payable and other current liabilities</w:t>
            </w: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2,547</w:t>
            </w:r>
          </w:p>
        </w:tc>
        <w:tc>
          <w:tcPr>
            <w:tcW w:w="100" w:type="dxa"/>
            <w:vAlign w:val="bottom"/>
          </w:tcPr>
          <w:p>
            <w:pPr>
              <w:spacing w:after="0"/>
              <w:rPr>
                <w:sz w:val="16"/>
                <w:szCs w:val="16"/>
                <w:color w:val="auto"/>
              </w:rPr>
            </w:pPr>
          </w:p>
        </w:tc>
        <w:tc>
          <w:tcPr>
            <w:tcW w:w="680" w:type="dxa"/>
            <w:vAlign w:val="bottom"/>
          </w:tcPr>
          <w:p>
            <w:pPr>
              <w:jc w:val="right"/>
              <w:ind w:right="51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2,389</w:t>
            </w:r>
          </w:p>
        </w:tc>
        <w:tc>
          <w:tcPr>
            <w:tcW w:w="0" w:type="dxa"/>
            <w:vAlign w:val="bottom"/>
          </w:tcPr>
          <w:p>
            <w:pPr>
              <w:spacing w:after="0"/>
              <w:rPr>
                <w:sz w:val="1"/>
                <w:szCs w:val="1"/>
                <w:color w:val="auto"/>
              </w:rPr>
            </w:pPr>
          </w:p>
        </w:tc>
      </w:tr>
      <w:tr>
        <w:trPr>
          <w:trHeight w:val="195"/>
        </w:trPr>
        <w:tc>
          <w:tcPr>
            <w:tcW w:w="7760" w:type="dxa"/>
            <w:vAlign w:val="bottom"/>
          </w:tcPr>
          <w:p>
            <w:pPr>
              <w:ind w:left="200"/>
              <w:spacing w:after="0"/>
              <w:rPr>
                <w:sz w:val="20"/>
                <w:szCs w:val="20"/>
                <w:color w:val="auto"/>
              </w:rPr>
            </w:pPr>
            <w:r>
              <w:rPr>
                <w:rFonts w:ascii="Arial" w:cs="Arial" w:eastAsia="Arial" w:hAnsi="Arial"/>
                <w:sz w:val="13"/>
                <w:szCs w:val="13"/>
                <w:color w:val="auto"/>
              </w:rPr>
              <w:t>Short-term debt and current portion of long-term debt</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3"/>
                <w:szCs w:val="13"/>
                <w:color w:val="auto"/>
              </w:rPr>
              <w:t>Total current liabilities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2,574</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2,408</w:t>
            </w:r>
          </w:p>
        </w:tc>
        <w:tc>
          <w:tcPr>
            <w:tcW w:w="0" w:type="dxa"/>
            <w:vAlign w:val="bottom"/>
          </w:tcPr>
          <w:p>
            <w:pPr>
              <w:spacing w:after="0"/>
              <w:rPr>
                <w:sz w:val="1"/>
                <w:szCs w:val="1"/>
                <w:color w:val="auto"/>
              </w:rPr>
            </w:pPr>
          </w:p>
        </w:tc>
      </w:tr>
      <w:tr>
        <w:trPr>
          <w:trHeight w:val="243"/>
        </w:trPr>
        <w:tc>
          <w:tcPr>
            <w:tcW w:w="7760" w:type="dxa"/>
            <w:vAlign w:val="bottom"/>
          </w:tcPr>
          <w:p>
            <w:pPr>
              <w:spacing w:after="0"/>
              <w:rPr>
                <w:sz w:val="20"/>
                <w:szCs w:val="20"/>
                <w:color w:val="auto"/>
              </w:rPr>
            </w:pPr>
            <w:r>
              <w:rPr>
                <w:rFonts w:ascii="Arial" w:cs="Arial" w:eastAsia="Arial" w:hAnsi="Arial"/>
                <w:sz w:val="13"/>
                <w:szCs w:val="13"/>
                <w:color w:val="auto"/>
              </w:rPr>
              <w:t>Long-term debt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4,644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3,990</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3"/>
                <w:szCs w:val="13"/>
                <w:color w:val="auto"/>
              </w:rPr>
              <w:t>Long-term operating lease liabilities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1,884</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1,910</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3"/>
                <w:szCs w:val="13"/>
                <w:color w:val="auto"/>
              </w:rPr>
              <w:t>Other non-current liabilities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554</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625</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3"/>
                <w:szCs w:val="13"/>
                <w:color w:val="auto"/>
              </w:rPr>
              <w:t>Total liabilities exclusive of liabilities under vehicle programs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9,656</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8,933</w:t>
            </w:r>
          </w:p>
        </w:tc>
        <w:tc>
          <w:tcPr>
            <w:tcW w:w="0" w:type="dxa"/>
            <w:vAlign w:val="bottom"/>
          </w:tcPr>
          <w:p>
            <w:pPr>
              <w:spacing w:after="0"/>
              <w:rPr>
                <w:sz w:val="1"/>
                <w:szCs w:val="1"/>
                <w:color w:val="auto"/>
              </w:rPr>
            </w:pPr>
          </w:p>
        </w:tc>
      </w:tr>
      <w:tr>
        <w:trPr>
          <w:trHeight w:val="218"/>
        </w:trPr>
        <w:tc>
          <w:tcPr>
            <w:tcW w:w="7760" w:type="dxa"/>
            <w:vAlign w:val="bottom"/>
          </w:tcPr>
          <w:p>
            <w:pPr>
              <w:spacing w:after="0"/>
              <w:rPr>
                <w:sz w:val="20"/>
                <w:szCs w:val="20"/>
                <w:color w:val="auto"/>
              </w:rPr>
            </w:pPr>
            <w:r>
              <w:rPr>
                <w:rFonts w:ascii="Arial" w:cs="Arial" w:eastAsia="Arial" w:hAnsi="Arial"/>
                <w:sz w:val="13"/>
                <w:szCs w:val="13"/>
                <w:color w:val="auto"/>
              </w:rPr>
              <w:t>Liabilities under vehicle programs: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Debt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2,534</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2,542</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Debt due to Avis Budget Rental Car Funding (AESOP) LLC—related party</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11,275</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8,848</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Deferred income taxes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2,754</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2,242</w:t>
            </w:r>
          </w:p>
        </w:tc>
        <w:tc>
          <w:tcPr>
            <w:tcW w:w="0" w:type="dxa"/>
            <w:vAlign w:val="bottom"/>
          </w:tcPr>
          <w:p>
            <w:pPr>
              <w:spacing w:after="0"/>
              <w:rPr>
                <w:sz w:val="1"/>
                <w:szCs w:val="1"/>
                <w:color w:val="auto"/>
              </w:rPr>
            </w:pPr>
          </w:p>
        </w:tc>
      </w:tr>
      <w:tr>
        <w:trPr>
          <w:trHeight w:val="195"/>
        </w:trPr>
        <w:tc>
          <w:tcPr>
            <w:tcW w:w="7760" w:type="dxa"/>
            <w:vAlign w:val="bottom"/>
          </w:tcPr>
          <w:p>
            <w:pPr>
              <w:ind w:left="200"/>
              <w:spacing w:after="0"/>
              <w:rPr>
                <w:sz w:val="20"/>
                <w:szCs w:val="20"/>
                <w:color w:val="auto"/>
              </w:rPr>
            </w:pPr>
            <w:r>
              <w:rPr>
                <w:rFonts w:ascii="Arial" w:cs="Arial" w:eastAsia="Arial" w:hAnsi="Arial"/>
                <w:sz w:val="13"/>
                <w:szCs w:val="13"/>
                <w:color w:val="auto"/>
              </w:rPr>
              <w:t>Other</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82"/>
        </w:trPr>
        <w:tc>
          <w:tcPr>
            <w:tcW w:w="7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16,971</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13,876</w:t>
            </w:r>
          </w:p>
        </w:tc>
        <w:tc>
          <w:tcPr>
            <w:tcW w:w="0" w:type="dxa"/>
            <w:vAlign w:val="bottom"/>
          </w:tcPr>
          <w:p>
            <w:pPr>
              <w:spacing w:after="0"/>
              <w:rPr>
                <w:sz w:val="1"/>
                <w:szCs w:val="1"/>
                <w:color w:val="auto"/>
              </w:rPr>
            </w:pPr>
          </w:p>
        </w:tc>
      </w:tr>
      <w:tr>
        <w:trPr>
          <w:trHeight w:val="218"/>
        </w:trPr>
        <w:tc>
          <w:tcPr>
            <w:tcW w:w="7760" w:type="dxa"/>
            <w:vAlign w:val="bottom"/>
          </w:tcPr>
          <w:p>
            <w:pPr>
              <w:spacing w:after="0"/>
              <w:rPr>
                <w:sz w:val="20"/>
                <w:szCs w:val="20"/>
                <w:color w:val="auto"/>
              </w:rPr>
            </w:pPr>
            <w:r>
              <w:rPr>
                <w:rFonts w:ascii="Arial" w:cs="Arial" w:eastAsia="Arial" w:hAnsi="Arial"/>
                <w:sz w:val="13"/>
                <w:szCs w:val="13"/>
                <w:color w:val="auto"/>
              </w:rPr>
              <w:t>Commitments and contingencies (Note 15)</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60" w:type="dxa"/>
            <w:vAlign w:val="bottom"/>
          </w:tcPr>
          <w:p>
            <w:pPr>
              <w:spacing w:after="0"/>
              <w:rPr>
                <w:sz w:val="20"/>
                <w:szCs w:val="20"/>
                <w:color w:val="auto"/>
              </w:rPr>
            </w:pPr>
            <w:r>
              <w:rPr>
                <w:rFonts w:ascii="Arial" w:cs="Arial" w:eastAsia="Arial" w:hAnsi="Arial"/>
                <w:sz w:val="13"/>
                <w:szCs w:val="13"/>
                <w:color w:val="auto"/>
              </w:rPr>
              <w:t>Stockholders’ equity:</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Preferred stock, $.01 par value—authorized 10 shares; none issued and outstanding</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Common stock, $.01 par value—authorized 250 shares; issued 137 shares, respectively</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Additional paid-in capital</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6,666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6,676</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Retained earnings (accumulated deficit)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2,579</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Accumulated other comprehensive loss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94"/>
        </w:trPr>
        <w:tc>
          <w:tcPr>
            <w:tcW w:w="7760" w:type="dxa"/>
            <w:vAlign w:val="bottom"/>
          </w:tcPr>
          <w:p>
            <w:pPr>
              <w:ind w:left="200"/>
              <w:spacing w:after="0"/>
              <w:rPr>
                <w:sz w:val="20"/>
                <w:szCs w:val="20"/>
                <w:color w:val="auto"/>
              </w:rPr>
            </w:pPr>
            <w:r>
              <w:rPr>
                <w:rFonts w:ascii="Arial" w:cs="Arial" w:eastAsia="Arial" w:hAnsi="Arial"/>
                <w:sz w:val="13"/>
                <w:szCs w:val="13"/>
                <w:color w:val="auto"/>
              </w:rPr>
              <w:t>Treasury stock, at cost 98 and 81 shares, respectively</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(9,848)</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(6,579)</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3"/>
                <w:szCs w:val="13"/>
                <w:color w:val="auto"/>
              </w:rPr>
              <w:t>Stockholders’ equity attributable to Avis Budget Group, Inc.</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(703)</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95"/>
        </w:trPr>
        <w:tc>
          <w:tcPr>
            <w:tcW w:w="7760" w:type="dxa"/>
            <w:vAlign w:val="bottom"/>
          </w:tcPr>
          <w:p>
            <w:pPr>
              <w:ind w:left="200"/>
              <w:spacing w:after="0"/>
              <w:rPr>
                <w:sz w:val="20"/>
                <w:szCs w:val="20"/>
                <w:color w:val="auto"/>
              </w:rPr>
            </w:pPr>
            <w:r>
              <w:rPr>
                <w:rFonts w:ascii="Arial" w:cs="Arial" w:eastAsia="Arial" w:hAnsi="Arial"/>
                <w:sz w:val="13"/>
                <w:szCs w:val="13"/>
                <w:color w:val="auto"/>
              </w:rPr>
              <w:t>Non-controlling interests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3"/>
                <w:szCs w:val="13"/>
                <w:color w:val="auto"/>
              </w:rPr>
              <w:t>Total stockholders’ equity</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(700)</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3"/>
                <w:szCs w:val="13"/>
                <w:b w:val="1"/>
                <w:bCs w:val="1"/>
                <w:color w:val="auto"/>
              </w:rPr>
              <w:t>Total liabilities and stockholders’ equity</w:t>
            </w: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25,927</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22,600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vMerge w:val="restart"/>
          </w:tcPr>
          <w:p>
            <w:pPr>
              <w:spacing w:after="0"/>
              <w:rPr>
                <w:sz w:val="20"/>
                <w:szCs w:val="20"/>
                <w:color w:val="auto"/>
              </w:rPr>
            </w:pPr>
            <w:r>
              <w:rPr>
                <w:rFonts w:ascii="Arial" w:cs="Arial" w:eastAsia="Arial" w:hAnsi="Arial"/>
                <w:sz w:val="16"/>
                <w:szCs w:val="16"/>
                <w:b w:val="1"/>
                <w:bCs w:val="1"/>
                <w:color w:val="auto"/>
              </w:rPr>
              <w:t>Operating activities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195"/>
        </w:trPr>
        <w:tc>
          <w:tcPr>
            <w:tcW w:w="7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700" w:type="dxa"/>
            <w:vAlign w:val="bottom"/>
          </w:tcPr>
          <w:p>
            <w:pPr>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2,756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Vehicle depreciation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1,330</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Amortization of right-of-use assets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(Gain) loss on sale of vehicles,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Non-vehicle related 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Amortization of debt financing fees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Early extinguishment of debt costs</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Net change in assets and liabilities: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400"/>
              <w:spacing w:after="0"/>
              <w:rPr>
                <w:sz w:val="20"/>
                <w:szCs w:val="20"/>
                <w:color w:val="auto"/>
              </w:rPr>
            </w:pPr>
            <w:r>
              <w:rPr>
                <w:rFonts w:ascii="Arial" w:cs="Arial" w:eastAsia="Arial" w:hAnsi="Arial"/>
                <w:sz w:val="16"/>
                <w:szCs w:val="16"/>
                <w:color w:val="auto"/>
              </w:rPr>
              <w:t>Receivables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6"/>
        </w:trPr>
        <w:tc>
          <w:tcPr>
            <w:tcW w:w="7700" w:type="dxa"/>
            <w:vAlign w:val="bottom"/>
          </w:tcPr>
          <w:p>
            <w:pPr>
              <w:ind w:left="400"/>
              <w:spacing w:after="0"/>
              <w:rPr>
                <w:sz w:val="20"/>
                <w:szCs w:val="20"/>
                <w:color w:val="auto"/>
              </w:rPr>
            </w:pPr>
            <w:r>
              <w:rPr>
                <w:rFonts w:ascii="Arial" w:cs="Arial" w:eastAsia="Arial" w:hAnsi="Arial"/>
                <w:sz w:val="16"/>
                <w:szCs w:val="16"/>
                <w:color w:val="auto"/>
              </w:rPr>
              <w:t>Income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7700" w:type="dxa"/>
            <w:vAlign w:val="bottom"/>
          </w:tcPr>
          <w:p>
            <w:pPr>
              <w:ind w:left="400"/>
              <w:spacing w:after="0"/>
              <w:rPr>
                <w:sz w:val="20"/>
                <w:szCs w:val="20"/>
                <w:color w:val="auto"/>
              </w:rPr>
            </w:pPr>
            <w:r>
              <w:rPr>
                <w:rFonts w:ascii="Arial" w:cs="Arial" w:eastAsia="Arial" w:hAnsi="Arial"/>
                <w:sz w:val="16"/>
                <w:szCs w:val="16"/>
                <w:color w:val="auto"/>
              </w:rPr>
              <w:t>Accounts payable and other current liabilities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413"/>
        </w:trPr>
        <w:tc>
          <w:tcPr>
            <w:tcW w:w="77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700" w:type="dxa"/>
            <w:vAlign w:val="bottom"/>
          </w:tcPr>
          <w:p>
            <w:pPr>
              <w:spacing w:after="0"/>
              <w:rPr>
                <w:sz w:val="20"/>
                <w:szCs w:val="20"/>
                <w:color w:val="auto"/>
              </w:rPr>
            </w:pPr>
            <w:r>
              <w:rPr>
                <w:rFonts w:ascii="Arial" w:cs="Arial" w:eastAsia="Arial" w:hAnsi="Arial"/>
                <w:sz w:val="16"/>
                <w:szCs w:val="16"/>
                <w:color w:val="auto"/>
              </w:rPr>
              <w:t>Property and equipment additions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Proceeds received on asset sales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Net assets acquired (net of cash acquired)</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6"/>
                <w:szCs w:val="16"/>
                <w:b w:val="1"/>
                <w:bCs w:val="1"/>
                <w:color w:val="auto"/>
              </w:rPr>
              <w:t>Net cash used in investing activities exclusive of vehicle programs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411"/>
        </w:trPr>
        <w:tc>
          <w:tcPr>
            <w:tcW w:w="7700" w:type="dxa"/>
            <w:vAlign w:val="bottom"/>
          </w:tcPr>
          <w:p>
            <w:pPr>
              <w:spacing w:after="0"/>
              <w:rPr>
                <w:sz w:val="20"/>
                <w:szCs w:val="20"/>
                <w:color w:val="auto"/>
              </w:rPr>
            </w:pPr>
            <w:r>
              <w:rPr>
                <w:rFonts w:ascii="Arial" w:cs="Arial" w:eastAsia="Arial" w:hAnsi="Arial"/>
                <w:sz w:val="16"/>
                <w:szCs w:val="16"/>
                <w:i w:val="1"/>
                <w:iCs w:val="1"/>
                <w:color w:val="auto"/>
              </w:rPr>
              <w:t>Vehicle programs: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Investment in vehicles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(5,401)</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Proceeds received on disposition of vehicles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8,753</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Investment in debt securities of Avis Budget Rental Car Funding (AESOP)—related party</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7"/>
        </w:trPr>
        <w:tc>
          <w:tcPr>
            <w:tcW w:w="7700" w:type="dxa"/>
            <w:vAlign w:val="bottom"/>
          </w:tcPr>
          <w:p>
            <w:pPr>
              <w:ind w:left="160"/>
              <w:spacing w:after="0"/>
              <w:rPr>
                <w:sz w:val="20"/>
                <w:szCs w:val="20"/>
                <w:color w:val="auto"/>
              </w:rPr>
            </w:pPr>
            <w:r>
              <w:rPr>
                <w:rFonts w:ascii="Arial" w:cs="Arial" w:eastAsia="Arial" w:hAnsi="Arial"/>
                <w:sz w:val="16"/>
                <w:szCs w:val="16"/>
                <w:color w:val="auto"/>
              </w:rPr>
              <w:t>Proceeds from debt securities of Avis Budget Rental Car Funding (AESOP)—related party</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09"/>
        </w:trPr>
        <w:tc>
          <w:tcPr>
            <w:tcW w:w="7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vMerge w:val="restart"/>
          </w:tcPr>
          <w:p>
            <w:pPr>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5"/>
        </w:trPr>
        <w:tc>
          <w:tcPr>
            <w:tcW w:w="7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620" w:type="dxa"/>
            <w:vAlign w:val="bottom"/>
          </w:tcPr>
          <w:p>
            <w:pPr>
              <w:spacing w:after="0"/>
              <w:rPr>
                <w:sz w:val="20"/>
                <w:szCs w:val="20"/>
                <w:color w:val="auto"/>
              </w:rPr>
            </w:pPr>
            <w:r>
              <w:rPr>
                <w:rFonts w:ascii="Arial" w:cs="Arial" w:eastAsia="Arial" w:hAnsi="Arial"/>
                <w:sz w:val="16"/>
                <w:szCs w:val="16"/>
                <w:color w:val="auto"/>
              </w:rPr>
              <w:t>Proceeds from long-term borrowings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Payments on long-term borrowings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Net change in short-term borrowings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Debt financing fees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Proceeds from issuance of common stock</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Contributions from non-controlling interests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6"/>
                <w:szCs w:val="16"/>
                <w:b w:val="1"/>
                <w:bCs w:val="1"/>
                <w:color w:val="auto"/>
              </w:rPr>
              <w:t>Net cash provided by (used in) financing activities exclusive of vehicle programs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452"/>
        </w:trPr>
        <w:tc>
          <w:tcPr>
            <w:tcW w:w="7620" w:type="dxa"/>
            <w:vAlign w:val="bottom"/>
          </w:tcPr>
          <w:p>
            <w:pPr>
              <w:spacing w:after="0"/>
              <w:rPr>
                <w:sz w:val="20"/>
                <w:szCs w:val="20"/>
                <w:color w:val="auto"/>
              </w:rPr>
            </w:pPr>
            <w:r>
              <w:rPr>
                <w:rFonts w:ascii="Arial" w:cs="Arial" w:eastAsia="Arial" w:hAnsi="Arial"/>
                <w:sz w:val="16"/>
                <w:szCs w:val="16"/>
                <w:i w:val="1"/>
                <w:iCs w:val="1"/>
                <w:color w:val="auto"/>
              </w:rPr>
              <w:t>Vehicle programs: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60"/>
              <w:spacing w:after="0"/>
              <w:rPr>
                <w:sz w:val="20"/>
                <w:szCs w:val="20"/>
                <w:color w:val="auto"/>
              </w:rPr>
            </w:pPr>
            <w:r>
              <w:rPr>
                <w:rFonts w:ascii="Arial" w:cs="Arial" w:eastAsia="Arial" w:hAnsi="Arial"/>
                <w:sz w:val="16"/>
                <w:szCs w:val="16"/>
                <w:color w:val="auto"/>
              </w:rPr>
              <w:t>Proceeds from borrowings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13,558</w:t>
            </w:r>
          </w:p>
        </w:tc>
        <w:tc>
          <w:tcPr>
            <w:tcW w:w="0" w:type="dxa"/>
            <w:vAlign w:val="bottom"/>
          </w:tcPr>
          <w:p>
            <w:pPr>
              <w:spacing w:after="0"/>
              <w:rPr>
                <w:sz w:val="1"/>
                <w:szCs w:val="1"/>
                <w:color w:val="auto"/>
              </w:rPr>
            </w:pPr>
          </w:p>
        </w:tc>
      </w:tr>
      <w:tr>
        <w:trPr>
          <w:trHeight w:val="216"/>
        </w:trPr>
        <w:tc>
          <w:tcPr>
            <w:tcW w:w="7620" w:type="dxa"/>
            <w:vAlign w:val="bottom"/>
          </w:tcPr>
          <w:p>
            <w:pPr>
              <w:ind w:left="160"/>
              <w:spacing w:after="0"/>
              <w:rPr>
                <w:sz w:val="20"/>
                <w:szCs w:val="20"/>
                <w:color w:val="auto"/>
              </w:rPr>
            </w:pPr>
            <w:r>
              <w:rPr>
                <w:rFonts w:ascii="Arial" w:cs="Arial" w:eastAsia="Arial" w:hAnsi="Arial"/>
                <w:sz w:val="16"/>
                <w:szCs w:val="16"/>
                <w:color w:val="auto"/>
              </w:rPr>
              <w:t>Payments on borrowings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(18,138)</w:t>
            </w:r>
          </w:p>
        </w:tc>
        <w:tc>
          <w:tcPr>
            <w:tcW w:w="0" w:type="dxa"/>
            <w:vAlign w:val="bottom"/>
          </w:tcPr>
          <w:p>
            <w:pPr>
              <w:spacing w:after="0"/>
              <w:rPr>
                <w:sz w:val="1"/>
                <w:szCs w:val="1"/>
                <w:color w:val="auto"/>
              </w:rPr>
            </w:pPr>
          </w:p>
        </w:tc>
      </w:tr>
      <w:tr>
        <w:trPr>
          <w:trHeight w:val="217"/>
        </w:trPr>
        <w:tc>
          <w:tcPr>
            <w:tcW w:w="7620" w:type="dxa"/>
            <w:vAlign w:val="bottom"/>
          </w:tcPr>
          <w:p>
            <w:pPr>
              <w:ind w:left="160"/>
              <w:spacing w:after="0"/>
              <w:rPr>
                <w:sz w:val="20"/>
                <w:szCs w:val="20"/>
                <w:color w:val="auto"/>
              </w:rPr>
            </w:pPr>
            <w:r>
              <w:rPr>
                <w:rFonts w:ascii="Arial" w:cs="Arial" w:eastAsia="Arial" w:hAnsi="Arial"/>
                <w:sz w:val="16"/>
                <w:szCs w:val="16"/>
                <w:color w:val="auto"/>
              </w:rPr>
              <w:t>Debt financing fees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9"/>
        </w:trPr>
        <w:tc>
          <w:tcPr>
            <w:tcW w:w="7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(4,598)</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(4,045)</w:t>
            </w:r>
          </w:p>
        </w:tc>
        <w:tc>
          <w:tcPr>
            <w:tcW w:w="0" w:type="dxa"/>
            <w:vAlign w:val="bottom"/>
          </w:tcPr>
          <w:p>
            <w:pPr>
              <w:spacing w:after="0"/>
              <w:rPr>
                <w:sz w:val="1"/>
                <w:szCs w:val="1"/>
                <w:color w:val="auto"/>
              </w:rPr>
            </w:pPr>
          </w:p>
        </w:tc>
      </w:tr>
      <w:tr>
        <w:trPr>
          <w:trHeight w:val="412"/>
        </w:trPr>
        <w:tc>
          <w:tcPr>
            <w:tcW w:w="762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 program and restricted cash</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411"/>
        </w:trPr>
        <w:tc>
          <w:tcPr>
            <w:tcW w:w="7620" w:type="dxa"/>
            <w:vAlign w:val="bottom"/>
          </w:tcPr>
          <w:p>
            <w:pPr>
              <w:spacing w:after="0"/>
              <w:rPr>
                <w:sz w:val="20"/>
                <w:szCs w:val="20"/>
                <w:color w:val="auto"/>
              </w:rPr>
            </w:pPr>
            <w:r>
              <w:rPr>
                <w:rFonts w:ascii="Arial" w:cs="Arial" w:eastAsia="Arial" w:hAnsi="Arial"/>
                <w:sz w:val="16"/>
                <w:szCs w:val="16"/>
                <w:color w:val="auto"/>
              </w:rPr>
              <w:t>Net increase (decrease) in cash and cash equivalents, program and restricted cash</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beginning of period</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6"/>
                <w:szCs w:val="16"/>
                <w:b w:val="1"/>
                <w:bCs w:val="1"/>
                <w:color w:val="auto"/>
              </w:rPr>
              <w:t>Cash and cash equivalents, program and restricted cash, 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2"/>
        </w:trPr>
        <w:tc>
          <w:tcPr>
            <w:tcW w:w="762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7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620" w:type="dxa"/>
            <w:vAlign w:val="bottom"/>
          </w:tcPr>
          <w:p>
            <w:pPr>
              <w:spacing w:after="0"/>
              <w:rPr>
                <w:sz w:val="20"/>
                <w:szCs w:val="20"/>
                <w:color w:val="auto"/>
              </w:rPr>
            </w:pPr>
            <w:r>
              <w:rPr>
                <w:rFonts w:ascii="Arial" w:cs="Arial" w:eastAsia="Arial" w:hAnsi="Arial"/>
                <w:sz w:val="16"/>
                <w:szCs w:val="16"/>
                <w:color w:val="auto"/>
              </w:rPr>
              <w:t>Interest payments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Income tax payments, net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Stockholders’</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20" w:type="dxa"/>
            <w:vAlign w:val="bottom"/>
          </w:tcPr>
          <w:p>
            <w:pPr>
              <w:spacing w:after="0"/>
              <w:rPr>
                <w:sz w:val="10"/>
                <w:szCs w:val="10"/>
                <w:color w:val="auto"/>
              </w:rPr>
            </w:pPr>
          </w:p>
        </w:tc>
        <w:tc>
          <w:tcPr>
            <w:tcW w:w="1440" w:type="dxa"/>
            <w:vAlign w:val="bottom"/>
            <w:gridSpan w:val="5"/>
          </w:tcPr>
          <w:p>
            <w:pPr>
              <w:ind w:left="280"/>
              <w:spacing w:after="0" w:line="122" w:lineRule="exact"/>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0"/>
                <w:szCs w:val="10"/>
                <w:color w:val="auto"/>
              </w:rPr>
            </w:pPr>
          </w:p>
        </w:tc>
        <w:tc>
          <w:tcPr>
            <w:tcW w:w="7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6"/>
              </w:rPr>
              <w:t>Additional</w:t>
            </w:r>
          </w:p>
        </w:tc>
        <w:tc>
          <w:tcPr>
            <w:tcW w:w="112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Retained Earnings</w:t>
            </w:r>
          </w:p>
        </w:tc>
        <w:tc>
          <w:tcPr>
            <w:tcW w:w="120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8"/>
              </w:rPr>
              <w:t>Accumulated Other</w:t>
            </w:r>
          </w:p>
        </w:tc>
        <w:tc>
          <w:tcPr>
            <w:tcW w:w="1560" w:type="dxa"/>
            <w:vAlign w:val="bottom"/>
            <w:gridSpan w:val="5"/>
          </w:tcPr>
          <w:p>
            <w:pPr>
              <w:ind w:left="340"/>
              <w:spacing w:after="0" w:line="122" w:lineRule="exact"/>
              <w:rPr>
                <w:sz w:val="20"/>
                <w:szCs w:val="20"/>
                <w:color w:val="auto"/>
              </w:rPr>
            </w:pPr>
            <w:r>
              <w:rPr>
                <w:rFonts w:ascii="Arial" w:cs="Arial" w:eastAsia="Arial" w:hAnsi="Arial"/>
                <w:sz w:val="11"/>
                <w:szCs w:val="11"/>
                <w:b w:val="1"/>
                <w:bCs w:val="1"/>
                <w:color w:val="auto"/>
              </w:rPr>
              <w:t>Treasury Stock</w:t>
            </w:r>
          </w:p>
        </w:tc>
        <w:tc>
          <w:tcPr>
            <w:tcW w:w="11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Equity Attributable</w:t>
            </w: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rPr>
              <w:t>Non-</w:t>
            </w: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8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4"/>
                <w:szCs w:val="4"/>
                <w:color w:val="auto"/>
              </w:rPr>
            </w:pPr>
          </w:p>
        </w:tc>
        <w:tc>
          <w:tcPr>
            <w:tcW w:w="100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(Accumulated</w:t>
            </w:r>
          </w:p>
        </w:tc>
        <w:tc>
          <w:tcPr>
            <w:tcW w:w="100" w:type="dxa"/>
            <w:vAlign w:val="bottom"/>
          </w:tcPr>
          <w:p>
            <w:pPr>
              <w:spacing w:after="0"/>
              <w:rPr>
                <w:sz w:val="4"/>
                <w:szCs w:val="4"/>
                <w:color w:val="auto"/>
              </w:rPr>
            </w:pPr>
          </w:p>
        </w:tc>
        <w:tc>
          <w:tcPr>
            <w:tcW w:w="110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Comprehensive</w:t>
            </w: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to Avis Budget</w:t>
            </w:r>
          </w:p>
        </w:tc>
        <w:tc>
          <w:tcPr>
            <w:tcW w:w="120" w:type="dxa"/>
            <w:vAlign w:val="bottom"/>
          </w:tcPr>
          <w:p>
            <w:pPr>
              <w:spacing w:after="0"/>
              <w:rPr>
                <w:sz w:val="4"/>
                <w:szCs w:val="4"/>
                <w:color w:val="auto"/>
              </w:rPr>
            </w:pPr>
          </w:p>
        </w:tc>
        <w:tc>
          <w:tcPr>
            <w:tcW w:w="86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controlling</w:t>
            </w:r>
          </w:p>
        </w:tc>
        <w:tc>
          <w:tcPr>
            <w:tcW w:w="104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Total Stockholders’</w:t>
            </w: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Amount</w:t>
            </w:r>
          </w:p>
        </w:tc>
        <w:tc>
          <w:tcPr>
            <w:tcW w:w="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60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Shares</w:t>
            </w:r>
          </w:p>
        </w:tc>
        <w:tc>
          <w:tcPr>
            <w:tcW w:w="1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Amount</w:t>
            </w: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820" w:type="dxa"/>
            <w:vAlign w:val="bottom"/>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9"/>
              </w:rPr>
              <w:t>Income (Loss)</w:t>
            </w:r>
          </w:p>
        </w:tc>
        <w:tc>
          <w:tcPr>
            <w:tcW w:w="100" w:type="dxa"/>
            <w:vAlign w:val="bottom"/>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6"/>
              </w:rPr>
              <w:t>Group, Inc.</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rPr>
              <w:t>Interests</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2"/>
        </w:trPr>
        <w:tc>
          <w:tcPr>
            <w:tcW w:w="1820" w:type="dxa"/>
            <w:vAlign w:val="bottom"/>
          </w:tcPr>
          <w:p>
            <w:pPr>
              <w:spacing w:after="0"/>
              <w:rPr>
                <w:sz w:val="20"/>
                <w:szCs w:val="20"/>
                <w:color w:val="auto"/>
              </w:rPr>
            </w:pPr>
            <w:r>
              <w:rPr>
                <w:rFonts w:ascii="Arial" w:cs="Arial" w:eastAsia="Arial" w:hAnsi="Arial"/>
                <w:sz w:val="11"/>
                <w:szCs w:val="11"/>
                <w:b w:val="1"/>
                <w:bCs w:val="1"/>
                <w:color w:val="auto"/>
              </w:rPr>
              <w:t>Balance at January 1, 2020</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6,741</w:t>
            </w:r>
          </w:p>
        </w:tc>
        <w:tc>
          <w:tcPr>
            <w:tcW w:w="8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(785)</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(157)</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(63.2)</w:t>
            </w:r>
          </w:p>
        </w:tc>
        <w:tc>
          <w:tcPr>
            <w:tcW w:w="1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(5,144)</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656</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656</w:t>
            </w:r>
          </w:p>
        </w:tc>
        <w:tc>
          <w:tcPr>
            <w:tcW w:w="0" w:type="dxa"/>
            <w:vAlign w:val="bottom"/>
          </w:tcPr>
          <w:p>
            <w:pPr>
              <w:spacing w:after="0"/>
              <w:rPr>
                <w:sz w:val="1"/>
                <w:szCs w:val="1"/>
                <w:color w:val="auto"/>
              </w:rPr>
            </w:pPr>
          </w:p>
        </w:tc>
      </w:tr>
      <w:tr>
        <w:trPr>
          <w:trHeight w:val="223"/>
        </w:trPr>
        <w:tc>
          <w:tcPr>
            <w:tcW w:w="1820" w:type="dxa"/>
            <w:vAlign w:val="bottom"/>
          </w:tcPr>
          <w:p>
            <w:pPr>
              <w:spacing w:after="0"/>
              <w:rPr>
                <w:sz w:val="20"/>
                <w:szCs w:val="20"/>
                <w:color w:val="auto"/>
              </w:rPr>
            </w:pPr>
            <w:r>
              <w:rPr>
                <w:rFonts w:ascii="Arial" w:cs="Arial" w:eastAsia="Arial" w:hAnsi="Arial"/>
                <w:sz w:val="11"/>
                <w:szCs w:val="11"/>
                <w:color w:val="auto"/>
              </w:rPr>
              <w:t>Cumulative effect of accounting</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2"/>
        </w:trPr>
        <w:tc>
          <w:tcPr>
            <w:tcW w:w="1820" w:type="dxa"/>
            <w:vAlign w:val="bottom"/>
          </w:tcPr>
          <w:p>
            <w:pPr>
              <w:spacing w:after="0"/>
              <w:rPr>
                <w:sz w:val="20"/>
                <w:szCs w:val="20"/>
                <w:color w:val="auto"/>
              </w:rPr>
            </w:pPr>
            <w:r>
              <w:rPr>
                <w:rFonts w:ascii="Arial" w:cs="Arial" w:eastAsia="Arial" w:hAnsi="Arial"/>
                <w:sz w:val="11"/>
                <w:szCs w:val="11"/>
                <w:color w:val="auto"/>
              </w:rPr>
              <w:t>change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820" w:type="dxa"/>
            <w:vAlign w:val="bottom"/>
          </w:tcPr>
          <w:p>
            <w:pPr>
              <w:spacing w:after="0"/>
              <w:rPr>
                <w:sz w:val="20"/>
                <w:szCs w:val="20"/>
                <w:color w:val="auto"/>
              </w:rPr>
            </w:pPr>
            <w:r>
              <w:rPr>
                <w:rFonts w:ascii="Arial" w:cs="Arial" w:eastAsia="Arial" w:hAnsi="Arial"/>
                <w:sz w:val="11"/>
                <w:szCs w:val="11"/>
                <w:b w:val="1"/>
                <w:bCs w:val="1"/>
                <w:color w:val="auto"/>
              </w:rPr>
              <w:t>Comprehensive loss: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820" w:type="dxa"/>
            <w:vAlign w:val="bottom"/>
          </w:tcPr>
          <w:p>
            <w:pPr>
              <w:spacing w:after="0"/>
              <w:rPr>
                <w:sz w:val="20"/>
                <w:szCs w:val="20"/>
                <w:color w:val="auto"/>
              </w:rPr>
            </w:pPr>
            <w:r>
              <w:rPr>
                <w:rFonts w:ascii="Arial" w:cs="Arial" w:eastAsia="Arial" w:hAnsi="Arial"/>
                <w:sz w:val="11"/>
                <w:szCs w:val="11"/>
                <w:color w:val="auto"/>
              </w:rPr>
              <w:t>Net loss</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(684)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(684)</w:t>
            </w:r>
          </w:p>
        </w:tc>
        <w:tc>
          <w:tcPr>
            <w:tcW w:w="0" w:type="dxa"/>
            <w:vAlign w:val="bottom"/>
          </w:tcPr>
          <w:p>
            <w:pPr>
              <w:spacing w:after="0"/>
              <w:rPr>
                <w:sz w:val="1"/>
                <w:szCs w:val="1"/>
                <w:color w:val="auto"/>
              </w:rPr>
            </w:pPr>
          </w:p>
        </w:tc>
      </w:tr>
      <w:tr>
        <w:trPr>
          <w:trHeight w:val="176"/>
        </w:trPr>
        <w:tc>
          <w:tcPr>
            <w:tcW w:w="182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88"/>
        </w:trPr>
        <w:tc>
          <w:tcPr>
            <w:tcW w:w="1820" w:type="dxa"/>
            <w:vAlign w:val="bottom"/>
          </w:tcPr>
          <w:p>
            <w:pPr>
              <w:spacing w:after="0"/>
              <w:rPr>
                <w:sz w:val="20"/>
                <w:szCs w:val="20"/>
                <w:color w:val="auto"/>
              </w:rPr>
            </w:pPr>
            <w:r>
              <w:rPr>
                <w:rFonts w:ascii="Arial" w:cs="Arial" w:eastAsia="Arial" w:hAnsi="Arial"/>
                <w:sz w:val="11"/>
                <w:szCs w:val="11"/>
                <w:b w:val="1"/>
                <w:bCs w:val="1"/>
                <w:color w:val="auto"/>
              </w:rPr>
              <w:t>Total comprehensive loss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(684)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(714)</w:t>
            </w:r>
          </w:p>
        </w:tc>
        <w:tc>
          <w:tcPr>
            <w:tcW w:w="0" w:type="dxa"/>
            <w:vAlign w:val="bottom"/>
          </w:tcPr>
          <w:p>
            <w:pPr>
              <w:spacing w:after="0"/>
              <w:rPr>
                <w:sz w:val="1"/>
                <w:szCs w:val="1"/>
                <w:color w:val="auto"/>
              </w:rPr>
            </w:pPr>
          </w:p>
        </w:tc>
      </w:tr>
      <w:tr>
        <w:trPr>
          <w:trHeight w:val="210"/>
        </w:trPr>
        <w:tc>
          <w:tcPr>
            <w:tcW w:w="1820" w:type="dxa"/>
            <w:vAlign w:val="bottom"/>
          </w:tcPr>
          <w:p>
            <w:pPr>
              <w:spacing w:after="0"/>
              <w:rPr>
                <w:sz w:val="20"/>
                <w:szCs w:val="20"/>
                <w:color w:val="auto"/>
              </w:rPr>
            </w:pPr>
            <w:r>
              <w:rPr>
                <w:rFonts w:ascii="Arial" w:cs="Arial" w:eastAsia="Arial" w:hAnsi="Arial"/>
                <w:sz w:val="11"/>
                <w:szCs w:val="11"/>
                <w:color w:val="auto"/>
              </w:rPr>
              <w:t>Non-controlling interests</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28"/>
        </w:trPr>
        <w:tc>
          <w:tcPr>
            <w:tcW w:w="1820" w:type="dxa"/>
            <w:vAlign w:val="bottom"/>
          </w:tcPr>
          <w:p>
            <w:pPr>
              <w:spacing w:after="0"/>
              <w:rPr>
                <w:sz w:val="20"/>
                <w:szCs w:val="20"/>
                <w:color w:val="auto"/>
              </w:rPr>
            </w:pPr>
            <w:r>
              <w:rPr>
                <w:rFonts w:ascii="Arial" w:cs="Arial" w:eastAsia="Arial" w:hAnsi="Arial"/>
                <w:sz w:val="11"/>
                <w:szCs w:val="11"/>
                <w:color w:val="auto"/>
              </w:rPr>
              <w:t>Net activity related to restricted stock</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(50)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0.5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20" w:type="dxa"/>
            <w:vAlign w:val="bottom"/>
            <w:vMerge w:val="restart"/>
          </w:tcPr>
          <w:p>
            <w:pPr>
              <w:jc w:val="right"/>
              <w:ind w:right="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2"/>
        </w:trPr>
        <w:tc>
          <w:tcPr>
            <w:tcW w:w="1820" w:type="dxa"/>
            <w:vAlign w:val="bottom"/>
          </w:tcPr>
          <w:p>
            <w:pPr>
              <w:spacing w:after="0"/>
              <w:rPr>
                <w:sz w:val="20"/>
                <w:szCs w:val="20"/>
                <w:color w:val="auto"/>
              </w:rPr>
            </w:pPr>
            <w:r>
              <w:rPr>
                <w:rFonts w:ascii="Arial" w:cs="Arial" w:eastAsia="Arial" w:hAnsi="Arial"/>
                <w:sz w:val="11"/>
                <w:szCs w:val="11"/>
                <w:color w:val="auto"/>
              </w:rPr>
              <w:t>units</w:t>
            </w: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20" w:type="dxa"/>
            <w:vAlign w:val="bottom"/>
          </w:tcPr>
          <w:p>
            <w:pPr>
              <w:spacing w:after="0"/>
              <w:rPr>
                <w:sz w:val="20"/>
                <w:szCs w:val="20"/>
                <w:color w:val="auto"/>
              </w:rPr>
            </w:pPr>
            <w:r>
              <w:rPr>
                <w:rFonts w:ascii="Arial" w:cs="Arial" w:eastAsia="Arial" w:hAnsi="Arial"/>
                <w:sz w:val="11"/>
                <w:szCs w:val="11"/>
                <w:color w:val="auto"/>
              </w:rPr>
              <w:t>Activity related to employee stock</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1820" w:type="dxa"/>
            <w:vAlign w:val="bottom"/>
          </w:tcPr>
          <w:p>
            <w:pPr>
              <w:spacing w:after="0"/>
              <w:rPr>
                <w:sz w:val="20"/>
                <w:szCs w:val="20"/>
                <w:color w:val="auto"/>
              </w:rPr>
            </w:pPr>
            <w:r>
              <w:rPr>
                <w:rFonts w:ascii="Arial" w:cs="Arial" w:eastAsia="Arial" w:hAnsi="Arial"/>
                <w:sz w:val="11"/>
                <w:szCs w:val="11"/>
                <w:color w:val="auto"/>
              </w:rPr>
              <w:t>purchase plan</w:t>
            </w: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20"/>
                <w:szCs w:val="20"/>
                <w:color w:val="auto"/>
              </w:rPr>
            </w:pPr>
            <w:r>
              <w:rPr>
                <w:rFonts w:ascii="Arial" w:cs="Arial" w:eastAsia="Arial" w:hAnsi="Arial"/>
                <w:sz w:val="11"/>
                <w:szCs w:val="11"/>
                <w:color w:val="auto"/>
              </w:rPr>
              <w:t>Issuance of common stock</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76"/>
        </w:trPr>
        <w:tc>
          <w:tcPr>
            <w:tcW w:w="182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(113)</w:t>
            </w:r>
          </w:p>
        </w:tc>
        <w:tc>
          <w:tcPr>
            <w:tcW w:w="0" w:type="dxa"/>
            <w:vAlign w:val="bottom"/>
          </w:tcPr>
          <w:p>
            <w:pPr>
              <w:spacing w:after="0"/>
              <w:rPr>
                <w:sz w:val="1"/>
                <w:szCs w:val="1"/>
                <w:color w:val="auto"/>
              </w:rPr>
            </w:pPr>
          </w:p>
        </w:tc>
      </w:tr>
      <w:tr>
        <w:trPr>
          <w:trHeight w:val="188"/>
        </w:trPr>
        <w:tc>
          <w:tcPr>
            <w:tcW w:w="1820" w:type="dxa"/>
            <w:vAlign w:val="bottom"/>
          </w:tcPr>
          <w:p>
            <w:pPr>
              <w:spacing w:after="0"/>
              <w:rPr>
                <w:sz w:val="20"/>
                <w:szCs w:val="20"/>
                <w:color w:val="auto"/>
              </w:rPr>
            </w:pPr>
            <w:r>
              <w:rPr>
                <w:rFonts w:ascii="Arial" w:cs="Arial" w:eastAsia="Arial" w:hAnsi="Arial"/>
                <w:sz w:val="11"/>
                <w:szCs w:val="11"/>
                <w:b w:val="1"/>
                <w:bCs w:val="1"/>
                <w:color w:val="auto"/>
              </w:rPr>
              <w:t>Balance at December 31, 2020</w:t>
            </w:r>
          </w:p>
        </w:tc>
        <w:tc>
          <w:tcPr>
            <w:tcW w:w="6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6,668</w:t>
            </w:r>
          </w:p>
        </w:tc>
        <w:tc>
          <w:tcPr>
            <w:tcW w:w="8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(1,470)</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(187)</w:t>
            </w:r>
          </w:p>
        </w:tc>
        <w:tc>
          <w:tcPr>
            <w:tcW w:w="100" w:type="dxa"/>
            <w:vAlign w:val="bottom"/>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(67.3)</w:t>
            </w:r>
          </w:p>
        </w:tc>
        <w:tc>
          <w:tcPr>
            <w:tcW w:w="1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(5,167)</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(155)</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820" w:type="dxa"/>
            <w:vAlign w:val="bottom"/>
          </w:tcPr>
          <w:p>
            <w:pPr>
              <w:spacing w:after="0"/>
              <w:rPr>
                <w:sz w:val="20"/>
                <w:szCs w:val="20"/>
                <w:color w:val="auto"/>
              </w:rPr>
            </w:pPr>
            <w:r>
              <w:rPr>
                <w:rFonts w:ascii="Arial" w:cs="Arial" w:eastAsia="Arial" w:hAnsi="Arial"/>
                <w:sz w:val="11"/>
                <w:szCs w:val="11"/>
                <w:color w:val="auto"/>
              </w:rPr>
              <w:t>Net income</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1,285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1,283</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188"/>
        </w:trPr>
        <w:tc>
          <w:tcPr>
            <w:tcW w:w="182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1,285</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1,339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1,337</w:t>
            </w:r>
          </w:p>
        </w:tc>
        <w:tc>
          <w:tcPr>
            <w:tcW w:w="0" w:type="dxa"/>
            <w:vAlign w:val="bottom"/>
          </w:tcPr>
          <w:p>
            <w:pPr>
              <w:spacing w:after="0"/>
              <w:rPr>
                <w:sz w:val="1"/>
                <w:szCs w:val="1"/>
                <w:color w:val="auto"/>
              </w:rPr>
            </w:pPr>
          </w:p>
        </w:tc>
      </w:tr>
      <w:tr>
        <w:trPr>
          <w:trHeight w:val="176"/>
        </w:trPr>
        <w:tc>
          <w:tcPr>
            <w:tcW w:w="1820" w:type="dxa"/>
            <w:vAlign w:val="bottom"/>
          </w:tcPr>
          <w:p>
            <w:pPr>
              <w:spacing w:after="0"/>
              <w:rPr>
                <w:sz w:val="20"/>
                <w:szCs w:val="20"/>
                <w:color w:val="auto"/>
              </w:rPr>
            </w:pPr>
            <w:r>
              <w:rPr>
                <w:rFonts w:ascii="Arial" w:cs="Arial" w:eastAsia="Arial" w:hAnsi="Arial"/>
                <w:sz w:val="11"/>
                <w:szCs w:val="11"/>
                <w:color w:val="auto"/>
              </w:rPr>
              <w:t>Contributions from non-controlling</w:t>
            </w:r>
          </w:p>
        </w:tc>
        <w:tc>
          <w:tcPr>
            <w:tcW w:w="700" w:type="dxa"/>
            <w:vAlign w:val="bottom"/>
            <w:gridSpan w:val="2"/>
            <w:vMerge w:val="restart"/>
          </w:tcPr>
          <w:p>
            <w:pPr>
              <w:ind w:left="4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gridSpan w:val="2"/>
            <w:vMerge w:val="restart"/>
          </w:tcPr>
          <w:p>
            <w:pPr>
              <w:ind w:left="4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ind w:left="4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60" w:type="dxa"/>
            <w:vAlign w:val="bottom"/>
            <w:vMerge w:val="restart"/>
          </w:tcPr>
          <w:p>
            <w:pPr>
              <w:jc w:val="right"/>
              <w:ind w:right="6"/>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13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ind w:right="6"/>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42"/>
        </w:trPr>
        <w:tc>
          <w:tcPr>
            <w:tcW w:w="1820" w:type="dxa"/>
            <w:vAlign w:val="bottom"/>
          </w:tcPr>
          <w:p>
            <w:pPr>
              <w:spacing w:after="0"/>
              <w:rPr>
                <w:sz w:val="20"/>
                <w:szCs w:val="20"/>
                <w:color w:val="auto"/>
              </w:rPr>
            </w:pPr>
            <w:r>
              <w:rPr>
                <w:rFonts w:ascii="Arial" w:cs="Arial" w:eastAsia="Arial" w:hAnsi="Arial"/>
                <w:sz w:val="11"/>
                <w:szCs w:val="11"/>
                <w:color w:val="auto"/>
              </w:rPr>
              <w:t>interests</w:t>
            </w: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20" w:type="dxa"/>
            <w:vAlign w:val="bottom"/>
          </w:tcPr>
          <w:p>
            <w:pPr>
              <w:spacing w:after="0"/>
              <w:rPr>
                <w:sz w:val="20"/>
                <w:szCs w:val="20"/>
                <w:color w:val="auto"/>
              </w:rPr>
            </w:pPr>
            <w:r>
              <w:rPr>
                <w:rFonts w:ascii="Arial" w:cs="Arial" w:eastAsia="Arial" w:hAnsi="Arial"/>
                <w:sz w:val="11"/>
                <w:szCs w:val="11"/>
                <w:color w:val="auto"/>
              </w:rPr>
              <w:t>Net activity related to restricted stock</w:t>
            </w:r>
          </w:p>
        </w:tc>
        <w:tc>
          <w:tcPr>
            <w:tcW w:w="700" w:type="dxa"/>
            <w:vAlign w:val="bottom"/>
            <w:gridSpan w:val="2"/>
            <w:vMerge w:val="restart"/>
          </w:tcPr>
          <w:p>
            <w:pPr>
              <w:ind w:left="4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gridSpan w:val="2"/>
            <w:vMerge w:val="restart"/>
          </w:tcPr>
          <w:p>
            <w:pPr>
              <w:ind w:left="4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0.4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20" w:type="dxa"/>
            <w:vAlign w:val="bottom"/>
            <w:vMerge w:val="restart"/>
          </w:tcPr>
          <w:p>
            <w:pPr>
              <w:jc w:val="right"/>
              <w:ind w:right="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2"/>
        </w:trPr>
        <w:tc>
          <w:tcPr>
            <w:tcW w:w="1820" w:type="dxa"/>
            <w:vAlign w:val="bottom"/>
          </w:tcPr>
          <w:p>
            <w:pPr>
              <w:spacing w:after="0"/>
              <w:rPr>
                <w:sz w:val="20"/>
                <w:szCs w:val="20"/>
                <w:color w:val="auto"/>
              </w:rPr>
            </w:pPr>
            <w:r>
              <w:rPr>
                <w:rFonts w:ascii="Arial" w:cs="Arial" w:eastAsia="Arial" w:hAnsi="Arial"/>
                <w:sz w:val="11"/>
                <w:szCs w:val="11"/>
                <w:color w:val="auto"/>
              </w:rPr>
              <w:t>units</w:t>
            </w: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70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(14.3)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(1,443)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(1,443)</w:t>
            </w:r>
          </w:p>
        </w:tc>
        <w:tc>
          <w:tcPr>
            <w:tcW w:w="0" w:type="dxa"/>
            <w:vAlign w:val="bottom"/>
          </w:tcPr>
          <w:p>
            <w:pPr>
              <w:spacing w:after="0"/>
              <w:rPr>
                <w:sz w:val="1"/>
                <w:szCs w:val="1"/>
                <w:color w:val="auto"/>
              </w:rPr>
            </w:pPr>
          </w:p>
        </w:tc>
      </w:tr>
      <w:tr>
        <w:trPr>
          <w:trHeight w:val="229"/>
        </w:trPr>
        <w:tc>
          <w:tcPr>
            <w:tcW w:w="1820" w:type="dxa"/>
            <w:vAlign w:val="bottom"/>
          </w:tcPr>
          <w:p>
            <w:pPr>
              <w:spacing w:after="0"/>
              <w:rPr>
                <w:sz w:val="20"/>
                <w:szCs w:val="20"/>
                <w:color w:val="auto"/>
              </w:rPr>
            </w:pPr>
            <w:r>
              <w:rPr>
                <w:rFonts w:ascii="Arial" w:cs="Arial" w:eastAsia="Arial" w:hAnsi="Arial"/>
                <w:sz w:val="11"/>
                <w:szCs w:val="11"/>
                <w:b w:val="1"/>
                <w:bCs w:val="1"/>
                <w:color w:val="auto"/>
              </w:rPr>
              <w:t>Balance at December 31, 2021</w:t>
            </w:r>
          </w:p>
        </w:tc>
        <w:tc>
          <w:tcPr>
            <w:tcW w:w="6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6,676</w:t>
            </w:r>
          </w:p>
        </w:tc>
        <w:tc>
          <w:tcPr>
            <w:tcW w:w="8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(185)</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(133)</w:t>
            </w: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(81.2)</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(6,579)</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(220)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w:t>
            </w:r>
          </w:p>
        </w:tc>
        <w:tc>
          <w:tcPr>
            <w:tcW w:w="140" w:type="dxa"/>
            <w:vAlign w:val="bottom"/>
          </w:tcPr>
          <w:p>
            <w:pPr>
              <w:spacing w:after="0"/>
              <w:rPr>
                <w:sz w:val="19"/>
                <w:szCs w:val="19"/>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(209)</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820" w:type="dxa"/>
            <w:vAlign w:val="bottom"/>
          </w:tcPr>
          <w:p>
            <w:pPr>
              <w:spacing w:after="0"/>
              <w:rPr>
                <w:sz w:val="20"/>
                <w:szCs w:val="20"/>
                <w:color w:val="auto"/>
              </w:rPr>
            </w:pPr>
            <w:r>
              <w:rPr>
                <w:rFonts w:ascii="Arial" w:cs="Arial" w:eastAsia="Arial" w:hAnsi="Arial"/>
                <w:sz w:val="11"/>
                <w:szCs w:val="11"/>
                <w:color w:val="auto"/>
              </w:rPr>
              <w:t>Net income</w:t>
            </w:r>
          </w:p>
        </w:tc>
        <w:tc>
          <w:tcPr>
            <w:tcW w:w="70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2,764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2,764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2,756</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70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5"/>
                <w:szCs w:val="15"/>
                <w:color w:val="auto"/>
              </w:rPr>
            </w:pP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88"/>
        </w:trPr>
        <w:tc>
          <w:tcPr>
            <w:tcW w:w="182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2,764</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2,796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w:t>
            </w: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2,788</w:t>
            </w:r>
          </w:p>
        </w:tc>
        <w:tc>
          <w:tcPr>
            <w:tcW w:w="0" w:type="dxa"/>
            <w:vAlign w:val="bottom"/>
          </w:tcPr>
          <w:p>
            <w:pPr>
              <w:spacing w:after="0"/>
              <w:rPr>
                <w:sz w:val="1"/>
                <w:szCs w:val="1"/>
                <w:color w:val="auto"/>
              </w:rPr>
            </w:pPr>
          </w:p>
        </w:tc>
      </w:tr>
      <w:tr>
        <w:trPr>
          <w:trHeight w:val="176"/>
        </w:trPr>
        <w:tc>
          <w:tcPr>
            <w:tcW w:w="1820" w:type="dxa"/>
            <w:vAlign w:val="bottom"/>
          </w:tcPr>
          <w:p>
            <w:pPr>
              <w:spacing w:after="0"/>
              <w:rPr>
                <w:sz w:val="20"/>
                <w:szCs w:val="20"/>
                <w:color w:val="auto"/>
              </w:rPr>
            </w:pPr>
            <w:r>
              <w:rPr>
                <w:rFonts w:ascii="Arial" w:cs="Arial" w:eastAsia="Arial" w:hAnsi="Arial"/>
                <w:sz w:val="11"/>
                <w:szCs w:val="11"/>
                <w:color w:val="auto"/>
              </w:rPr>
              <w:t>Contributions from non-controlling</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60" w:type="dxa"/>
            <w:vAlign w:val="bottom"/>
            <w:vMerge w:val="restart"/>
          </w:tcPr>
          <w:p>
            <w:pPr>
              <w:jc w:val="right"/>
              <w:ind w:right="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820" w:type="dxa"/>
            <w:vAlign w:val="bottom"/>
            <w:vMerge w:val="restart"/>
          </w:tcPr>
          <w:p>
            <w:pPr>
              <w:jc w:val="right"/>
              <w:ind w:right="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42"/>
        </w:trPr>
        <w:tc>
          <w:tcPr>
            <w:tcW w:w="1820" w:type="dxa"/>
            <w:vAlign w:val="bottom"/>
          </w:tcPr>
          <w:p>
            <w:pPr>
              <w:spacing w:after="0"/>
              <w:rPr>
                <w:sz w:val="20"/>
                <w:szCs w:val="20"/>
                <w:color w:val="auto"/>
              </w:rPr>
            </w:pPr>
            <w:r>
              <w:rPr>
                <w:rFonts w:ascii="Arial" w:cs="Arial" w:eastAsia="Arial" w:hAnsi="Arial"/>
                <w:sz w:val="11"/>
                <w:szCs w:val="11"/>
                <w:color w:val="auto"/>
              </w:rPr>
              <w:t>interests</w:t>
            </w: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20" w:type="dxa"/>
            <w:vAlign w:val="bottom"/>
          </w:tcPr>
          <w:p>
            <w:pPr>
              <w:spacing w:after="0"/>
              <w:rPr>
                <w:sz w:val="20"/>
                <w:szCs w:val="20"/>
                <w:color w:val="auto"/>
              </w:rPr>
            </w:pPr>
            <w:r>
              <w:rPr>
                <w:rFonts w:ascii="Arial" w:cs="Arial" w:eastAsia="Arial" w:hAnsi="Arial"/>
                <w:sz w:val="11"/>
                <w:szCs w:val="11"/>
                <w:color w:val="auto"/>
              </w:rPr>
              <w:t>Net activity related to restricted stock</w:t>
            </w:r>
          </w:p>
        </w:tc>
        <w:tc>
          <w:tcPr>
            <w:tcW w:w="700" w:type="dxa"/>
            <w:vAlign w:val="bottom"/>
            <w:gridSpan w:val="2"/>
            <w:vMerge w:val="restart"/>
          </w:tcPr>
          <w:p>
            <w:pPr>
              <w:ind w:left="4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gridSpan w:val="2"/>
            <w:vMerge w:val="restart"/>
          </w:tcPr>
          <w:p>
            <w:pPr>
              <w:ind w:left="4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(34)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0.3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42"/>
        </w:trPr>
        <w:tc>
          <w:tcPr>
            <w:tcW w:w="1820" w:type="dxa"/>
            <w:vAlign w:val="bottom"/>
          </w:tcPr>
          <w:p>
            <w:pPr>
              <w:spacing w:after="0"/>
              <w:rPr>
                <w:sz w:val="20"/>
                <w:szCs w:val="20"/>
                <w:color w:val="auto"/>
              </w:rPr>
            </w:pPr>
            <w:r>
              <w:rPr>
                <w:rFonts w:ascii="Arial" w:cs="Arial" w:eastAsia="Arial" w:hAnsi="Arial"/>
                <w:sz w:val="11"/>
                <w:szCs w:val="11"/>
                <w:color w:val="auto"/>
              </w:rPr>
              <w:t>units</w:t>
            </w: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70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(16.7)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(3,267)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(3,267)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(3,267)</w:t>
            </w:r>
          </w:p>
        </w:tc>
        <w:tc>
          <w:tcPr>
            <w:tcW w:w="0" w:type="dxa"/>
            <w:vAlign w:val="bottom"/>
          </w:tcPr>
          <w:p>
            <w:pPr>
              <w:spacing w:after="0"/>
              <w:rPr>
                <w:sz w:val="1"/>
                <w:szCs w:val="1"/>
                <w:color w:val="auto"/>
              </w:rPr>
            </w:pPr>
          </w:p>
        </w:tc>
      </w:tr>
      <w:tr>
        <w:trPr>
          <w:trHeight w:val="196"/>
        </w:trPr>
        <w:tc>
          <w:tcPr>
            <w:tcW w:w="1820" w:type="dxa"/>
            <w:vAlign w:val="bottom"/>
          </w:tcPr>
          <w:p>
            <w:pPr>
              <w:spacing w:after="0"/>
              <w:rPr>
                <w:sz w:val="20"/>
                <w:szCs w:val="20"/>
                <w:color w:val="auto"/>
              </w:rPr>
            </w:pPr>
            <w:r>
              <w:rPr>
                <w:rFonts w:ascii="Arial" w:cs="Arial" w:eastAsia="Arial" w:hAnsi="Arial"/>
                <w:sz w:val="11"/>
                <w:szCs w:val="11"/>
                <w:b w:val="1"/>
                <w:bCs w:val="1"/>
                <w:color w:val="auto"/>
              </w:rPr>
              <w:t>Balance at December 31, 2022</w:t>
            </w: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6,666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2,579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(97.6)</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(9,848)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(703)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(700)</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(Unless otherwise noted, all dollar amounts are in millions, except per share amounts)</w:t>
      </w:r>
    </w:p>
    <w:p>
      <w:pPr>
        <w:spacing w:after="0" w:line="207" w:lineRule="exact"/>
        <w:rPr>
          <w:sz w:val="20"/>
          <w:szCs w:val="20"/>
          <w:color w:val="auto"/>
        </w:rPr>
      </w:pPr>
    </w:p>
    <w:p>
      <w:pPr>
        <w:ind w:left="400" w:hanging="342"/>
        <w:spacing w:after="0"/>
        <w:tabs>
          <w:tab w:leader="none" w:pos="4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1"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Avis Budget Group, Inc. provides mobility solutions to businesses and consumers worldwide. The accompanying Consolidated Financial Statements include the accounts and transactions of Avis Budget Group, Inc. and its subsidiaries, as well as entities in which Avis Budget Group, Inc. directly or indirectly has a controlling financial interest (collectively, “we”, “our”, “us”, or the “Company”).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operate the following reportable business segments:</w:t>
      </w:r>
    </w:p>
    <w:p>
      <w:pPr>
        <w:spacing w:after="0" w:line="252" w:lineRule="exact"/>
        <w:rPr>
          <w:sz w:val="20"/>
          <w:szCs w:val="20"/>
          <w:color w:val="auto"/>
        </w:rPr>
      </w:pPr>
    </w:p>
    <w:p>
      <w:pPr>
        <w:jc w:val="both"/>
        <w:ind w:left="1300" w:hanging="482"/>
        <w:spacing w:after="0" w:line="268"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Americas - </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we do not operate directly.</w:t>
      </w:r>
    </w:p>
    <w:p>
      <w:pPr>
        <w:spacing w:after="0" w:line="197" w:lineRule="exact"/>
        <w:rPr>
          <w:rFonts w:ascii="Arial" w:cs="Arial" w:eastAsia="Arial" w:hAnsi="Arial"/>
          <w:sz w:val="18"/>
          <w:szCs w:val="18"/>
          <w:color w:val="auto"/>
        </w:rPr>
      </w:pPr>
    </w:p>
    <w:p>
      <w:pPr>
        <w:ind w:left="1300" w:hanging="482"/>
        <w:spacing w:after="0" w:line="287"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International - </w:t>
      </w:r>
      <w:r>
        <w:rPr>
          <w:rFonts w:ascii="Arial" w:cs="Arial" w:eastAsia="Arial" w:hAnsi="Arial"/>
          <w:sz w:val="18"/>
          <w:szCs w:val="18"/>
          <w:color w:val="auto"/>
        </w:rPr>
        <w:t>consisting primarily of (i) vehicle rental operations in Europe, the Middle East, Africa, Asia and Australasia,</w:t>
      </w:r>
      <w:r>
        <w:rPr>
          <w:rFonts w:ascii="Arial" w:cs="Arial" w:eastAsia="Arial" w:hAnsi="Arial"/>
          <w:sz w:val="18"/>
          <w:szCs w:val="18"/>
          <w:b w:val="1"/>
          <w:bCs w:val="1"/>
          <w:color w:val="auto"/>
        </w:rPr>
        <w:t xml:space="preserve"> </w:t>
      </w:r>
      <w:r>
        <w:rPr>
          <w:rFonts w:ascii="Arial" w:cs="Arial" w:eastAsia="Arial" w:hAnsi="Arial"/>
          <w:sz w:val="18"/>
          <w:szCs w:val="18"/>
          <w:color w:val="auto"/>
        </w:rPr>
        <w:t>(ii) car sharing operations in certain of these markets, and (iii) licensees in the areas in which we do not operate directly.</w:t>
      </w:r>
    </w:p>
    <w:p>
      <w:pPr>
        <w:spacing w:after="0" w:line="18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We have completed the business acquisitions discussed in Note 6 – Acquisitions to these Consolidated Financial Statements. The operating results of the acquired businesses are included in the accompanying Consolidated Financial Statements from the dates of acquisition.</w:t>
      </w:r>
    </w:p>
    <w:p>
      <w:pPr>
        <w:spacing w:after="0" w:line="117"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9" w:lineRule="exact"/>
        <w:rPr>
          <w:sz w:val="20"/>
          <w:szCs w:val="20"/>
          <w:color w:val="auto"/>
        </w:rPr>
      </w:pPr>
    </w:p>
    <w:p>
      <w:pPr>
        <w:ind w:left="500" w:right="7060" w:hanging="442"/>
        <w:spacing w:after="0" w:line="438" w:lineRule="auto"/>
        <w:tabs>
          <w:tab w:leader="none" w:pos="414"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1"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 and include the accounts of our and all entities in which we have a direct or indirect controlling financial interest and variable interest entities for which we have determined we are the primary beneficiary. We consolidate joint venture activities when we have a controlling interest and record non-controlling interests within stockholders’ equity and the statement of comprehensive income equal to the percentage of ownership interest retained in such entities by the respective non-controlling party. Intercompany transactions have been eliminated in consolidation.</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69"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use of estimates and assumptions as determined by management is required in the preparation of the Consolidated Financial Statements in conformity with GAAP. These estimates are based on management’s evaluation of historical trends and other information available when the Consolidated Financial Statements are prepared and may affect the amounts reported and related disclosures. Actual results could differ from those estimates.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derive revenues primarily by providing vehicle rentals and other related products and mobility services to commercial and leisure customers, as well as through licensing of our rental brands. Other related products and mobility services include sales of collision and loss damage waivers under which a customer is relieved from financial responsibility arising from vehicle damage incurred during the rental; products and services for driving convenience such as fuel service options, roadside safety net, electronic toll collection,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tablet rentals, access to satellite radio, portable navigation units and child safety seat rentals; and rentals of other supplemental items including automobile towing equipment and other moving accessories and supplies. We also receive payment from customers for certain operating expenses that we incur, including airport concession fees that are paid by us in exchange for the right to operate at airports and other locations, as well as vehicle licensing fees. In addition, we collect membership fees in connection with our car sharing business.</w:t>
      </w:r>
    </w:p>
    <w:p>
      <w:pPr>
        <w:spacing w:after="0" w:line="206"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We combine all lease and non-lease components of our vehicle rental contracts for which the timing and pattern of transfer are the same and the lease component meets the classification of an operating lease. Vehicle rentals and other related products and mobility services are recognized evenly over the period of rental, which is on average approximately five days. (See Note 3 – Leases).</w:t>
      </w:r>
    </w:p>
    <w:p>
      <w:pPr>
        <w:spacing w:after="0" w:line="198"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Licensing revenues principally consist of royalties paid by our licensees and are recorded as the licensees’ revenues are earned (over the rental period). We renew license agreements in the normal course of business and occasionally terminate, purchase or sell license agreements. In connection with ongoing fees that we receive from our licensees pursuant to license agreements, we are required to provide certain services, such as training, marketing and the operation of reservation systems.</w:t>
      </w:r>
    </w:p>
    <w:p>
      <w:pPr>
        <w:spacing w:after="0" w:line="203"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We exclude from the measurement of our transaction price any tax assessed by a governmental authority that is both imposed on and concurrent with a specific revenue-producing transaction and collected from a customer. As a result, revenue is recorded net of such taxes collected. Revenues and expenses associated with gasoline, airport concessions and vehicle licensing are recorded on a gross basis within revenues and operating expenses. Membership fees related to our car sharing business are generally nonrefundable, are deferred and recognized ratably over the period of membership.</w:t>
      </w:r>
    </w:p>
    <w:p>
      <w:pPr>
        <w:spacing w:after="0" w:line="206"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Revenues are recognized under Leases (Topic 842) with the exception of royalty fee revenue derived from our licensees and revenue related to our customer loyalty program, which were approximately $165 million, $127 million and $159 million for the years ended December 31, 2022, 2021 and 2020, respectively.</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revenues disaggregated by geography:</w:t>
      </w:r>
    </w:p>
    <w:p>
      <w:pPr>
        <w:spacing w:after="0" w:line="50" w:lineRule="exact"/>
        <w:rPr>
          <w:sz w:val="20"/>
          <w:szCs w:val="20"/>
          <w:color w:val="auto"/>
        </w:rPr>
      </w:pPr>
    </w:p>
    <w:tbl>
      <w:tblPr>
        <w:tblLayout w:type="fixed"/>
        <w:tblInd w:w="500" w:type="dxa"/>
        <w:tblCellMar>
          <w:top w:w="0" w:type="dxa"/>
          <w:left w:w="0" w:type="dxa"/>
          <w:bottom w:w="0" w:type="dxa"/>
          <w:right w:w="0" w:type="dxa"/>
        </w:tblCellMar>
      </w:tblPr>
      <w:tr>
        <w:trPr>
          <w:trHeight w:val="235"/>
        </w:trPr>
        <w:tc>
          <w:tcPr>
            <w:tcW w:w="5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10"/>
          </w:tcPr>
          <w:p>
            <w:pPr>
              <w:jc w:val="center"/>
              <w:ind w:left="750"/>
              <w:spacing w:after="0"/>
              <w:rPr>
                <w:sz w:val="20"/>
                <w:szCs w:val="20"/>
                <w:color w:val="auto"/>
              </w:rPr>
            </w:pPr>
            <w:r>
              <w:rPr>
                <w:rFonts w:ascii="Arial" w:cs="Arial" w:eastAsia="Arial" w:hAnsi="Arial"/>
                <w:sz w:val="18"/>
                <w:szCs w:val="18"/>
                <w:b w:val="1"/>
                <w:bCs w:val="1"/>
                <w:color w:val="auto"/>
                <w:w w:val="99"/>
              </w:rPr>
              <w:t>Year Ended December 31,</w:t>
            </w:r>
          </w:p>
        </w:tc>
        <w:tc>
          <w:tcPr>
            <w:tcW w:w="12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vMerge w:val="restart"/>
          </w:tcPr>
          <w:p>
            <w:pPr>
              <w:ind w:left="20"/>
              <w:spacing w:after="0"/>
              <w:rPr>
                <w:sz w:val="20"/>
                <w:szCs w:val="20"/>
                <w:color w:val="auto"/>
              </w:rPr>
            </w:pPr>
            <w:r>
              <w:rPr>
                <w:rFonts w:ascii="Arial" w:cs="Arial" w:eastAsia="Arial" w:hAnsi="Arial"/>
                <w:sz w:val="18"/>
                <w:szCs w:val="18"/>
                <w:color w:val="auto"/>
              </w:rPr>
              <w:t>Americas</w:t>
            </w: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9"/>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vMerge w:val="continue"/>
          </w:tcPr>
          <w:p>
            <w:pPr>
              <w:spacing w:after="0"/>
              <w:rPr>
                <w:sz w:val="18"/>
                <w:szCs w:val="18"/>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9,474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160" w:type="dxa"/>
            <w:vAlign w:val="bottom"/>
          </w:tcPr>
          <w:p>
            <w:pPr>
              <w:ind w:left="20"/>
              <w:spacing w:after="0"/>
              <w:rPr>
                <w:sz w:val="20"/>
                <w:szCs w:val="20"/>
                <w:color w:val="auto"/>
              </w:rPr>
            </w:pPr>
            <w:r>
              <w:rPr>
                <w:rFonts w:ascii="Arial" w:cs="Arial" w:eastAsia="Arial" w:hAnsi="Arial"/>
                <w:sz w:val="18"/>
                <w:szCs w:val="18"/>
                <w:color w:val="auto"/>
              </w:rPr>
              <w:t>Asia and Australasia</w:t>
            </w: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5540" w:type="dxa"/>
            <w:vAlign w:val="bottom"/>
            <w:gridSpan w:val="3"/>
          </w:tcPr>
          <w:p>
            <w:pPr>
              <w:spacing w:after="0"/>
              <w:rPr>
                <w:sz w:val="20"/>
                <w:szCs w:val="20"/>
                <w:color w:val="auto"/>
              </w:rPr>
            </w:pPr>
            <w:r>
              <w:rPr>
                <w:rFonts w:ascii="Arial" w:cs="Arial" w:eastAsia="Arial" w:hAnsi="Arial"/>
                <w:sz w:val="18"/>
                <w:szCs w:val="18"/>
                <w:color w:val="auto"/>
              </w:rPr>
              <w:t>The following table presents our revenues disaggregated by brand:</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gridSpan w:val="10"/>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vMerge w:val="restart"/>
          </w:tcPr>
          <w:p>
            <w:pPr>
              <w:ind w:left="20"/>
              <w:spacing w:after="0"/>
              <w:rPr>
                <w:sz w:val="20"/>
                <w:szCs w:val="20"/>
                <w:color w:val="auto"/>
              </w:rPr>
            </w:pPr>
            <w:r>
              <w:rPr>
                <w:rFonts w:ascii="Arial" w:cs="Arial" w:eastAsia="Arial" w:hAnsi="Arial"/>
                <w:sz w:val="18"/>
                <w:szCs w:val="18"/>
                <w:color w:val="auto"/>
              </w:rPr>
              <w:t>Avis</w:t>
            </w:r>
          </w:p>
        </w:tc>
        <w:tc>
          <w:tcPr>
            <w:tcW w:w="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6,519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Budget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160" w:type="dxa"/>
            <w:vAlign w:val="bottom"/>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11,994</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includes Zipcar and other operating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50"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We record deferred revenues when cash payments are received in advance of satisfying our performance obligations, including amounts that are refundable. In addition, certain customers earn loyalty points on rentals, for which we defer a portion of our rental revenues generally equivalent to the estimated retail value of points expected to be redeemed. We estimate points that will never be redeemed based upon actual redemption and expiration patterns. Currently loyalty points expire after 12 months of member inactivity. Future changes to expiration assumptions or expiration policy, or to program rules, may result in changes to deferred revenue as well as recognized revenues from the program.</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changes in deferred revenue associated with our customer loyalty program:</w:t>
      </w:r>
    </w:p>
    <w:p>
      <w:pPr>
        <w:spacing w:after="0" w:line="50"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688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80" w:type="dxa"/>
            <w:vAlign w:val="bottom"/>
            <w:vMerge w:val="restart"/>
          </w:tcPr>
          <w:p>
            <w:pPr>
              <w:spacing w:after="0"/>
              <w:rPr>
                <w:sz w:val="20"/>
                <w:szCs w:val="20"/>
                <w:color w:val="auto"/>
              </w:rPr>
            </w:pPr>
            <w:r>
              <w:rPr>
                <w:rFonts w:ascii="Arial" w:cs="Arial" w:eastAsia="Arial" w:hAnsi="Arial"/>
                <w:sz w:val="18"/>
                <w:szCs w:val="18"/>
                <w:color w:val="auto"/>
              </w:rPr>
              <w:t>Balance, January 1</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80" w:type="dxa"/>
            <w:vAlign w:val="bottom"/>
            <w:vMerge w:val="continue"/>
          </w:tcPr>
          <w:p>
            <w:pPr>
              <w:spacing w:after="0"/>
              <w:rPr>
                <w:sz w:val="18"/>
                <w:szCs w:val="18"/>
                <w:color w:val="auto"/>
              </w:rPr>
            </w:pP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center"/>
              <w:ind w:left="30"/>
              <w:spacing w:after="0"/>
              <w:rPr>
                <w:sz w:val="20"/>
                <w:szCs w:val="20"/>
                <w:color w:val="auto"/>
              </w:rPr>
            </w:pPr>
            <w:r>
              <w:rPr>
                <w:rFonts w:ascii="Arial" w:cs="Arial" w:eastAsia="Arial" w:hAnsi="Arial"/>
                <w:sz w:val="18"/>
                <w:szCs w:val="18"/>
                <w:color w:val="auto"/>
                <w:w w:val="99"/>
              </w:rPr>
              <w:t>50</w:t>
            </w:r>
          </w:p>
        </w:tc>
        <w:tc>
          <w:tcPr>
            <w:tcW w:w="100" w:type="dxa"/>
            <w:vAlign w:val="bottom"/>
          </w:tcPr>
          <w:p>
            <w:pPr>
              <w:spacing w:after="0"/>
              <w:rPr>
                <w:sz w:val="18"/>
                <w:szCs w:val="18"/>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9"/>
              </w:rPr>
              <w:t>34</w:t>
            </w: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Arial" w:cs="Arial" w:eastAsia="Arial" w:hAnsi="Arial"/>
                <w:sz w:val="18"/>
                <w:szCs w:val="18"/>
                <w:color w:val="auto"/>
              </w:rPr>
              <w:t>Revenue deferred</w:t>
            </w:r>
          </w:p>
        </w:tc>
        <w:tc>
          <w:tcPr>
            <w:tcW w:w="1140" w:type="dxa"/>
            <w:vAlign w:val="bottom"/>
          </w:tcPr>
          <w:p>
            <w:pPr>
              <w:spacing w:after="0"/>
              <w:rPr>
                <w:sz w:val="19"/>
                <w:szCs w:val="19"/>
                <w:color w:val="auto"/>
              </w:rPr>
            </w:pPr>
          </w:p>
        </w:tc>
        <w:tc>
          <w:tcPr>
            <w:tcW w:w="480" w:type="dxa"/>
            <w:vAlign w:val="bottom"/>
          </w:tcPr>
          <w:p>
            <w:pPr>
              <w:jc w:val="center"/>
              <w:ind w:left="30"/>
              <w:spacing w:after="0"/>
              <w:rPr>
                <w:sz w:val="20"/>
                <w:szCs w:val="20"/>
                <w:color w:val="auto"/>
              </w:rPr>
            </w:pPr>
            <w:r>
              <w:rPr>
                <w:rFonts w:ascii="Arial" w:cs="Arial" w:eastAsia="Arial" w:hAnsi="Arial"/>
                <w:sz w:val="18"/>
                <w:szCs w:val="18"/>
                <w:color w:val="auto"/>
                <w:w w:val="99"/>
              </w:rPr>
              <w:t>52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35"/>
        </w:trPr>
        <w:tc>
          <w:tcPr>
            <w:tcW w:w="6880" w:type="dxa"/>
            <w:vAlign w:val="bottom"/>
          </w:tcPr>
          <w:p>
            <w:pPr>
              <w:ind w:left="200"/>
              <w:spacing w:after="0"/>
              <w:rPr>
                <w:sz w:val="20"/>
                <w:szCs w:val="20"/>
                <w:color w:val="auto"/>
              </w:rPr>
            </w:pPr>
            <w:r>
              <w:rPr>
                <w:rFonts w:ascii="Arial" w:cs="Arial" w:eastAsia="Arial" w:hAnsi="Arial"/>
                <w:sz w:val="18"/>
                <w:szCs w:val="18"/>
                <w:color w:val="auto"/>
              </w:rPr>
              <w:t>Revenue recognized</w:t>
            </w:r>
          </w:p>
        </w:tc>
        <w:tc>
          <w:tcPr>
            <w:tcW w:w="1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(41)</w:t>
            </w:r>
          </w:p>
        </w:tc>
        <w:tc>
          <w:tcPr>
            <w:tcW w:w="1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(33)</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Balance, December 31</w:t>
            </w: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61</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w:t>
      </w:r>
    </w:p>
    <w:p>
      <w:pPr>
        <w:spacing w:after="0" w:line="32" w:lineRule="exact"/>
        <w:rPr>
          <w:sz w:val="20"/>
          <w:szCs w:val="20"/>
          <w:color w:val="auto"/>
        </w:rPr>
      </w:pPr>
    </w:p>
    <w:p>
      <w:pPr>
        <w:jc w:val="both"/>
        <w:ind w:left="500" w:right="20"/>
        <w:spacing w:after="0" w:line="265" w:lineRule="auto"/>
        <w:rPr>
          <w:sz w:val="20"/>
          <w:szCs w:val="20"/>
          <w:color w:val="auto"/>
        </w:rPr>
      </w:pPr>
      <w:r>
        <w:rPr>
          <w:rFonts w:ascii="Arial" w:cs="Arial" w:eastAsia="Arial" w:hAnsi="Arial"/>
          <w:sz w:val="14"/>
          <w:szCs w:val="14"/>
          <w:color w:val="auto"/>
        </w:rPr>
        <w:t>At December 31, 2022 and 2021, $15 million and $33 million was included in accounts payable and other current liabilities, respectively, and $46 million and $17 million in other non-current liabilities, respectively. Non-current amounts are expected to be recognized as revenue within two to three years.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Translation</w:t>
      </w:r>
    </w:p>
    <w:p>
      <w:pPr>
        <w:spacing w:after="0" w:line="169"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Assets and liabilities of foreign operations are translated at the rate of exchange in effect on the balance sheet date; income and expenses are translated at the prevailing monthly average rate of exchange. The related translation adjustments are reflected in accumulated other comprehensive income (loss) in the stockholders’ equity section of the Consolidated Balance Sheets and in the Consolidated Statements of Comprehensive Income (See Note 16 – Stockholders' Equity). We have designated our euro-denominated Notes as a hedge of our investment in euro-denominated foreign operations and, accordingly, record the effective portion of gains or losses on this net investment hedge in accumulated other comprehensive income (loss) as part of currency translation adjustments.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and Cash Equivalents, Program Cash and Restricted Cash</w:t>
      </w:r>
    </w:p>
    <w:p>
      <w:pPr>
        <w:spacing w:after="0" w:line="169"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We consider highly liquid investments purchased with an original maturity of three months or less to be cash equivalents. Program cash primarily represents amounts specifically designated to purchase assets under vehicle programs and/or to repay the related debt, as such we consider it a restricted cash equivalent. The following table provides a detail of cash and cash equivalents, program and restricted cash reported within the Consolidated Balance Sheets to the amounts shown in the Consolidated Statements of Cash Flows:</w:t>
      </w:r>
    </w:p>
    <w:p>
      <w:pPr>
        <w:spacing w:after="0" w:line="382"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6860" w:type="dxa"/>
            <w:vAlign w:val="bottom"/>
          </w:tcPr>
          <w:p>
            <w:pPr>
              <w:spacing w:after="0"/>
              <w:rPr>
                <w:sz w:val="20"/>
                <w:szCs w:val="20"/>
                <w:color w:val="auto"/>
              </w:rPr>
            </w:pPr>
          </w:p>
        </w:tc>
        <w:tc>
          <w:tcPr>
            <w:tcW w:w="28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As of December 31,</w:t>
            </w: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6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60" w:type="dxa"/>
            <w:vAlign w:val="bottom"/>
            <w:vMerge w:val="continue"/>
          </w:tcPr>
          <w:p>
            <w:pPr>
              <w:spacing w:after="0"/>
              <w:rPr>
                <w:sz w:val="18"/>
                <w:szCs w:val="18"/>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8"/>
                <w:szCs w:val="18"/>
                <w:color w:val="auto"/>
              </w:rPr>
            </w:pP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Program cash</w:t>
            </w:r>
          </w:p>
        </w:tc>
        <w:tc>
          <w:tcPr>
            <w:tcW w:w="1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5"/>
        </w:trPr>
        <w:tc>
          <w:tcPr>
            <w:tcW w:w="686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0"/>
                <w:szCs w:val="10"/>
                <w:color w:val="auto"/>
              </w:rPr>
              <w:t>(a)</w:t>
            </w:r>
          </w:p>
        </w:tc>
        <w:tc>
          <w:tcPr>
            <w:tcW w:w="1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Total cash and cash equivalents, program and restricted cash</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spacing w:after="0" w:line="24" w:lineRule="exact"/>
        <w:rPr>
          <w:sz w:val="20"/>
          <w:szCs w:val="20"/>
          <w:color w:val="auto"/>
        </w:rPr>
      </w:pPr>
    </w:p>
    <w:p>
      <w:pPr>
        <w:ind w:left="820" w:hanging="326"/>
        <w:spacing w:after="0"/>
        <w:tabs>
          <w:tab w:leader="none" w:pos="820" w:val="left"/>
        </w:tabs>
        <w:numPr>
          <w:ilvl w:val="0"/>
          <w:numId w:val="30"/>
        </w:numPr>
        <w:rPr>
          <w:rFonts w:ascii="Arial" w:cs="Arial" w:eastAsia="Arial" w:hAnsi="Arial"/>
          <w:sz w:val="9"/>
          <w:szCs w:val="9"/>
          <w:color w:val="auto"/>
        </w:rPr>
      </w:pPr>
      <w:r>
        <w:rPr>
          <w:rFonts w:ascii="Arial" w:cs="Arial" w:eastAsia="Arial" w:hAnsi="Arial"/>
          <w:sz w:val="14"/>
          <w:szCs w:val="14"/>
          <w:color w:val="auto"/>
        </w:rPr>
        <w:t>Included within other current assets.</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(including leasehold improvements) are stated at cost, net of accumulated depreciation and amortization.</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(non-vehicle related) is computed utilizing the straight-line method over the estimated useful lives of the related assets.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Leasehold improvements are amortized over the shorter of the term of the lease or the estimated useful lives of the improvements.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Useful lives are as follows: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Buildings</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Furniture, fixtures &amp; equipment</w:t>
      </w:r>
    </w:p>
    <w:p>
      <w:pPr>
        <w:spacing w:after="0" w:line="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Capitalized software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Buses and support vehicles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30 years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 to 10 years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3 to 7 years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4 to 15 years</w:t>
      </w:r>
    </w:p>
    <w:p>
      <w:pPr>
        <w:spacing w:after="0" w:line="211" w:lineRule="exact"/>
        <w:rPr>
          <w:sz w:val="20"/>
          <w:szCs w:val="20"/>
          <w:color w:val="auto"/>
        </w:rPr>
      </w:pPr>
    </w:p>
    <w:p>
      <w:pPr>
        <w:sectPr>
          <w:pgSz w:w="11900" w:h="16838" w:orient="portrait"/>
          <w:cols w:equalWidth="0" w:num="2">
            <w:col w:w="5100" w:space="720"/>
            <w:col w:w="5420"/>
          </w:cols>
          <w:pgMar w:left="320" w:top="122" w:right="339" w:bottom="1440" w:gutter="0" w:footer="0" w:header="0"/>
          <w:type w:val="continuous"/>
        </w:sectPr>
      </w:pPr>
    </w:p>
    <w:p>
      <w:pPr>
        <w:spacing w:after="0" w:line="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capitalize the costs of software developed for internal use when the preliminary project stage is completed and management</w:t>
      </w:r>
    </w:p>
    <w:p>
      <w:pPr>
        <w:spacing w:after="0" w:line="27" w:lineRule="exact"/>
        <w:rPr>
          <w:sz w:val="20"/>
          <w:szCs w:val="20"/>
          <w:color w:val="auto"/>
        </w:rPr>
      </w:pPr>
    </w:p>
    <w:p>
      <w:pPr>
        <w:jc w:val="both"/>
        <w:ind w:left="500" w:hanging="6"/>
        <w:spacing w:after="0" w:line="255" w:lineRule="auto"/>
        <w:tabs>
          <w:tab w:leader="none" w:pos="731"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commits to funding the project and (ii) believes it is probable that the project will be completed and the software will be used to perform the function intended. The software developed or obtained for internal use is amortized on a straight-line basis commencing when such software is ready for its intended use. The net carrying value of software developed or obtained for internal use was $174 million and $188 million as of December 31, 2022 and 2021, respectively.</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50"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Goodwill represents the excess, if any, of the fair value of the consideration transferred by the acquirer and the fair value of any non-controlling interest remaining in the acquiree, if any, over the fair values of the identifiable net assets acquired. We do not amortize goodwill, but assess it for impairment at least annually and whenever events or changes in circumstances indicate that the carrying amounts of their respective reporting units exceed their fair values. We perform our annual impairment assessment in the fourth quarter of each year at the reporting unit level. We assess goodwill for such impairment by comparing the carrying value of each reporting unit to its fair value using the present value of expected future cash flows. When appropriate, comparative market multiples and other factors are used to corroborate the discounted cash flow results.</w:t>
      </w:r>
    </w:p>
    <w:p>
      <w:pPr>
        <w:spacing w:after="0" w:line="21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Other intangible assets, primarily trademarks, with indefinite lives are not amortized but are evaluated annually for impairment and whenever events or changes in circumstances indicate that the carrying amount of this asset may exceed its fair value. If the carrying value of an other intangible asset exceeds its fair value, an impairment loss is recognized in an amount equal to that excess. Other intangible assets with finite lives are amortized over their estimated useful lives and are evaluated each reporting period to determine if circumstances warrant a revision to these lives.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9"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are required to assess long-lived assets for impairment whenever circumstances indicate impairment may have occurred. This analysis is performed by comparing the respective carrying values of the assets to the undiscounted expected future cash flows to be generated from such assets. Property and equipment is evaluated separately at the lowest level of identifiable cash flows. If such analysis indicates that the carrying value of these assets is not recoverable, the carrying value of such assets is reduced to fair value.</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Vehicles</w:t>
      </w:r>
    </w:p>
    <w:p>
      <w:pPr>
        <w:spacing w:after="0" w:line="169"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Vehicles are stated at cost, net of accumulated depreciation. The initial cost of the vehicles is recorded net of incentives and allowances from manufacturers. We acquire a portion of our rental vehicles pursuant to repurchase and guaranteed depreciation programs established by automobile manufacturers. Under these programs, the manufacturers agree to repurchase vehicles at a specified price and date, or guarantee the depreciation rate for a specified period of time, subject to certain eligibility criteria (such as car condition and mileage requirements). We depreciate vehicles such that the net book value on the date of return to the manufacturers is intended to equal the contractual guaranteed residual values, thereby minimizing any gain or loss.</w:t>
      </w:r>
    </w:p>
    <w:p>
      <w:pPr>
        <w:spacing w:after="0" w:line="128"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Rental vehicles acquired outside of manufacturer repurchase and guaranteed depreciation programs are depreciated based upon their estimated residual values at their expected dates of disposition, after giving effect to anticipated conditions in the used car market. Any adjustments to depreciation are made prospectively.</w:t>
      </w:r>
    </w:p>
    <w:p>
      <w:pPr>
        <w:spacing w:after="0" w:line="117"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estimation of residual values requires us to make assumptions regarding the age and mileage of the car at the time of disposal, as well as expected used vehicle auction market conditions. We regularly evaluate estimated residual values and adjust depreciation rates as appropriate. Differences between actual residual values and those estimated result in a gain or loss on disposal and are recorded as part of</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vehicle depreciation at the time of sale. Vehicle-related interest expense amounts are net of vehicle-related interest income of $1 million, $1 million and $12 million for 2022, 2021 and 2020, respectively.</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69"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Advertising and digital marketing costs are generally expensed in the period incurred and are recorded within selling, general and administrative expenses in our Consolidated Statements of Operations. During 2022, 2021 and 2020, advertising costs were approximately $64 million, $81 million and $54 million, respectively. In addition, during 2022, 2021 and 2020, digital marketing costs were approximately $71 million, $44 million and $37 million, respectively.</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Taxes</w:t>
      </w:r>
    </w:p>
    <w:p>
      <w:pPr>
        <w:spacing w:after="0" w:line="169"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As a result of the provisions of the Tax Cuts and Jobs Act, we account for Global Intangible Low-Taxed Income (“GILTI”) as a component of current period income tax expense in the year incurred.</w:t>
      </w:r>
    </w:p>
    <w:p>
      <w:pPr>
        <w:spacing w:after="0" w:line="12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We record net deferred tax assets to the extent we believe that it is more likely than not that these assets will be realized. In making such determination,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9"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measure the fair value of assets and liabilities and discloses the source for such fair value measurements. Financial assets and liabilities are classified as follows: Level 1, which refers to assets and liabilities valued using quoted prices from active markets for identical assets or liabilities; Level 2, which refers to assets and liabilities for which significant other observable market inputs are readily available; and Level 3, which are valued based on significant unobservable inputs.</w:t>
      </w:r>
    </w:p>
    <w:p>
      <w:pPr>
        <w:spacing w:after="0" w:line="122"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The fair value of our financial instruments is generally determined by reference to market values resulting from trading on a national securities exchange or in an over-the-counter market (Level 1 inputs). In some cases where quoted market prices are not available, prices are derived by considering the yield of the benchmark security that was issued to initially price the instruments and adjusting this rate by the credit spread that market participants would demand for the instruments as of the measurement date (Level 2 inputs). In situations where long-term borrowings are part of a conduit facility backed by short-term floating rate debt, we have determined that its carrying value approximates the fair value of this debt (Level 2 inputs). The carrying amounts of cash and cash equivalents, available-for-sale securities, accounts receivable, program cash and accounts payable and accrued liabilities approximate fair value due to the short-term maturities of these assets and liabilities.</w:t>
      </w:r>
    </w:p>
    <w:p>
      <w:pPr>
        <w:spacing w:after="0" w:line="131"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Our derivative assets and liabilities consist principally of currency exchange contracts, interest rate swaps, interest rate caps and commodity contracts, and are carried at fair value based on significant observable inputs (Level 2 inputs). Derivatives entered into by us are typically executed over-the-counter and are valued using internal valuation techniques, as no quoted market prices exist for such instruments. The valuation technique and inputs depend on the type of derivative and the nature of the underlying exposure. We principally use discounted cash flows to value these instruments. These models take into account a variety of factors including, where applicable, maturity, currency exchange rates, our interest rate yield curves and counterparties, credit curves, counterparty creditworthiness and commodity prices. These factors are applied on a consistent basis and are based upon observable inputs where available.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69"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Derivative instruments are used as part of our overall strategy to manage exposure to market risks associated with fluctuations in currency exchange rates, interest rates and gasoline costs. As a matter of policy, derivatives are not used for trading or speculative purposes.</w:t>
      </w:r>
    </w:p>
    <w:p>
      <w:pPr>
        <w:spacing w:after="0" w:line="117"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All derivatives are recorded at fair value either as assets or liabilities. Changes in fair value of derivatives not designated as hedging instruments are recognized currently in earnings within the same line item as the hedged item. The changes in fair value of a derivative that is designated as either a cash flow or net investment hedge is recorded as a component of accumulated other comprehensive income (loss) and reclassified into earnings in the same period or periods during which the hedged transaction affects earnings and is presented in the same income statement line item as the earnings effect of the hedged item. Amounts related to our derivative instruments are recognized in the Consolidated Statements of Cash Flows consistent with the nature of the hedged item (principally operating activities).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Transactions</w:t>
      </w:r>
    </w:p>
    <w:p>
      <w:pPr>
        <w:spacing w:after="0" w:line="169"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Currency gains and losses resulting from foreign currency transactions are generally included in operating expenses within the Consolidated Statements of Operations; however, the net gain or loss of currency transactions on intercompany loans and the unrealized gain or loss on intercompany loan hedges are included within interest expense related to corporate debt, net.</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169"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The Consolidated Balance Sheets include $391 million and $383 million of liabilities associated with retained risks of liability to third parties as of December 31, 2022 and 2021, respectively. Such liabilities relate primarily to public liability and third-party property damage claims, as well as claims arising from the sale of ancillary insurance products including, but not limited to, supplemental liability, personal effects protection and personal accident insurance. These obligations represent an estimate for both reported claims not yet paid and claims incurred but not yet reported. The estimated reserve requirements for such claims are recorded on an undiscounted basis utilizing actuarial methodologies and various assumptions which include, but are not limited to, our historical loss experience and projected loss development factors. The required liability is also subject to adjustment in the future based upon changes in claims experience, including changes in the number of incidents for which we are ultimately liable and changes in the cost per incident. These amounts are included within accounts payable and other current liabilities and other non-current liabilities.</w:t>
      </w:r>
    </w:p>
    <w:p>
      <w:pPr>
        <w:spacing w:after="0" w:line="127"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Consolidated Balance Sheets also include liabilities of approximately $ 53 million and $ 48 million as of December 31, 2022 and 2021, respectively, related to workers’ compensation, health and welfare and other employee benefit programs. The liabilities represent an estimate for both reported claims not yet paid and claims incurred but not yet reported, utilizing actuarial methodologies similar to those described above. These amounts are included within accounts payable and other current liabilities and other non-current liabilities.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9"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Stock-based compensation cost is measured at the grant date, based on the fair value of the award, and is recognized as expense on a straight-line basis over the vesting period. Our policy is to record compensation expense for stock options, and restricted stock units that are time- and performance-based, for the portion of the award that vests. Compensation expense related to market-based restricted stock units is recognized provided that the requisite service is rendered, regardless of when, if ever, the market condition is satisfied. We estimate the fair value of restricted stock units using the market price of our common stock on the date of grant. We estimate the fair value of stock-based and cash unit awards containing a market condition using a Monte Carlo simulation model. Key inputs and assumptions used in the Monte Carlo simulation model include the stock price of the award on the grant date, the expected term, the risk-free interest rate over the expected term, the expected annual dividend yield and the expected stock price volatility. The expected volatility is based on a combination of the historical and implied volatility of our publicly traded, near-the-money stock options, and the valuation period is based on the vesting period of the awards. The risk-free interest rate is derived from the U.S. Treasury yield curve in effect at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right="100"/>
        <w:spacing w:after="0" w:line="438" w:lineRule="auto"/>
        <w:rPr>
          <w:sz w:val="20"/>
          <w:szCs w:val="20"/>
          <w:color w:val="auto"/>
        </w:rPr>
      </w:pPr>
      <w:r>
        <w:rPr>
          <w:rFonts w:ascii="Arial" w:cs="Arial" w:eastAsia="Arial" w:hAnsi="Arial"/>
          <w:sz w:val="18"/>
          <w:szCs w:val="18"/>
          <w:color w:val="auto"/>
        </w:rPr>
        <w:t xml:space="preserve">time of grant and, since we do not currently pay or plan to pay a dividend on our common stock, the expected dividend yield was zero. </w:t>
      </w:r>
      <w:r>
        <w:rPr>
          <w:rFonts w:ascii="Arial" w:cs="Arial" w:eastAsia="Arial" w:hAnsi="Arial"/>
          <w:sz w:val="18"/>
          <w:szCs w:val="18"/>
          <w:b w:val="1"/>
          <w:bCs w:val="1"/>
          <w:i w:val="1"/>
          <w:iCs w:val="1"/>
          <w:color w:val="auto"/>
        </w:rPr>
        <w:t>Business Combinations</w:t>
      </w:r>
    </w:p>
    <w:p>
      <w:pPr>
        <w:spacing w:after="0" w:line="1"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We use the acquisition method of accounting for business combinations, which requires that the assets acquired and liabilities assumed be recorded at their respective fair values at the date of acquisition. Assets acquired and liabilities assumed in a business combination that arise from contingencies are recognized if fair value can be reasonably estimated at the acquisition date. The excess, if any, of (i) the fair value of the consideration transferred by the acquirer and the fair value of any non-controlling interest remaining in the acquiree, over (ii) the fair values of the identifiable net assets acquired is recorded as goodwill. Gains and losses on the re-acquisition of license agreements are recorded in the Consolidated Statements of Operations within transaction-related costs, net, upon completion of the respective acquisition. Costs incurred to effect a business combination are expensed as incurred, except for the cost to issue debt related to the acquisition.</w:t>
      </w:r>
    </w:p>
    <w:p>
      <w:pPr>
        <w:spacing w:after="0" w:line="131"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We record contingent consideration resulting from a business combination at its fair value on the acquisition date. The fair value of the contingent consideration is generally estimated by utilizing a Monte Carlo simulation technique, based on a range of possible future results (Level 3). Any changes in contingent consideration are recorded in transaction-related costs, net.</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Transaction-related Costs, net</w:t>
      </w:r>
    </w:p>
    <w:p>
      <w:pPr>
        <w:spacing w:after="0" w:line="16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Transaction-related costs, net are classified separately in the Consolidated Statements of Operations. These costs are comprised of expenses primarily related to acquisition-related activities such as due-diligence and other advisory costs, expenses related to the integration of the acquiree’s operations with our comparable expenses, including the implementation of best practices and process improvements, non-cash gains and losses related to re-acquired rights, expenses related to pre-acquisition contingencies and contingent consideration related to acquisitions.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Investments</w:t>
      </w:r>
    </w:p>
    <w:p>
      <w:pPr>
        <w:spacing w:after="0" w:line="169"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We account for investments for which we have the ability to exercise significant influence, but do not have a controlling interest, using the equity method of accounting and record our proportional share of net income or loss within operating expenses in the Consolidated Statements of Operations. We assess equity method investments for impairment whenever events or changes in circumstances indicate that the carrying amounts of such investments may not be recoverable. Any difference between the carrying value of the equity method investment and its estimated fair value is recognized as an impairment charge if the loss in value is deemed other than temporary. As of December 31, 2022 and 2021, we had investments with a carrying value of $77 million and $72 million, respectively, recorded within other non-current assets on the Consolidated Balance Sheets.</w:t>
      </w:r>
    </w:p>
    <w:p>
      <w:pPr>
        <w:spacing w:after="0" w:line="129"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Aggregate realized gains and losses on equity investments and dividend income are recorded within operating expenses on the Consolidated Statements of Operations. During 2022, 2021 and 2020, the amounts realized from the sale of equity investments and dividend income was $12 million, $10 million and $5 million, respectively. See Note 17 – Related Party Transactions for our equity method investment in our former subsidiary.</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Divestitures</w:t>
      </w:r>
    </w:p>
    <w:p>
      <w:pPr>
        <w:spacing w:after="0" w:line="16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We classify long-lived assets and liabilities to be disposed of as held for sale in the period in which they are available for immediate sale in their present condition and the sale is probable and expected to be completed within one year. We initially measure assets and liabilities held for sale at the lower of their carrying value or fair value less costs to sell and assesses their fair value each reporting period until disposed. When the divestiture represents a strategic shift that has, or will have, a major effect on our operations and financial results, the disposal is presented as a discontinued operation.</w:t>
      </w:r>
    </w:p>
    <w:p>
      <w:pPr>
        <w:spacing w:after="0" w:line="125"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In February 2022, we completed the sale of our operations in the United States Virgin Islands for $13 million, for the right to operate the Avis brand. During the year ended December 31, 2022, we recorded a gain of $2 million within restructuring and other related charges.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In December 2021, we entered into a stock purchase agreement with Spuigroep B.V. to sell our operations in the Netherlands. In March 2022, we completed the sale of our operations in the Netherlands for $15 million, subject to working capital adjustments, for the right to operate the Avis and Budget brands. During the year ended December 31, 2022, we recorded a loss of $7 million, net of impact of foreign currency adjustments, within restructuring and other related charges. The Netherlands operations are reported within our International reporting segment.</w:t>
      </w:r>
    </w:p>
    <w:p>
      <w:pPr>
        <w:spacing w:after="0" w:line="125"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In May 2021, we completed the sale of our operation in Argentina to Urbiz S.A. for $4 million. As part of the sale, Urbiz S.A. agreed to pay the purchase price, plus interest, over two years for the right to operate the Avis and Budget brands. During the year ended December 31, 2021, we recorded a loss of $14 million, net of the impact of foreign currency adjustments, within restructuring and other related charges. In addition, we paid severance to terminated employees of $2 million.</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Variable Interest Entity (“VIE”)</w:t>
      </w:r>
    </w:p>
    <w:p>
      <w:pPr>
        <w:spacing w:after="0" w:line="169"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 xml:space="preserve">We review our investments to determine if they are VIEs. </w:t>
      </w:r>
      <w:r>
        <w:rPr>
          <w:rFonts w:ascii="Arial" w:cs="Arial" w:eastAsia="Arial" w:hAnsi="Arial"/>
          <w:sz w:val="18"/>
          <w:szCs w:val="18"/>
          <w:color w:val="212529"/>
        </w:rPr>
        <w:t>A VIE is an entity in which either (i) the equity investors as a group lack the</w:t>
      </w:r>
      <w:r>
        <w:rPr>
          <w:rFonts w:ascii="Arial" w:cs="Arial" w:eastAsia="Arial" w:hAnsi="Arial"/>
          <w:sz w:val="18"/>
          <w:szCs w:val="18"/>
          <w:color w:val="auto"/>
        </w:rPr>
        <w:t xml:space="preserve"> </w:t>
      </w:r>
      <w:r>
        <w:rPr>
          <w:rFonts w:ascii="Arial" w:cs="Arial" w:eastAsia="Arial" w:hAnsi="Arial"/>
          <w:sz w:val="18"/>
          <w:szCs w:val="18"/>
          <w:color w:val="212529"/>
        </w:rPr>
        <w:t xml:space="preserve">power through voting or similar rights to direct the activities of such entity that most significantly impact such entity’s economic performance or (ii) the equity investment at risk is insufficient to finance that entity’s activities without additional subordinated financial support. </w:t>
      </w:r>
      <w:r>
        <w:rPr>
          <w:rFonts w:ascii="Arial" w:cs="Arial" w:eastAsia="Arial" w:hAnsi="Arial"/>
          <w:sz w:val="18"/>
          <w:szCs w:val="18"/>
          <w:color w:val="000000"/>
        </w:rPr>
        <w:t>Entities that are determined to be VIEs are consolidated if we are the primary beneficiary of the entity. The primary beneficiary</w:t>
      </w:r>
      <w:r>
        <w:rPr>
          <w:rFonts w:ascii="Arial" w:cs="Arial" w:eastAsia="Arial" w:hAnsi="Arial"/>
          <w:sz w:val="18"/>
          <w:szCs w:val="18"/>
          <w:color w:val="212529"/>
        </w:rPr>
        <w:t xml:space="preserve"> </w:t>
      </w:r>
      <w:r>
        <w:rPr>
          <w:rFonts w:ascii="Arial" w:cs="Arial" w:eastAsia="Arial" w:hAnsi="Arial"/>
          <w:sz w:val="18"/>
          <w:szCs w:val="18"/>
          <w:color w:val="000000"/>
        </w:rPr>
        <w:t>possesses the power to direct the activities of the VIE that most significantly impact its economic performance and has the obligation to absorb losses or the right to receive benefits from the VIE that are significant to it. We will reconsider our original assessment of a VIE upon the occurrence of certain events such as contributions and redemptions, either by us, or third parties, or amendments to an entity’s governing documents. On an ongoing basis, we reconsider whether we are deemed to be a VIE’s primary beneficiary. See Note 17 – Related Party Transactions for our VIE investment in our former subsidiary.</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250"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We apply the measurement alternative, which allows these investments to be recorded at cost, less impairment, if any, and subsequently adjust for observable price changes of identical or similar investments of the same issuer. Any changes in value are recorded within operating expenses. As of December 31, 2022 and 2021, our nonmarketable equity securities within non-current assets on our Consolidated Balance sheets were not material and no material adjustments were made to the carrying values of these securities during the years ended December 31, 2022, 2021 or 2020.</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Accounting for Contract Assets and Contract Liabilities from Contracts with Customers</w:t>
      </w:r>
    </w:p>
    <w:p>
      <w:pPr>
        <w:spacing w:after="0" w:line="250"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In October 2021, the FASB issued ASU 2021-08, “Accounting for Contract Assets and Contract Liabilities from Contracts with Customers,” which amends Topic 805 to add contract assets and contract liabilities to the list of exceptions to the recognition and measurement principles that apply to business combinations and to require an acquirer to recognize and measure contract assets and contract liabilities acquired in a business combination in accordance with Topic 606. ASU 2021-08 becomes effective for us on January 1, 2023. Early adoption is permitted on a retrospective or prospective basis. The adoption of this accounting pronouncement is not expected to have a material impact on our Consolidated Financial Statements.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Reference Rate Reform</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In January 2021, the FASB issued ASU 2021-01, “Reference Rate Reform (Topic 848),” which amends ASU 2020-04 and clarifies the scope and guidance of Topic 848 to allow derivatives impacted by the reference rate reform to qualify for certain optional expedients and exceptions for contract modifications and hedge accounting. The guidance is optional and is effective for a limited period of time through December 31, 2022. As of December 31, 2022, this guidance had no impact on our Consolidated Financial Statements and we will continue to evaluate this guidance.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left="500" w:right="10200" w:hanging="442"/>
        <w:spacing w:after="0" w:line="563" w:lineRule="auto"/>
        <w:tabs>
          <w:tab w:leader="none" w:pos="414"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i w:val="1"/>
          <w:iCs w:val="1"/>
          <w:color w:val="auto"/>
        </w:rPr>
        <w:t>Lessor</w:t>
      </w:r>
    </w:p>
    <w:p>
      <w:pPr>
        <w:ind w:left="50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presents our lease revenues disaggregated by geography:</w:t>
      </w:r>
    </w:p>
    <w:p>
      <w:pPr>
        <w:spacing w:after="0" w:line="50" w:lineRule="exact"/>
        <w:rPr>
          <w:sz w:val="20"/>
          <w:szCs w:val="20"/>
          <w:color w:val="auto"/>
        </w:rPr>
      </w:pPr>
    </w:p>
    <w:tbl>
      <w:tblPr>
        <w:tblLayout w:type="fixed"/>
        <w:tblInd w:w="500" w:type="dxa"/>
        <w:tblCellMar>
          <w:top w:w="0" w:type="dxa"/>
          <w:left w:w="0" w:type="dxa"/>
          <w:bottom w:w="0" w:type="dxa"/>
          <w:right w:w="0" w:type="dxa"/>
        </w:tblCellMar>
      </w:tblPr>
      <w:tr>
        <w:trPr>
          <w:trHeight w:val="235"/>
        </w:trPr>
        <w:tc>
          <w:tcPr>
            <w:tcW w:w="54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99"/>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Americas</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8"/>
        </w:trPr>
        <w:tc>
          <w:tcPr>
            <w:tcW w:w="5480" w:type="dxa"/>
            <w:vAlign w:val="bottom"/>
            <w:vMerge w:val="continue"/>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9,401</w:t>
            </w:r>
          </w:p>
        </w:tc>
        <w:tc>
          <w:tcPr>
            <w:tcW w:w="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7,501</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35"/>
        </w:trPr>
        <w:tc>
          <w:tcPr>
            <w:tcW w:w="5480" w:type="dxa"/>
            <w:vAlign w:val="bottom"/>
          </w:tcPr>
          <w:p>
            <w:pPr>
              <w:ind w:left="20"/>
              <w:spacing w:after="0"/>
              <w:rPr>
                <w:sz w:val="20"/>
                <w:szCs w:val="20"/>
                <w:color w:val="auto"/>
              </w:rPr>
            </w:pPr>
            <w:r>
              <w:rPr>
                <w:rFonts w:ascii="Arial" w:cs="Arial" w:eastAsia="Arial" w:hAnsi="Arial"/>
                <w:sz w:val="18"/>
                <w:szCs w:val="18"/>
                <w:color w:val="auto"/>
              </w:rPr>
              <w:t>Asia and Australasia</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lease revenues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5920" w:type="dxa"/>
            <w:vAlign w:val="bottom"/>
            <w:gridSpan w:val="2"/>
          </w:tcPr>
          <w:p>
            <w:pPr>
              <w:spacing w:after="0"/>
              <w:rPr>
                <w:sz w:val="20"/>
                <w:szCs w:val="20"/>
                <w:color w:val="auto"/>
              </w:rPr>
            </w:pPr>
            <w:r>
              <w:rPr>
                <w:rFonts w:ascii="Arial" w:cs="Arial" w:eastAsia="Arial" w:hAnsi="Arial"/>
                <w:sz w:val="18"/>
                <w:szCs w:val="18"/>
                <w:color w:val="auto"/>
              </w:rPr>
              <w:t>The following table presents our lease revenues disaggregated by brand:</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4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99"/>
              </w:rPr>
              <w:t>Year Ended December 31,</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Avis</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8"/>
        </w:trPr>
        <w:tc>
          <w:tcPr>
            <w:tcW w:w="5480" w:type="dxa"/>
            <w:vAlign w:val="bottom"/>
            <w:vMerge w:val="continue"/>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6,420</w:t>
            </w:r>
          </w:p>
        </w:tc>
        <w:tc>
          <w:tcPr>
            <w:tcW w:w="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4,828</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Budget</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35"/>
        </w:trPr>
        <w:tc>
          <w:tcPr>
            <w:tcW w:w="5480" w:type="dxa"/>
            <w:vAlign w:val="bottom"/>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lease revenues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includes Zipcar and other operating brands.</w:t>
      </w:r>
    </w:p>
    <w:p>
      <w:pPr>
        <w:spacing w:after="0" w:line="23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Lessee</w:t>
      </w:r>
    </w:p>
    <w:p>
      <w:pPr>
        <w:spacing w:after="0" w:line="250"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We have operating and finance leases for rental locations, corporate offices, vehicle rental fleet and equipment. Many of our operating leases for rental locations contain concession agreements with various airport authorities that allow us to conduct our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ROU assets and operating lease liabilities, and are recorded as variable lease expense as incurred. Our operating leases for rental locations often also require us to pay or reimburse operating expenses.</w:t>
      </w:r>
    </w:p>
    <w:p>
      <w:pPr>
        <w:spacing w:after="0" w:line="21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lease a portion of our vehicles under operating leases. As of December 31, 2022 and 2021, we have guaranteed up to $65 million and $102 million, respectively, of residual values for these vehicles at the end of their respective lease terms. We believe that, based on current market conditions, the net proceeds from the sale of these vehicles at the end of their lease terms will equal or exceed their net book values and therefore have not recorded a liability related to guaranteed residual values.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The components of lease expense are as follows:</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40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8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 xml:space="preserve">Property leases </w:t>
            </w:r>
            <w:r>
              <w:rPr>
                <w:rFonts w:ascii="Arial" w:cs="Arial" w:eastAsia="Arial" w:hAnsi="Arial"/>
                <w:sz w:val="23"/>
                <w:szCs w:val="23"/>
                <w:b w:val="1"/>
                <w:bCs w:val="1"/>
                <w:color w:val="auto"/>
                <w:vertAlign w:val="superscript"/>
              </w:rPr>
              <w:t>(a)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4"/>
        </w:trPr>
        <w:tc>
          <w:tcPr>
            <w:tcW w:w="598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720"/>
              <w:spacing w:after="0"/>
              <w:rPr>
                <w:sz w:val="20"/>
                <w:szCs w:val="20"/>
                <w:color w:val="auto"/>
              </w:rPr>
            </w:pPr>
            <w:r>
              <w:rPr>
                <w:rFonts w:ascii="Arial" w:cs="Arial" w:eastAsia="Arial" w:hAnsi="Arial"/>
                <w:sz w:val="18"/>
                <w:szCs w:val="18"/>
                <w:color w:val="auto"/>
              </w:rPr>
              <w:t>Operating lease expense</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703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29"/>
        </w:trPr>
        <w:tc>
          <w:tcPr>
            <w:tcW w:w="5980" w:type="dxa"/>
            <w:vAlign w:val="bottom"/>
            <w:gridSpan w:val="2"/>
          </w:tcPr>
          <w:p>
            <w:pPr>
              <w:ind w:left="720"/>
              <w:spacing w:after="0"/>
              <w:rPr>
                <w:sz w:val="20"/>
                <w:szCs w:val="20"/>
                <w:color w:val="auto"/>
              </w:rPr>
            </w:pPr>
            <w:r>
              <w:rPr>
                <w:rFonts w:ascii="Arial" w:cs="Arial" w:eastAsia="Arial" w:hAnsi="Arial"/>
                <w:sz w:val="18"/>
                <w:szCs w:val="18"/>
                <w:color w:val="auto"/>
              </w:rPr>
              <w:t>Variable lease expense</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5"/>
        </w:trPr>
        <w:tc>
          <w:tcPr>
            <w:tcW w:w="5980" w:type="dxa"/>
            <w:vAlign w:val="bottom"/>
            <w:gridSpan w:val="2"/>
          </w:tcPr>
          <w:p>
            <w:pPr>
              <w:ind w:left="720"/>
              <w:spacing w:after="0"/>
              <w:rPr>
                <w:sz w:val="20"/>
                <w:szCs w:val="20"/>
                <w:color w:val="auto"/>
              </w:rPr>
            </w:pPr>
            <w:r>
              <w:rPr>
                <w:rFonts w:ascii="Arial" w:cs="Arial" w:eastAsia="Arial" w:hAnsi="Arial"/>
                <w:sz w:val="18"/>
                <w:szCs w:val="18"/>
                <w:color w:val="auto"/>
              </w:rPr>
              <w:t>Sublease income</w:t>
            </w: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980" w:type="dxa"/>
            <w:vAlign w:val="bottom"/>
            <w:gridSpan w:val="2"/>
          </w:tcPr>
          <w:p>
            <w:pPr>
              <w:ind w:left="720"/>
              <w:spacing w:after="0"/>
              <w:rPr>
                <w:sz w:val="20"/>
                <w:szCs w:val="20"/>
                <w:color w:val="auto"/>
              </w:rPr>
            </w:pPr>
            <w:r>
              <w:rPr>
                <w:rFonts w:ascii="Arial" w:cs="Arial" w:eastAsia="Arial" w:hAnsi="Arial"/>
                <w:sz w:val="18"/>
                <w:szCs w:val="18"/>
                <w:b w:val="1"/>
                <w:bCs w:val="1"/>
                <w:color w:val="auto"/>
              </w:rPr>
              <w:t>Total property lease expense</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1,218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Vehicle leases</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9"/>
        </w:trPr>
        <w:tc>
          <w:tcPr>
            <w:tcW w:w="59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980" w:type="dxa"/>
            <w:vAlign w:val="bottom"/>
            <w:gridSpan w:val="2"/>
          </w:tcPr>
          <w:p>
            <w:pPr>
              <w:ind w:left="720"/>
              <w:spacing w:after="0"/>
              <w:rPr>
                <w:sz w:val="20"/>
                <w:szCs w:val="20"/>
                <w:color w:val="auto"/>
              </w:rPr>
            </w:pPr>
            <w:r>
              <w:rPr>
                <w:rFonts w:ascii="Arial" w:cs="Arial" w:eastAsia="Arial" w:hAnsi="Arial"/>
                <w:sz w:val="18"/>
                <w:szCs w:val="18"/>
                <w:color w:val="auto"/>
              </w:rPr>
              <w:t>Finance lease expense:</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940"/>
              <w:spacing w:after="0" w:line="230" w:lineRule="exact"/>
              <w:rPr>
                <w:sz w:val="20"/>
                <w:szCs w:val="20"/>
                <w:color w:val="auto"/>
              </w:rPr>
            </w:pPr>
            <w:r>
              <w:rPr>
                <w:rFonts w:ascii="Arial" w:cs="Arial" w:eastAsia="Arial" w:hAnsi="Arial"/>
                <w:sz w:val="18"/>
                <w:szCs w:val="18"/>
                <w:color w:val="auto"/>
              </w:rPr>
              <w:t xml:space="preserve">Amortization of ROU assets </w:t>
            </w:r>
            <w:r>
              <w:rPr>
                <w:rFonts w:ascii="Arial" w:cs="Arial" w:eastAsia="Arial" w:hAnsi="Arial"/>
                <w:sz w:val="23"/>
                <w:szCs w:val="23"/>
                <w:color w:val="auto"/>
                <w:vertAlign w:val="superscript"/>
              </w:rPr>
              <w:t>(b)</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5980" w:type="dxa"/>
            <w:vAlign w:val="bottom"/>
            <w:gridSpan w:val="2"/>
          </w:tcPr>
          <w:p>
            <w:pPr>
              <w:ind w:left="940"/>
              <w:spacing w:after="0" w:line="230" w:lineRule="exact"/>
              <w:rPr>
                <w:sz w:val="20"/>
                <w:szCs w:val="20"/>
                <w:color w:val="auto"/>
              </w:rPr>
            </w:pPr>
            <w:r>
              <w:rPr>
                <w:rFonts w:ascii="Arial" w:cs="Arial" w:eastAsia="Arial" w:hAnsi="Arial"/>
                <w:sz w:val="18"/>
                <w:szCs w:val="18"/>
                <w:color w:val="auto"/>
              </w:rPr>
              <w:t xml:space="preserve">Interest on lease liabilities </w:t>
            </w:r>
            <w:r>
              <w:rPr>
                <w:rFonts w:ascii="Arial" w:cs="Arial" w:eastAsia="Arial" w:hAnsi="Arial"/>
                <w:sz w:val="23"/>
                <w:szCs w:val="23"/>
                <w:color w:val="auto"/>
                <w:vertAlign w:val="superscript"/>
              </w:rPr>
              <w:t>(c)</w:t>
            </w:r>
          </w:p>
        </w:tc>
        <w:tc>
          <w:tcPr>
            <w:tcW w:w="96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980" w:type="dxa"/>
            <w:vAlign w:val="bottom"/>
            <w:gridSpan w:val="2"/>
          </w:tcPr>
          <w:p>
            <w:pPr>
              <w:ind w:left="720"/>
              <w:spacing w:after="0" w:line="237" w:lineRule="exact"/>
              <w:rPr>
                <w:sz w:val="20"/>
                <w:szCs w:val="20"/>
                <w:color w:val="auto"/>
              </w:rPr>
            </w:pPr>
            <w:r>
              <w:rPr>
                <w:rFonts w:ascii="Arial" w:cs="Arial" w:eastAsia="Arial" w:hAnsi="Arial"/>
                <w:sz w:val="18"/>
                <w:szCs w:val="18"/>
                <w:color w:val="auto"/>
              </w:rPr>
              <w:t xml:space="preserve">Operating lease expense </w:t>
            </w:r>
            <w:r>
              <w:rPr>
                <w:rFonts w:ascii="Arial" w:cs="Arial" w:eastAsia="Arial" w:hAnsi="Arial"/>
                <w:sz w:val="23"/>
                <w:szCs w:val="23"/>
                <w:color w:val="auto"/>
                <w:vertAlign w:val="superscript"/>
              </w:rPr>
              <w:t>(b)</w:t>
            </w: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5980" w:type="dxa"/>
            <w:vAlign w:val="bottom"/>
            <w:gridSpan w:val="2"/>
          </w:tcPr>
          <w:p>
            <w:pPr>
              <w:ind w:left="720"/>
              <w:spacing w:after="0"/>
              <w:rPr>
                <w:sz w:val="20"/>
                <w:szCs w:val="20"/>
                <w:color w:val="auto"/>
              </w:rPr>
            </w:pPr>
            <w:r>
              <w:rPr>
                <w:rFonts w:ascii="Arial" w:cs="Arial" w:eastAsia="Arial" w:hAnsi="Arial"/>
                <w:sz w:val="18"/>
                <w:szCs w:val="18"/>
                <w:b w:val="1"/>
                <w:bCs w:val="1"/>
                <w:color w:val="auto"/>
              </w:rPr>
              <w:t>Total vehicle lease expense</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24" w:lineRule="exact"/>
        <w:rPr>
          <w:sz w:val="20"/>
          <w:szCs w:val="20"/>
          <w:color w:val="auto"/>
        </w:rPr>
      </w:pPr>
    </w:p>
    <w:p>
      <w:pPr>
        <w:ind w:left="820" w:hanging="326"/>
        <w:spacing w:after="0" w:line="218" w:lineRule="auto"/>
        <w:tabs>
          <w:tab w:leader="none" w:pos="787"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Primarily included in operating expenses and includes $(9) million, $(2) million and $60 million of minimum annual guaranteed rent in excess of concession fees as defined in our rental concession agreement for the years ended December 31, 2022, 2021 and 2020, respectively.</w:t>
      </w:r>
    </w:p>
    <w:p>
      <w:pPr>
        <w:spacing w:after="0" w:line="1" w:lineRule="exact"/>
        <w:rPr>
          <w:rFonts w:ascii="Arial" w:cs="Arial" w:eastAsia="Arial" w:hAnsi="Arial"/>
          <w:sz w:val="19"/>
          <w:szCs w:val="19"/>
          <w:color w:val="auto"/>
          <w:vertAlign w:val="superscript"/>
        </w:rPr>
      </w:pPr>
    </w:p>
    <w:p>
      <w:pPr>
        <w:ind w:left="760" w:hanging="266"/>
        <w:spacing w:after="0"/>
        <w:tabs>
          <w:tab w:leader="none" w:pos="760" w:val="left"/>
        </w:tabs>
        <w:numPr>
          <w:ilvl w:val="0"/>
          <w:numId w:val="33"/>
        </w:numPr>
        <w:rPr>
          <w:rFonts w:ascii="Arial" w:cs="Arial" w:eastAsia="Arial" w:hAnsi="Arial"/>
          <w:sz w:val="9"/>
          <w:szCs w:val="9"/>
          <w:color w:val="auto"/>
        </w:rPr>
      </w:pPr>
      <w:r>
        <w:rPr>
          <w:rFonts w:ascii="Arial" w:cs="Arial" w:eastAsia="Arial" w:hAnsi="Arial"/>
          <w:sz w:val="14"/>
          <w:szCs w:val="14"/>
          <w:color w:val="auto"/>
        </w:rPr>
        <w:t>Included in vehicle depreciation and lease charges, net.</w:t>
      </w:r>
    </w:p>
    <w:p>
      <w:pPr>
        <w:spacing w:after="0" w:line="14" w:lineRule="exact"/>
        <w:rPr>
          <w:rFonts w:ascii="Arial" w:cs="Arial" w:eastAsia="Arial" w:hAnsi="Arial"/>
          <w:sz w:val="9"/>
          <w:szCs w:val="9"/>
          <w:color w:val="auto"/>
        </w:rPr>
      </w:pPr>
    </w:p>
    <w:p>
      <w:pPr>
        <w:ind w:left="760" w:hanging="266"/>
        <w:spacing w:after="0" w:line="193" w:lineRule="auto"/>
        <w:tabs>
          <w:tab w:leader="none" w:pos="760"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Included in vehicle interest,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73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7300" w:type="dxa"/>
            <w:vAlign w:val="bottom"/>
            <w:gridSpan w:val="2"/>
          </w:tcPr>
          <w:p>
            <w:pPr>
              <w:ind w:left="500"/>
              <w:spacing w:after="0"/>
              <w:rPr>
                <w:sz w:val="20"/>
                <w:szCs w:val="20"/>
                <w:color w:val="auto"/>
              </w:rPr>
            </w:pPr>
            <w:r>
              <w:rPr>
                <w:rFonts w:ascii="Arial" w:cs="Arial" w:eastAsia="Arial" w:hAnsi="Arial"/>
                <w:sz w:val="18"/>
                <w:szCs w:val="18"/>
                <w:color w:val="auto"/>
              </w:rPr>
              <w:t>Supplemental balance sheet information related to leases is as follows: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40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30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Property leases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4"/>
        </w:trPr>
        <w:tc>
          <w:tcPr>
            <w:tcW w:w="73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300" w:type="dxa"/>
            <w:vAlign w:val="bottom"/>
            <w:gridSpan w:val="2"/>
          </w:tcPr>
          <w:p>
            <w:pPr>
              <w:ind w:left="720"/>
              <w:spacing w:after="0"/>
              <w:rPr>
                <w:sz w:val="20"/>
                <w:szCs w:val="20"/>
                <w:color w:val="auto"/>
              </w:rPr>
            </w:pPr>
            <w:r>
              <w:rPr>
                <w:rFonts w:ascii="Arial" w:cs="Arial" w:eastAsia="Arial" w:hAnsi="Arial"/>
                <w:sz w:val="18"/>
                <w:szCs w:val="18"/>
                <w:color w:val="auto"/>
              </w:rPr>
              <w:t>Operating lease ROU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2,405</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490"/>
        </w:trPr>
        <w:tc>
          <w:tcPr>
            <w:tcW w:w="7300" w:type="dxa"/>
            <w:vAlign w:val="bottom"/>
            <w:gridSpan w:val="2"/>
          </w:tcPr>
          <w:p>
            <w:pPr>
              <w:ind w:left="720"/>
              <w:spacing w:after="0"/>
              <w:rPr>
                <w:sz w:val="20"/>
                <w:szCs w:val="20"/>
                <w:color w:val="auto"/>
              </w:rPr>
            </w:pPr>
            <w:r>
              <w:rPr>
                <w:rFonts w:ascii="Arial" w:cs="Arial" w:eastAsia="Arial" w:hAnsi="Arial"/>
                <w:sz w:val="18"/>
                <w:szCs w:val="18"/>
                <w:color w:val="auto"/>
              </w:rPr>
              <w:t xml:space="preserve">Short-term operating lease liabilities </w:t>
            </w:r>
            <w:r>
              <w:rPr>
                <w:rFonts w:ascii="Arial" w:cs="Arial" w:eastAsia="Arial" w:hAnsi="Arial"/>
                <w:sz w:val="23"/>
                <w:szCs w:val="23"/>
                <w:color w:val="auto"/>
                <w:vertAlign w:val="superscript"/>
              </w:rPr>
              <w:t>(a)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5"/>
        </w:trPr>
        <w:tc>
          <w:tcPr>
            <w:tcW w:w="7300" w:type="dxa"/>
            <w:vAlign w:val="bottom"/>
            <w:gridSpan w:val="2"/>
          </w:tcPr>
          <w:p>
            <w:pPr>
              <w:ind w:left="720"/>
              <w:spacing w:after="0"/>
              <w:rPr>
                <w:sz w:val="20"/>
                <w:szCs w:val="20"/>
                <w:color w:val="auto"/>
              </w:rPr>
            </w:pPr>
            <w:r>
              <w:rPr>
                <w:rFonts w:ascii="Arial" w:cs="Arial" w:eastAsia="Arial" w:hAnsi="Arial"/>
                <w:sz w:val="18"/>
                <w:szCs w:val="18"/>
                <w:color w:val="auto"/>
              </w:rPr>
              <w:t>Long-term operating lease liabilities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1,884</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23"/>
        </w:trPr>
        <w:tc>
          <w:tcPr>
            <w:tcW w:w="7300" w:type="dxa"/>
            <w:vAlign w:val="bottom"/>
            <w:gridSpan w:val="2"/>
          </w:tcPr>
          <w:p>
            <w:pPr>
              <w:ind w:left="720"/>
              <w:spacing w:after="0"/>
              <w:rPr>
                <w:sz w:val="20"/>
                <w:szCs w:val="20"/>
                <w:color w:val="auto"/>
              </w:rPr>
            </w:pPr>
            <w:r>
              <w:rPr>
                <w:rFonts w:ascii="Arial" w:cs="Arial" w:eastAsia="Arial" w:hAnsi="Arial"/>
                <w:sz w:val="18"/>
                <w:szCs w:val="18"/>
                <w:color w:val="auto"/>
              </w:rPr>
              <w:t>Operating lease liabilities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2,439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474"/>
        </w:trPr>
        <w:tc>
          <w:tcPr>
            <w:tcW w:w="7300" w:type="dxa"/>
            <w:vAlign w:val="bottom"/>
            <w:gridSpan w:val="2"/>
          </w:tcPr>
          <w:p>
            <w:pPr>
              <w:ind w:left="720"/>
              <w:spacing w:after="0"/>
              <w:rPr>
                <w:sz w:val="20"/>
                <w:szCs w:val="20"/>
                <w:color w:val="auto"/>
              </w:rPr>
            </w:pPr>
            <w:r>
              <w:rPr>
                <w:rFonts w:ascii="Arial" w:cs="Arial" w:eastAsia="Arial" w:hAnsi="Arial"/>
                <w:sz w:val="18"/>
                <w:szCs w:val="18"/>
                <w:color w:val="auto"/>
              </w:rPr>
              <w:t>Weighted average remaining lease term</w:t>
            </w:r>
          </w:p>
        </w:tc>
        <w:tc>
          <w:tcPr>
            <w:tcW w:w="360" w:type="dxa"/>
            <w:vAlign w:val="bottom"/>
          </w:tcPr>
          <w:p>
            <w:pPr>
              <w:spacing w:after="0"/>
              <w:rPr>
                <w:sz w:val="24"/>
                <w:szCs w:val="2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8.2 years</w:t>
            </w: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 years</w:t>
            </w:r>
          </w:p>
        </w:tc>
        <w:tc>
          <w:tcPr>
            <w:tcW w:w="0" w:type="dxa"/>
            <w:vAlign w:val="bottom"/>
          </w:tcPr>
          <w:p>
            <w:pPr>
              <w:spacing w:after="0"/>
              <w:rPr>
                <w:sz w:val="1"/>
                <w:szCs w:val="1"/>
                <w:color w:val="auto"/>
              </w:rPr>
            </w:pPr>
          </w:p>
        </w:tc>
      </w:tr>
      <w:tr>
        <w:trPr>
          <w:trHeight w:val="239"/>
        </w:trPr>
        <w:tc>
          <w:tcPr>
            <w:tcW w:w="7300" w:type="dxa"/>
            <w:vAlign w:val="bottom"/>
            <w:gridSpan w:val="2"/>
          </w:tcPr>
          <w:p>
            <w:pPr>
              <w:ind w:left="720"/>
              <w:spacing w:after="0"/>
              <w:rPr>
                <w:sz w:val="20"/>
                <w:szCs w:val="20"/>
                <w:color w:val="auto"/>
              </w:rPr>
            </w:pPr>
            <w:r>
              <w:rPr>
                <w:rFonts w:ascii="Arial" w:cs="Arial" w:eastAsia="Arial" w:hAnsi="Arial"/>
                <w:sz w:val="18"/>
                <w:szCs w:val="18"/>
                <w:color w:val="auto"/>
              </w:rPr>
              <w:t>Weighted average discount rate</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4.30 %</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3.84 %</w:t>
            </w:r>
          </w:p>
        </w:tc>
        <w:tc>
          <w:tcPr>
            <w:tcW w:w="0" w:type="dxa"/>
            <w:vAlign w:val="bottom"/>
          </w:tcPr>
          <w:p>
            <w:pPr>
              <w:spacing w:after="0"/>
              <w:rPr>
                <w:sz w:val="1"/>
                <w:szCs w:val="1"/>
                <w:color w:val="auto"/>
              </w:rPr>
            </w:pPr>
          </w:p>
        </w:tc>
      </w:tr>
      <w:tr>
        <w:trPr>
          <w:trHeight w:val="492"/>
        </w:trPr>
        <w:tc>
          <w:tcPr>
            <w:tcW w:w="7300" w:type="dxa"/>
            <w:vAlign w:val="bottom"/>
            <w:gridSpan w:val="2"/>
          </w:tcPr>
          <w:p>
            <w:pPr>
              <w:ind w:left="520"/>
              <w:spacing w:after="0"/>
              <w:rPr>
                <w:sz w:val="20"/>
                <w:szCs w:val="20"/>
                <w:color w:val="auto"/>
              </w:rPr>
            </w:pPr>
            <w:r>
              <w:rPr>
                <w:rFonts w:ascii="Arial" w:cs="Arial" w:eastAsia="Arial" w:hAnsi="Arial"/>
                <w:sz w:val="18"/>
                <w:szCs w:val="18"/>
                <w:b w:val="1"/>
                <w:bCs w:val="1"/>
                <w:color w:val="auto"/>
              </w:rPr>
              <w:t>Vehicle leases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300" w:type="dxa"/>
            <w:vAlign w:val="bottom"/>
            <w:gridSpan w:val="2"/>
          </w:tcPr>
          <w:p>
            <w:pPr>
              <w:ind w:left="760"/>
              <w:spacing w:after="0"/>
              <w:rPr>
                <w:sz w:val="20"/>
                <w:szCs w:val="20"/>
                <w:color w:val="auto"/>
              </w:rPr>
            </w:pPr>
            <w:r>
              <w:rPr>
                <w:rFonts w:ascii="Arial" w:cs="Arial" w:eastAsia="Arial" w:hAnsi="Arial"/>
                <w:sz w:val="18"/>
                <w:szCs w:val="18"/>
                <w:b w:val="1"/>
                <w:bCs w:val="1"/>
                <w:i w:val="1"/>
                <w:iCs w:val="1"/>
                <w:color w:val="auto"/>
              </w:rPr>
              <w:t>Finance</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ind w:left="760"/>
              <w:spacing w:after="0"/>
              <w:rPr>
                <w:sz w:val="20"/>
                <w:szCs w:val="20"/>
                <w:color w:val="auto"/>
              </w:rPr>
            </w:pPr>
            <w:r>
              <w:rPr>
                <w:rFonts w:ascii="Arial" w:cs="Arial" w:eastAsia="Arial" w:hAnsi="Arial"/>
                <w:sz w:val="18"/>
                <w:szCs w:val="18"/>
                <w:color w:val="auto"/>
              </w:rPr>
              <w:t>Finance lease ROU assets, gross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5"/>
        </w:trPr>
        <w:tc>
          <w:tcPr>
            <w:tcW w:w="7300" w:type="dxa"/>
            <w:vAlign w:val="bottom"/>
            <w:gridSpan w:val="2"/>
          </w:tcPr>
          <w:p>
            <w:pPr>
              <w:ind w:left="760"/>
              <w:spacing w:after="0"/>
              <w:rPr>
                <w:sz w:val="20"/>
                <w:szCs w:val="20"/>
                <w:color w:val="auto"/>
              </w:rPr>
            </w:pPr>
            <w:r>
              <w:rPr>
                <w:rFonts w:ascii="Arial" w:cs="Arial" w:eastAsia="Arial" w:hAnsi="Arial"/>
                <w:sz w:val="18"/>
                <w:szCs w:val="18"/>
                <w:color w:val="auto"/>
              </w:rPr>
              <w:t>Accumulated amortization</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7300" w:type="dxa"/>
            <w:vAlign w:val="bottom"/>
            <w:gridSpan w:val="2"/>
          </w:tcPr>
          <w:p>
            <w:pPr>
              <w:ind w:left="760"/>
              <w:spacing w:after="0" w:line="223" w:lineRule="exact"/>
              <w:rPr>
                <w:sz w:val="20"/>
                <w:szCs w:val="20"/>
                <w:color w:val="auto"/>
              </w:rPr>
            </w:pPr>
            <w:r>
              <w:rPr>
                <w:rFonts w:ascii="Arial" w:cs="Arial" w:eastAsia="Arial" w:hAnsi="Arial"/>
                <w:sz w:val="18"/>
                <w:szCs w:val="18"/>
                <w:color w:val="auto"/>
              </w:rPr>
              <w:t xml:space="preserve">Finance lease ROU assets, net </w:t>
            </w:r>
            <w:r>
              <w:rPr>
                <w:rFonts w:ascii="Arial" w:cs="Arial" w:eastAsia="Arial" w:hAnsi="Arial"/>
                <w:sz w:val="23"/>
                <w:szCs w:val="23"/>
                <w:color w:val="auto"/>
                <w:vertAlign w:val="superscript"/>
              </w:rPr>
              <w:t>(b)</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474"/>
        </w:trPr>
        <w:tc>
          <w:tcPr>
            <w:tcW w:w="7300" w:type="dxa"/>
            <w:vAlign w:val="bottom"/>
            <w:gridSpan w:val="2"/>
          </w:tcPr>
          <w:p>
            <w:pPr>
              <w:ind w:left="760"/>
              <w:spacing w:after="0"/>
              <w:rPr>
                <w:sz w:val="20"/>
                <w:szCs w:val="20"/>
                <w:color w:val="auto"/>
              </w:rPr>
            </w:pPr>
            <w:r>
              <w:rPr>
                <w:rFonts w:ascii="Arial" w:cs="Arial" w:eastAsia="Arial" w:hAnsi="Arial"/>
                <w:sz w:val="18"/>
                <w:szCs w:val="18"/>
                <w:color w:val="auto"/>
              </w:rPr>
              <w:t>Short-term vehicle finance lease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5"/>
        </w:trPr>
        <w:tc>
          <w:tcPr>
            <w:tcW w:w="7300" w:type="dxa"/>
            <w:vAlign w:val="bottom"/>
            <w:gridSpan w:val="2"/>
          </w:tcPr>
          <w:p>
            <w:pPr>
              <w:ind w:left="760"/>
              <w:spacing w:after="0"/>
              <w:rPr>
                <w:sz w:val="20"/>
                <w:szCs w:val="20"/>
                <w:color w:val="auto"/>
              </w:rPr>
            </w:pPr>
            <w:r>
              <w:rPr>
                <w:rFonts w:ascii="Arial" w:cs="Arial" w:eastAsia="Arial" w:hAnsi="Arial"/>
                <w:sz w:val="18"/>
                <w:szCs w:val="18"/>
                <w:color w:val="auto"/>
              </w:rPr>
              <w:t>Long-term vehicle finance lease liabilities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7300" w:type="dxa"/>
            <w:vAlign w:val="bottom"/>
            <w:gridSpan w:val="2"/>
          </w:tcPr>
          <w:p>
            <w:pPr>
              <w:ind w:left="760"/>
              <w:spacing w:after="0" w:line="223" w:lineRule="exact"/>
              <w:rPr>
                <w:sz w:val="20"/>
                <w:szCs w:val="20"/>
                <w:color w:val="auto"/>
              </w:rPr>
            </w:pPr>
            <w:r>
              <w:rPr>
                <w:rFonts w:ascii="Arial" w:cs="Arial" w:eastAsia="Arial" w:hAnsi="Arial"/>
                <w:sz w:val="18"/>
                <w:szCs w:val="18"/>
                <w:color w:val="auto"/>
              </w:rPr>
              <w:t xml:space="preserve">Vehicle finance lease liabilities </w:t>
            </w:r>
            <w:r>
              <w:rPr>
                <w:rFonts w:ascii="Arial" w:cs="Arial" w:eastAsia="Arial" w:hAnsi="Arial"/>
                <w:sz w:val="23"/>
                <w:szCs w:val="23"/>
                <w:color w:val="auto"/>
                <w:vertAlign w:val="superscript"/>
              </w:rPr>
              <w:t>(c)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474"/>
        </w:trPr>
        <w:tc>
          <w:tcPr>
            <w:tcW w:w="7300" w:type="dxa"/>
            <w:vAlign w:val="bottom"/>
            <w:gridSpan w:val="2"/>
          </w:tcPr>
          <w:p>
            <w:pPr>
              <w:ind w:left="760"/>
              <w:spacing w:after="0"/>
              <w:rPr>
                <w:sz w:val="20"/>
                <w:szCs w:val="20"/>
                <w:color w:val="auto"/>
              </w:rPr>
            </w:pPr>
            <w:r>
              <w:rPr>
                <w:rFonts w:ascii="Arial" w:cs="Arial" w:eastAsia="Arial" w:hAnsi="Arial"/>
                <w:sz w:val="18"/>
                <w:szCs w:val="18"/>
                <w:color w:val="auto"/>
              </w:rPr>
              <w:t>Weighted average remaining lease term</w:t>
            </w:r>
          </w:p>
        </w:tc>
        <w:tc>
          <w:tcPr>
            <w:tcW w:w="360" w:type="dxa"/>
            <w:vAlign w:val="bottom"/>
          </w:tcPr>
          <w:p>
            <w:pPr>
              <w:spacing w:after="0"/>
              <w:rPr>
                <w:sz w:val="24"/>
                <w:szCs w:val="2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 years</w:t>
            </w: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 years</w:t>
            </w:r>
          </w:p>
        </w:tc>
        <w:tc>
          <w:tcPr>
            <w:tcW w:w="0" w:type="dxa"/>
            <w:vAlign w:val="bottom"/>
          </w:tcPr>
          <w:p>
            <w:pPr>
              <w:spacing w:after="0"/>
              <w:rPr>
                <w:sz w:val="1"/>
                <w:szCs w:val="1"/>
                <w:color w:val="auto"/>
              </w:rPr>
            </w:pPr>
          </w:p>
        </w:tc>
      </w:tr>
      <w:tr>
        <w:trPr>
          <w:trHeight w:val="239"/>
        </w:trPr>
        <w:tc>
          <w:tcPr>
            <w:tcW w:w="7300" w:type="dxa"/>
            <w:vAlign w:val="bottom"/>
            <w:gridSpan w:val="2"/>
          </w:tcPr>
          <w:p>
            <w:pPr>
              <w:ind w:left="760"/>
              <w:spacing w:after="0"/>
              <w:rPr>
                <w:sz w:val="20"/>
                <w:szCs w:val="20"/>
                <w:color w:val="auto"/>
              </w:rPr>
            </w:pPr>
            <w:r>
              <w:rPr>
                <w:rFonts w:ascii="Arial" w:cs="Arial" w:eastAsia="Arial" w:hAnsi="Arial"/>
                <w:sz w:val="18"/>
                <w:szCs w:val="18"/>
                <w:color w:val="auto"/>
              </w:rPr>
              <w:t>Weighted average discount rate</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1.82 %</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488"/>
        </w:trPr>
        <w:tc>
          <w:tcPr>
            <w:tcW w:w="7300" w:type="dxa"/>
            <w:vAlign w:val="bottom"/>
            <w:gridSpan w:val="2"/>
          </w:tcPr>
          <w:p>
            <w:pPr>
              <w:ind w:left="720"/>
              <w:spacing w:after="0"/>
              <w:rPr>
                <w:sz w:val="20"/>
                <w:szCs w:val="20"/>
                <w:color w:val="auto"/>
              </w:rPr>
            </w:pPr>
            <w:r>
              <w:rPr>
                <w:rFonts w:ascii="Arial" w:cs="Arial" w:eastAsia="Arial" w:hAnsi="Arial"/>
                <w:sz w:val="18"/>
                <w:szCs w:val="18"/>
                <w:b w:val="1"/>
                <w:bCs w:val="1"/>
                <w:i w:val="1"/>
                <w:iCs w:val="1"/>
                <w:color w:val="auto"/>
              </w:rPr>
              <w:t>Operating</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300" w:type="dxa"/>
            <w:vAlign w:val="bottom"/>
            <w:gridSpan w:val="2"/>
          </w:tcPr>
          <w:p>
            <w:pPr>
              <w:ind w:left="720"/>
              <w:spacing w:after="0"/>
              <w:rPr>
                <w:sz w:val="20"/>
                <w:szCs w:val="20"/>
                <w:color w:val="auto"/>
              </w:rPr>
            </w:pPr>
            <w:r>
              <w:rPr>
                <w:rFonts w:ascii="Arial" w:cs="Arial" w:eastAsia="Arial" w:hAnsi="Arial"/>
                <w:sz w:val="18"/>
                <w:szCs w:val="18"/>
                <w:color w:val="auto"/>
              </w:rPr>
              <w:t xml:space="preserve">Vehicle operating lease ROU assets </w:t>
            </w:r>
            <w:r>
              <w:rPr>
                <w:rFonts w:ascii="Arial" w:cs="Arial" w:eastAsia="Arial" w:hAnsi="Arial"/>
                <w:sz w:val="23"/>
                <w:szCs w:val="23"/>
                <w:color w:val="auto"/>
                <w:vertAlign w:val="superscript"/>
              </w:rPr>
              <w:t>(d)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21"/>
        </w:trPr>
        <w:tc>
          <w:tcPr>
            <w:tcW w:w="7300" w:type="dxa"/>
            <w:vAlign w:val="bottom"/>
            <w:gridSpan w:val="2"/>
          </w:tcPr>
          <w:p>
            <w:pPr>
              <w:ind w:left="720"/>
              <w:spacing w:after="0"/>
              <w:rPr>
                <w:sz w:val="20"/>
                <w:szCs w:val="20"/>
                <w:color w:val="auto"/>
              </w:rPr>
            </w:pPr>
            <w:r>
              <w:rPr>
                <w:rFonts w:ascii="Arial" w:cs="Arial" w:eastAsia="Arial" w:hAnsi="Arial"/>
                <w:sz w:val="18"/>
                <w:szCs w:val="18"/>
                <w:color w:val="auto"/>
              </w:rPr>
              <w:t>Short-term vehicle operating lease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5"/>
        </w:trPr>
        <w:tc>
          <w:tcPr>
            <w:tcW w:w="7300" w:type="dxa"/>
            <w:vAlign w:val="bottom"/>
            <w:gridSpan w:val="2"/>
          </w:tcPr>
          <w:p>
            <w:pPr>
              <w:ind w:left="720"/>
              <w:spacing w:after="0"/>
              <w:rPr>
                <w:sz w:val="20"/>
                <w:szCs w:val="20"/>
                <w:color w:val="auto"/>
              </w:rPr>
            </w:pPr>
            <w:r>
              <w:rPr>
                <w:rFonts w:ascii="Arial" w:cs="Arial" w:eastAsia="Arial" w:hAnsi="Arial"/>
                <w:sz w:val="18"/>
                <w:szCs w:val="18"/>
                <w:color w:val="auto"/>
              </w:rPr>
              <w:t>Long-term vehicle operating lease liabilities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7300" w:type="dxa"/>
            <w:vAlign w:val="bottom"/>
            <w:gridSpan w:val="2"/>
          </w:tcPr>
          <w:p>
            <w:pPr>
              <w:ind w:left="720"/>
              <w:spacing w:after="0" w:line="223" w:lineRule="exact"/>
              <w:rPr>
                <w:sz w:val="20"/>
                <w:szCs w:val="20"/>
                <w:color w:val="auto"/>
              </w:rPr>
            </w:pPr>
            <w:r>
              <w:rPr>
                <w:rFonts w:ascii="Arial" w:cs="Arial" w:eastAsia="Arial" w:hAnsi="Arial"/>
                <w:sz w:val="18"/>
                <w:szCs w:val="18"/>
                <w:color w:val="auto"/>
              </w:rPr>
              <w:t xml:space="preserve">Vehicle operating lease liabilities </w:t>
            </w:r>
            <w:r>
              <w:rPr>
                <w:rFonts w:ascii="Arial" w:cs="Arial" w:eastAsia="Arial" w:hAnsi="Arial"/>
                <w:sz w:val="23"/>
                <w:szCs w:val="23"/>
                <w:color w:val="auto"/>
                <w:vertAlign w:val="superscript"/>
              </w:rPr>
              <w:t>(e)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74"/>
        </w:trPr>
        <w:tc>
          <w:tcPr>
            <w:tcW w:w="7300" w:type="dxa"/>
            <w:vAlign w:val="bottom"/>
            <w:gridSpan w:val="2"/>
          </w:tcPr>
          <w:p>
            <w:pPr>
              <w:ind w:left="720"/>
              <w:spacing w:after="0"/>
              <w:rPr>
                <w:sz w:val="20"/>
                <w:szCs w:val="20"/>
                <w:color w:val="auto"/>
              </w:rPr>
            </w:pPr>
            <w:r>
              <w:rPr>
                <w:rFonts w:ascii="Arial" w:cs="Arial" w:eastAsia="Arial" w:hAnsi="Arial"/>
                <w:sz w:val="18"/>
                <w:szCs w:val="18"/>
                <w:color w:val="auto"/>
              </w:rPr>
              <w:t>Weighted average remaining lease term</w:t>
            </w:r>
          </w:p>
        </w:tc>
        <w:tc>
          <w:tcPr>
            <w:tcW w:w="360" w:type="dxa"/>
            <w:vAlign w:val="bottom"/>
          </w:tcPr>
          <w:p>
            <w:pPr>
              <w:spacing w:after="0"/>
              <w:rPr>
                <w:sz w:val="24"/>
                <w:szCs w:val="2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 years</w:t>
            </w: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 years</w:t>
            </w:r>
          </w:p>
        </w:tc>
        <w:tc>
          <w:tcPr>
            <w:tcW w:w="0" w:type="dxa"/>
            <w:vAlign w:val="bottom"/>
          </w:tcPr>
          <w:p>
            <w:pPr>
              <w:spacing w:after="0"/>
              <w:rPr>
                <w:sz w:val="1"/>
                <w:szCs w:val="1"/>
                <w:color w:val="auto"/>
              </w:rPr>
            </w:pPr>
          </w:p>
        </w:tc>
      </w:tr>
      <w:tr>
        <w:trPr>
          <w:trHeight w:val="239"/>
        </w:trPr>
        <w:tc>
          <w:tcPr>
            <w:tcW w:w="7300" w:type="dxa"/>
            <w:vAlign w:val="bottom"/>
            <w:gridSpan w:val="2"/>
          </w:tcPr>
          <w:p>
            <w:pPr>
              <w:ind w:left="720"/>
              <w:spacing w:after="0"/>
              <w:rPr>
                <w:sz w:val="20"/>
                <w:szCs w:val="20"/>
                <w:color w:val="auto"/>
              </w:rPr>
            </w:pPr>
            <w:r>
              <w:rPr>
                <w:rFonts w:ascii="Arial" w:cs="Arial" w:eastAsia="Arial" w:hAnsi="Arial"/>
                <w:sz w:val="18"/>
                <w:szCs w:val="18"/>
                <w:color w:val="auto"/>
              </w:rPr>
              <w:t>Weighted average discount rate</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4.86 %</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w:t>
      </w:r>
    </w:p>
    <w:p>
      <w:pPr>
        <w:ind w:left="760" w:hanging="266"/>
        <w:spacing w:after="0" w:line="213" w:lineRule="auto"/>
        <w:tabs>
          <w:tab w:leader="none" w:pos="760"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Included in accounts payable and other current liabilities.</w:t>
      </w:r>
    </w:p>
    <w:p>
      <w:pPr>
        <w:ind w:left="760" w:hanging="266"/>
        <w:spacing w:after="0"/>
        <w:tabs>
          <w:tab w:leader="none" w:pos="760" w:val="left"/>
        </w:tabs>
        <w:numPr>
          <w:ilvl w:val="0"/>
          <w:numId w:val="34"/>
        </w:numPr>
        <w:rPr>
          <w:rFonts w:ascii="Arial" w:cs="Arial" w:eastAsia="Arial" w:hAnsi="Arial"/>
          <w:sz w:val="9"/>
          <w:szCs w:val="9"/>
          <w:color w:val="auto"/>
        </w:rPr>
      </w:pPr>
      <w:r>
        <w:rPr>
          <w:rFonts w:ascii="Arial" w:cs="Arial" w:eastAsia="Arial" w:hAnsi="Arial"/>
          <w:sz w:val="14"/>
          <w:szCs w:val="14"/>
          <w:color w:val="auto"/>
        </w:rPr>
        <w:t>Included in vehicles, net within Assets under vehicle programs.</w:t>
      </w:r>
    </w:p>
    <w:p>
      <w:pPr>
        <w:spacing w:after="0" w:line="14" w:lineRule="exact"/>
        <w:rPr>
          <w:rFonts w:ascii="Arial" w:cs="Arial" w:eastAsia="Arial" w:hAnsi="Arial"/>
          <w:sz w:val="9"/>
          <w:szCs w:val="9"/>
          <w:color w:val="auto"/>
        </w:rPr>
      </w:pPr>
    </w:p>
    <w:p>
      <w:pPr>
        <w:ind w:left="760" w:hanging="266"/>
        <w:spacing w:after="0"/>
        <w:tabs>
          <w:tab w:leader="none" w:pos="760" w:val="left"/>
        </w:tabs>
        <w:numPr>
          <w:ilvl w:val="0"/>
          <w:numId w:val="34"/>
        </w:numPr>
        <w:rPr>
          <w:rFonts w:ascii="Arial" w:cs="Arial" w:eastAsia="Arial" w:hAnsi="Arial"/>
          <w:sz w:val="9"/>
          <w:szCs w:val="9"/>
          <w:color w:val="auto"/>
        </w:rPr>
      </w:pPr>
      <w:r>
        <w:rPr>
          <w:rFonts w:ascii="Arial" w:cs="Arial" w:eastAsia="Arial" w:hAnsi="Arial"/>
          <w:sz w:val="14"/>
          <w:szCs w:val="14"/>
          <w:color w:val="auto"/>
        </w:rPr>
        <w:t>Included in debt within liabilities under vehicle programs.</w:t>
      </w:r>
    </w:p>
    <w:p>
      <w:pPr>
        <w:spacing w:after="0" w:line="14" w:lineRule="exact"/>
        <w:rPr>
          <w:rFonts w:ascii="Arial" w:cs="Arial" w:eastAsia="Arial" w:hAnsi="Arial"/>
          <w:sz w:val="9"/>
          <w:szCs w:val="9"/>
          <w:color w:val="auto"/>
        </w:rPr>
      </w:pPr>
    </w:p>
    <w:p>
      <w:pPr>
        <w:ind w:left="760" w:hanging="266"/>
        <w:spacing w:after="0" w:line="192" w:lineRule="auto"/>
        <w:tabs>
          <w:tab w:leader="none" w:pos="760"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Included in receivables from vehicle manufacturers and other within assets under vehicle programs.</w:t>
      </w:r>
    </w:p>
    <w:p>
      <w:pPr>
        <w:ind w:left="760" w:hanging="266"/>
        <w:spacing w:after="0" w:line="193" w:lineRule="auto"/>
        <w:tabs>
          <w:tab w:leader="none" w:pos="760"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Included in other within liabilities under vehicle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08" w:right="9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5920" w:type="dxa"/>
            <w:vAlign w:val="bottom"/>
            <w:gridSpan w:val="2"/>
          </w:tcPr>
          <w:p>
            <w:pPr>
              <w:jc w:val="right"/>
              <w:ind w:right="4520"/>
              <w:spacing w:after="0"/>
              <w:rPr>
                <w:sz w:val="20"/>
                <w:szCs w:val="20"/>
                <w:color w:val="auto"/>
              </w:rPr>
            </w:pPr>
            <w:r>
              <w:rPr>
                <w:rFonts w:ascii="Arial" w:cs="Arial" w:eastAsia="Arial" w:hAnsi="Arial"/>
                <w:sz w:val="18"/>
                <w:szCs w:val="18"/>
                <w:color w:val="0000FF"/>
                <w:w w:val="97"/>
              </w:rPr>
              <w:t>Table of Contents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5920" w:type="dxa"/>
            <w:vAlign w:val="bottom"/>
            <w:gridSpan w:val="2"/>
          </w:tcPr>
          <w:p>
            <w:pPr>
              <w:ind w:left="500"/>
              <w:spacing w:after="0"/>
              <w:rPr>
                <w:sz w:val="20"/>
                <w:szCs w:val="20"/>
                <w:color w:val="auto"/>
              </w:rPr>
            </w:pPr>
            <w:r>
              <w:rPr>
                <w:rFonts w:ascii="Arial" w:cs="Arial" w:eastAsia="Arial" w:hAnsi="Arial"/>
                <w:sz w:val="18"/>
                <w:szCs w:val="18"/>
                <w:color w:val="auto"/>
              </w:rPr>
              <w:t>Supplemental cash flow information related to leases is as follows: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40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20" w:type="dxa"/>
            <w:vAlign w:val="bottom"/>
            <w:gridSpan w:val="2"/>
            <w:vMerge w:val="restart"/>
          </w:tcPr>
          <w:p>
            <w:pPr>
              <w:ind w:left="520"/>
              <w:spacing w:after="0"/>
              <w:rPr>
                <w:sz w:val="20"/>
                <w:szCs w:val="20"/>
                <w:color w:val="auto"/>
              </w:rPr>
            </w:pPr>
            <w:r>
              <w:rPr>
                <w:rFonts w:ascii="Arial" w:cs="Arial" w:eastAsia="Arial" w:hAnsi="Arial"/>
                <w:sz w:val="18"/>
                <w:szCs w:val="18"/>
                <w:color w:val="auto"/>
              </w:rPr>
              <w:t>Cash payments for lease liabilities within operating activities:</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04"/>
        </w:trPr>
        <w:tc>
          <w:tcPr>
            <w:tcW w:w="59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gridSpan w:val="2"/>
          </w:tcPr>
          <w:p>
            <w:pPr>
              <w:ind w:left="720"/>
              <w:spacing w:after="0"/>
              <w:rPr>
                <w:sz w:val="20"/>
                <w:szCs w:val="20"/>
                <w:color w:val="auto"/>
              </w:rPr>
            </w:pPr>
            <w:r>
              <w:rPr>
                <w:rFonts w:ascii="Arial" w:cs="Arial" w:eastAsia="Arial" w:hAnsi="Arial"/>
                <w:sz w:val="18"/>
                <w:szCs w:val="18"/>
                <w:color w:val="auto"/>
              </w:rPr>
              <w:t>Property operating leases</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743</w:t>
            </w:r>
          </w:p>
        </w:tc>
        <w:tc>
          <w:tcPr>
            <w:tcW w:w="40" w:type="dxa"/>
            <w:vAlign w:val="bottom"/>
          </w:tcPr>
          <w:p>
            <w:pPr>
              <w:spacing w:after="0"/>
              <w:rPr>
                <w:sz w:val="19"/>
                <w:szCs w:val="19"/>
                <w:color w:val="auto"/>
              </w:rPr>
            </w:pP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9"/>
        </w:trPr>
        <w:tc>
          <w:tcPr>
            <w:tcW w:w="5920" w:type="dxa"/>
            <w:vAlign w:val="bottom"/>
            <w:gridSpan w:val="2"/>
          </w:tcPr>
          <w:p>
            <w:pPr>
              <w:ind w:left="720"/>
              <w:spacing w:after="0"/>
              <w:rPr>
                <w:sz w:val="20"/>
                <w:szCs w:val="20"/>
                <w:color w:val="auto"/>
              </w:rPr>
            </w:pPr>
            <w:r>
              <w:rPr>
                <w:rFonts w:ascii="Arial" w:cs="Arial" w:eastAsia="Arial" w:hAnsi="Arial"/>
                <w:sz w:val="18"/>
                <w:szCs w:val="18"/>
                <w:color w:val="auto"/>
              </w:rPr>
              <w:t>Vehicle finance leases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920" w:type="dxa"/>
            <w:vAlign w:val="bottom"/>
            <w:gridSpan w:val="2"/>
          </w:tcPr>
          <w:p>
            <w:pPr>
              <w:ind w:left="720"/>
              <w:spacing w:after="0"/>
              <w:rPr>
                <w:sz w:val="20"/>
                <w:szCs w:val="20"/>
                <w:color w:val="auto"/>
              </w:rPr>
            </w:pPr>
            <w:r>
              <w:rPr>
                <w:rFonts w:ascii="Arial" w:cs="Arial" w:eastAsia="Arial" w:hAnsi="Arial"/>
                <w:sz w:val="18"/>
                <w:szCs w:val="18"/>
                <w:color w:val="auto"/>
              </w:rPr>
              <w:t>Vehicle operating leases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Cash payments for lease liabilities within financing activities: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gridSpan w:val="2"/>
          </w:tcPr>
          <w:p>
            <w:pPr>
              <w:ind w:left="720"/>
              <w:spacing w:after="0"/>
              <w:rPr>
                <w:sz w:val="20"/>
                <w:szCs w:val="20"/>
                <w:color w:val="auto"/>
              </w:rPr>
            </w:pPr>
            <w:r>
              <w:rPr>
                <w:rFonts w:ascii="Arial" w:cs="Arial" w:eastAsia="Arial" w:hAnsi="Arial"/>
                <w:sz w:val="18"/>
                <w:szCs w:val="18"/>
                <w:color w:val="auto"/>
              </w:rPr>
              <w:t>Vehicle finance leases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181"/>
        </w:trPr>
        <w:tc>
          <w:tcPr>
            <w:tcW w:w="5920" w:type="dxa"/>
            <w:vAlign w:val="bottom"/>
            <w:gridSpan w:val="2"/>
          </w:tcPr>
          <w:p>
            <w:pPr>
              <w:ind w:left="520"/>
              <w:spacing w:after="0" w:line="181" w:lineRule="exact"/>
              <w:rPr>
                <w:sz w:val="20"/>
                <w:szCs w:val="20"/>
                <w:color w:val="auto"/>
              </w:rPr>
            </w:pPr>
            <w:r>
              <w:rPr>
                <w:rFonts w:ascii="Arial" w:cs="Arial" w:eastAsia="Arial" w:hAnsi="Arial"/>
                <w:sz w:val="18"/>
                <w:szCs w:val="18"/>
                <w:color w:val="auto"/>
              </w:rPr>
              <w:t>Non-cash activities - increase in ROU assets in exchange for lease</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920" w:type="dxa"/>
            <w:vAlign w:val="bottom"/>
            <w:gridSpan w:val="2"/>
          </w:tcPr>
          <w:p>
            <w:pPr>
              <w:jc w:val="right"/>
              <w:ind w:right="4520"/>
              <w:spacing w:after="0"/>
              <w:rPr>
                <w:sz w:val="20"/>
                <w:szCs w:val="20"/>
                <w:color w:val="auto"/>
              </w:rPr>
            </w:pPr>
            <w:r>
              <w:rPr>
                <w:rFonts w:ascii="Arial" w:cs="Arial" w:eastAsia="Arial" w:hAnsi="Arial"/>
                <w:sz w:val="18"/>
                <w:szCs w:val="18"/>
                <w:color w:val="auto"/>
              </w:rPr>
              <w:t>liabilities: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20" w:type="dxa"/>
            <w:vAlign w:val="bottom"/>
            <w:gridSpan w:val="2"/>
          </w:tcPr>
          <w:p>
            <w:pPr>
              <w:ind w:left="720"/>
              <w:spacing w:after="0"/>
              <w:rPr>
                <w:sz w:val="20"/>
                <w:szCs w:val="20"/>
                <w:color w:val="auto"/>
              </w:rPr>
            </w:pPr>
            <w:r>
              <w:rPr>
                <w:rFonts w:ascii="Arial" w:cs="Arial" w:eastAsia="Arial" w:hAnsi="Arial"/>
                <w:sz w:val="18"/>
                <w:szCs w:val="18"/>
                <w:color w:val="auto"/>
              </w:rPr>
              <w:t>Property operating leases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9"/>
        </w:trPr>
        <w:tc>
          <w:tcPr>
            <w:tcW w:w="5920" w:type="dxa"/>
            <w:vAlign w:val="bottom"/>
            <w:gridSpan w:val="2"/>
          </w:tcPr>
          <w:p>
            <w:pPr>
              <w:ind w:left="720"/>
              <w:spacing w:after="0"/>
              <w:rPr>
                <w:sz w:val="20"/>
                <w:szCs w:val="20"/>
                <w:color w:val="auto"/>
              </w:rPr>
            </w:pPr>
            <w:r>
              <w:rPr>
                <w:rFonts w:ascii="Arial" w:cs="Arial" w:eastAsia="Arial" w:hAnsi="Arial"/>
                <w:sz w:val="18"/>
                <w:szCs w:val="18"/>
                <w:color w:val="auto"/>
              </w:rPr>
              <w:t>Vehicle finance leases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9"/>
        </w:trPr>
        <w:tc>
          <w:tcPr>
            <w:tcW w:w="5920" w:type="dxa"/>
            <w:vAlign w:val="bottom"/>
            <w:gridSpan w:val="2"/>
          </w:tcPr>
          <w:p>
            <w:pPr>
              <w:ind w:left="720"/>
              <w:spacing w:after="0"/>
              <w:rPr>
                <w:sz w:val="20"/>
                <w:szCs w:val="20"/>
                <w:color w:val="auto"/>
              </w:rPr>
            </w:pPr>
            <w:r>
              <w:rPr>
                <w:rFonts w:ascii="Arial" w:cs="Arial" w:eastAsia="Arial" w:hAnsi="Arial"/>
                <w:sz w:val="18"/>
                <w:szCs w:val="18"/>
                <w:color w:val="auto"/>
              </w:rPr>
              <w:t>Vehicle operating leases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554"/>
        </w:trPr>
        <w:tc>
          <w:tcPr>
            <w:tcW w:w="6180" w:type="dxa"/>
            <w:vAlign w:val="bottom"/>
            <w:gridSpan w:val="4"/>
          </w:tcPr>
          <w:p>
            <w:pPr>
              <w:ind w:left="500"/>
              <w:spacing w:after="0"/>
              <w:rPr>
                <w:sz w:val="20"/>
                <w:szCs w:val="20"/>
                <w:color w:val="auto"/>
              </w:rPr>
            </w:pPr>
            <w:r>
              <w:rPr>
                <w:rFonts w:ascii="Arial" w:cs="Arial" w:eastAsia="Arial" w:hAnsi="Arial"/>
                <w:sz w:val="18"/>
                <w:szCs w:val="18"/>
                <w:color w:val="auto"/>
              </w:rPr>
              <w:t>Maturities of lease liabilities as of December 31, 2022 are as follows:</w:t>
            </w: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4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line="199" w:lineRule="exact"/>
              <w:rPr>
                <w:sz w:val="20"/>
                <w:szCs w:val="20"/>
                <w:color w:val="auto"/>
              </w:rPr>
            </w:pPr>
            <w:r>
              <w:rPr>
                <w:rFonts w:ascii="Arial" w:cs="Arial" w:eastAsia="Arial" w:hAnsi="Arial"/>
                <w:sz w:val="18"/>
                <w:szCs w:val="18"/>
                <w:b w:val="1"/>
                <w:bCs w:val="1"/>
                <w:color w:val="auto"/>
                <w:w w:val="99"/>
              </w:rPr>
              <w:t>Property</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4"/>
            <w:vMerge w:val="restart"/>
          </w:tcPr>
          <w:p>
            <w:pPr>
              <w:jc w:val="center"/>
              <w:ind w:right="420"/>
              <w:spacing w:after="0"/>
              <w:rPr>
                <w:sz w:val="20"/>
                <w:szCs w:val="20"/>
                <w:color w:val="auto"/>
              </w:rPr>
            </w:pPr>
            <w:r>
              <w:rPr>
                <w:rFonts w:ascii="Arial" w:cs="Arial" w:eastAsia="Arial" w:hAnsi="Arial"/>
                <w:sz w:val="18"/>
                <w:szCs w:val="18"/>
                <w:b w:val="1"/>
                <w:bCs w:val="1"/>
                <w:color w:val="auto"/>
                <w:w w:val="98"/>
              </w:rPr>
              <w:t>Vehicle</w:t>
            </w:r>
          </w:p>
        </w:tc>
        <w:tc>
          <w:tcPr>
            <w:tcW w:w="280" w:type="dxa"/>
            <w:vAlign w:val="bottom"/>
          </w:tcPr>
          <w:p>
            <w:pPr>
              <w:spacing w:after="0"/>
              <w:rPr>
                <w:sz w:val="17"/>
                <w:szCs w:val="17"/>
                <w:color w:val="auto"/>
              </w:rPr>
            </w:pPr>
          </w:p>
        </w:tc>
        <w:tc>
          <w:tcPr>
            <w:tcW w:w="1220" w:type="dxa"/>
            <w:vAlign w:val="bottom"/>
          </w:tcPr>
          <w:p>
            <w:pPr>
              <w:jc w:val="center"/>
              <w:ind w:right="190"/>
              <w:spacing w:after="0" w:line="199" w:lineRule="exact"/>
              <w:rPr>
                <w:sz w:val="20"/>
                <w:szCs w:val="20"/>
                <w:color w:val="auto"/>
              </w:rPr>
            </w:pPr>
            <w:r>
              <w:rPr>
                <w:rFonts w:ascii="Arial" w:cs="Arial" w:eastAsia="Arial" w:hAnsi="Arial"/>
                <w:sz w:val="18"/>
                <w:szCs w:val="18"/>
                <w:b w:val="1"/>
                <w:bCs w:val="1"/>
                <w:color w:val="auto"/>
                <w:w w:val="98"/>
              </w:rPr>
              <w:t>Vehicle</w:t>
            </w: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8"/>
              </w:rPr>
              <w:t>Operating</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w w:val="98"/>
              </w:rPr>
              <w:t>Operating</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Leases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9"/>
              </w:rPr>
              <w:t>Finance Leases</w:t>
            </w:r>
          </w:p>
        </w:tc>
        <w:tc>
          <w:tcPr>
            <w:tcW w:w="280" w:type="dxa"/>
            <w:vAlign w:val="bottom"/>
          </w:tcPr>
          <w:p>
            <w:pPr>
              <w:spacing w:after="0"/>
              <w:rPr>
                <w:sz w:val="21"/>
                <w:szCs w:val="21"/>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Leases</w:t>
            </w:r>
          </w:p>
        </w:tc>
        <w:tc>
          <w:tcPr>
            <w:tcW w:w="0" w:type="dxa"/>
            <w:vAlign w:val="bottom"/>
          </w:tcPr>
          <w:p>
            <w:pPr>
              <w:spacing w:after="0"/>
              <w:rPr>
                <w:sz w:val="1"/>
                <w:szCs w:val="1"/>
                <w:color w:val="auto"/>
              </w:rPr>
            </w:pPr>
          </w:p>
        </w:tc>
      </w:tr>
      <w:tr>
        <w:trPr>
          <w:trHeight w:val="218"/>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Within 1 year</w:t>
            </w:r>
          </w:p>
        </w:tc>
        <w:tc>
          <w:tcPr>
            <w:tcW w:w="2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Between 1 and 2 years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Between 2 and 3 years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Between 3 and 4 years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Between 4 and 5 years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Total lease payments</w:t>
            </w: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5"/>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Less: Imputed interest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400" w:hanging="342"/>
        <w:spacing w:after="0"/>
        <w:tabs>
          <w:tab w:leader="none" w:pos="4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40" w:type="dxa"/>
            <w:vAlign w:val="bottom"/>
            <w:vMerge w:val="restart"/>
          </w:tcPr>
          <w:p>
            <w:pPr>
              <w:ind w:left="520"/>
              <w:spacing w:after="0"/>
              <w:rPr>
                <w:sz w:val="20"/>
                <w:szCs w:val="20"/>
                <w:color w:val="auto"/>
              </w:rPr>
            </w:pPr>
            <w:r>
              <w:rPr>
                <w:rFonts w:ascii="Arial" w:cs="Arial" w:eastAsia="Arial" w:hAnsi="Arial"/>
                <w:sz w:val="18"/>
                <w:szCs w:val="18"/>
                <w:color w:val="auto"/>
              </w:rPr>
              <w:t>Net income (loss) attributable to Avis Budget Group, Inc. for basic</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5940" w:type="dxa"/>
            <w:vAlign w:val="bottom"/>
            <w:vMerge w:val="continue"/>
          </w:tcPr>
          <w:p>
            <w:pPr>
              <w:spacing w:after="0"/>
              <w:rPr>
                <w:sz w:val="14"/>
                <w:szCs w:val="14"/>
                <w:color w:val="auto"/>
              </w:rPr>
            </w:pPr>
          </w:p>
        </w:tc>
        <w:tc>
          <w:tcPr>
            <w:tcW w:w="960" w:type="dxa"/>
            <w:vAlign w:val="bottom"/>
            <w:vMerge w:val="restart"/>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7"/>
              </w:rPr>
              <w:t>2,764</w:t>
            </w:r>
          </w:p>
        </w:tc>
        <w:tc>
          <w:tcPr>
            <w:tcW w:w="120" w:type="dxa"/>
            <w:vAlign w:val="bottom"/>
          </w:tcPr>
          <w:p>
            <w:pPr>
              <w:spacing w:after="0"/>
              <w:rPr>
                <w:sz w:val="14"/>
                <w:szCs w:val="14"/>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4"/>
                <w:szCs w:val="14"/>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(684)</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940" w:type="dxa"/>
            <w:vAlign w:val="bottom"/>
          </w:tcPr>
          <w:p>
            <w:pPr>
              <w:ind w:left="520"/>
              <w:spacing w:after="0"/>
              <w:rPr>
                <w:sz w:val="20"/>
                <w:szCs w:val="20"/>
                <w:color w:val="auto"/>
              </w:rPr>
            </w:pPr>
            <w:r>
              <w:rPr>
                <w:rFonts w:ascii="Arial" w:cs="Arial" w:eastAsia="Arial" w:hAnsi="Arial"/>
                <w:sz w:val="18"/>
                <w:szCs w:val="18"/>
                <w:color w:val="auto"/>
              </w:rPr>
              <w:t>and diluted EPS</w:t>
            </w:r>
          </w:p>
        </w:tc>
        <w:tc>
          <w:tcPr>
            <w:tcW w:w="96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5940" w:type="dxa"/>
            <w:vAlign w:val="bottom"/>
          </w:tcPr>
          <w:p>
            <w:pPr>
              <w:ind w:left="520"/>
              <w:spacing w:after="0"/>
              <w:rPr>
                <w:sz w:val="20"/>
                <w:szCs w:val="20"/>
                <w:color w:val="auto"/>
              </w:rPr>
            </w:pPr>
            <w:r>
              <w:rPr>
                <w:rFonts w:ascii="Arial" w:cs="Arial" w:eastAsia="Arial" w:hAnsi="Arial"/>
                <w:sz w:val="18"/>
                <w:szCs w:val="18"/>
                <w:color w:val="auto"/>
              </w:rPr>
              <w:t>Basic weighted average shares outstanding</w:t>
            </w:r>
          </w:p>
        </w:tc>
        <w:tc>
          <w:tcPr>
            <w:tcW w:w="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940" w:type="dxa"/>
            <w:vAlign w:val="bottom"/>
          </w:tcPr>
          <w:p>
            <w:pPr>
              <w:ind w:left="520"/>
              <w:spacing w:after="0"/>
              <w:rPr>
                <w:sz w:val="20"/>
                <w:szCs w:val="20"/>
                <w:color w:val="auto"/>
              </w:rPr>
            </w:pPr>
            <w:r>
              <w:rPr>
                <w:rFonts w:ascii="Arial" w:cs="Arial" w:eastAsia="Arial" w:hAnsi="Arial"/>
                <w:sz w:val="18"/>
                <w:szCs w:val="18"/>
                <w:color w:val="auto"/>
              </w:rPr>
              <w:t>Options and non-vested stock</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Pr>
          <w:p>
            <w:pPr>
              <w:ind w:left="520"/>
              <w:spacing w:after="0"/>
              <w:rPr>
                <w:sz w:val="20"/>
                <w:szCs w:val="20"/>
                <w:color w:val="auto"/>
              </w:rPr>
            </w:pPr>
            <w:r>
              <w:rPr>
                <w:rFonts w:ascii="Arial" w:cs="Arial" w:eastAsia="Arial" w:hAnsi="Arial"/>
                <w:sz w:val="18"/>
                <w:szCs w:val="18"/>
                <w:color w:val="auto"/>
              </w:rPr>
              <w:t>Diluted weighted average shares outstanding</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520"/>
              <w:spacing w:after="0"/>
              <w:rPr>
                <w:sz w:val="20"/>
                <w:szCs w:val="20"/>
                <w:color w:val="auto"/>
              </w:rPr>
            </w:pPr>
            <w:r>
              <w:rPr>
                <w:rFonts w:ascii="Arial" w:cs="Arial" w:eastAsia="Arial" w:hAnsi="Arial"/>
                <w:sz w:val="18"/>
                <w:szCs w:val="18"/>
                <w:i w:val="1"/>
                <w:iCs w:val="1"/>
                <w:color w:val="auto"/>
              </w:rPr>
              <w:t>Earnings (loss) per share:</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59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720"/>
              <w:spacing w:after="0"/>
              <w:rPr>
                <w:sz w:val="20"/>
                <w:szCs w:val="20"/>
                <w:color w:val="auto"/>
              </w:rPr>
            </w:pPr>
            <w:r>
              <w:rPr>
                <w:rFonts w:ascii="Arial" w:cs="Arial" w:eastAsia="Arial" w:hAnsi="Arial"/>
                <w:sz w:val="18"/>
                <w:szCs w:val="18"/>
                <w:color w:val="auto"/>
              </w:rPr>
              <w:t>Basic</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58.41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40" w:type="dxa"/>
            <w:vAlign w:val="bottom"/>
          </w:tcPr>
          <w:p>
            <w:pPr>
              <w:ind w:left="720"/>
              <w:spacing w:after="0"/>
              <w:rPr>
                <w:sz w:val="20"/>
                <w:szCs w:val="20"/>
                <w:color w:val="auto"/>
              </w:rPr>
            </w:pPr>
            <w:r>
              <w:rPr>
                <w:rFonts w:ascii="Arial" w:cs="Arial" w:eastAsia="Arial" w:hAnsi="Arial"/>
                <w:sz w:val="18"/>
                <w:szCs w:val="18"/>
                <w:color w:val="auto"/>
              </w:rPr>
              <w:t>Diluted</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57.16</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5"/>
        </w:trPr>
        <w:tc>
          <w:tcPr>
            <w:tcW w:w="5940" w:type="dxa"/>
            <w:vAlign w:val="bottom"/>
          </w:tcPr>
          <w:p>
            <w:pPr>
              <w:ind w:left="5440"/>
              <w:spacing w:after="0"/>
              <w:rPr>
                <w:sz w:val="20"/>
                <w:szCs w:val="20"/>
                <w:color w:val="auto"/>
              </w:rPr>
            </w:pPr>
            <w:r>
              <w:rPr>
                <w:rFonts w:ascii="Arial" w:cs="Arial" w:eastAsia="Arial" w:hAnsi="Arial"/>
                <w:sz w:val="18"/>
                <w:szCs w:val="18"/>
                <w:color w:val="auto"/>
              </w:rPr>
              <w:t>F-22</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9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The following table summarizes our outstanding common stock equivalents that were anti-dilutive and therefore excluded from the computation of diluted EPS (shares in millions):</w:t>
      </w:r>
    </w:p>
    <w:p>
      <w:pPr>
        <w:spacing w:after="0" w:line="139"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As of December 31,</w:t>
      </w:r>
    </w:p>
    <w:p>
      <w:pPr>
        <w:spacing w:after="0" w:line="28" w:lineRule="exact"/>
        <w:rPr>
          <w:sz w:val="20"/>
          <w:szCs w:val="20"/>
          <w:color w:val="auto"/>
        </w:rPr>
      </w:pPr>
    </w:p>
    <w:tbl>
      <w:tblPr>
        <w:tblLayout w:type="fixed"/>
        <w:tblInd w:w="520" w:type="dxa"/>
        <w:tblCellMar>
          <w:top w:w="0" w:type="dxa"/>
          <w:left w:w="0" w:type="dxa"/>
          <w:bottom w:w="0" w:type="dxa"/>
          <w:right w:w="0" w:type="dxa"/>
        </w:tblCellMar>
      </w:tblPr>
      <w:tr>
        <w:trPr>
          <w:trHeight w:val="223"/>
        </w:trPr>
        <w:tc>
          <w:tcPr>
            <w:tcW w:w="5540" w:type="dxa"/>
            <w:vAlign w:val="bottom"/>
          </w:tcPr>
          <w:p>
            <w:pPr>
              <w:spacing w:after="0"/>
              <w:rPr>
                <w:sz w:val="19"/>
                <w:szCs w:val="19"/>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160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96"/>
        </w:trPr>
        <w:tc>
          <w:tcPr>
            <w:tcW w:w="5540" w:type="dxa"/>
            <w:vAlign w:val="bottom"/>
          </w:tcPr>
          <w:p>
            <w:pPr>
              <w:spacing w:after="0"/>
              <w:rPr>
                <w:sz w:val="20"/>
                <w:szCs w:val="20"/>
                <w:color w:val="auto"/>
              </w:rPr>
            </w:pPr>
            <w:r>
              <w:rPr>
                <w:rFonts w:ascii="Arial" w:cs="Arial" w:eastAsia="Arial" w:hAnsi="Arial"/>
                <w:sz w:val="18"/>
                <w:szCs w:val="18"/>
                <w:color w:val="auto"/>
              </w:rPr>
              <w:t xml:space="preserve">Non-vested stock </w:t>
            </w:r>
            <w:r>
              <w:rPr>
                <w:rFonts w:ascii="Arial" w:cs="Arial" w:eastAsia="Arial" w:hAnsi="Arial"/>
                <w:sz w:val="23"/>
                <w:szCs w:val="23"/>
                <w:color w:val="auto"/>
                <w:vertAlign w:val="superscript"/>
              </w:rPr>
              <w:t>(a)</w:t>
            </w:r>
          </w:p>
        </w:tc>
        <w:tc>
          <w:tcPr>
            <w:tcW w:w="10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r>
    </w:tbl>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29" w:lineRule="auto"/>
        <w:tabs>
          <w:tab w:leader="none" w:pos="820" w:val="left"/>
        </w:tabs>
        <w:numPr>
          <w:ilvl w:val="1"/>
          <w:numId w:val="36"/>
        </w:numPr>
        <w:rPr>
          <w:rFonts w:ascii="Arial" w:cs="Arial" w:eastAsia="Arial" w:hAnsi="Arial"/>
          <w:sz w:val="19"/>
          <w:szCs w:val="19"/>
          <w:color w:val="auto"/>
          <w:vertAlign w:val="superscript"/>
        </w:rPr>
      </w:pPr>
      <w:r>
        <w:rPr>
          <w:rFonts w:ascii="Arial" w:cs="Arial" w:eastAsia="Arial" w:hAnsi="Arial"/>
          <w:sz w:val="14"/>
          <w:szCs w:val="14"/>
          <w:color w:val="auto"/>
        </w:rPr>
        <w:t>The weighted average grant date fair value for anti-dilutive non-vested stock for 2022 and 2020 was $177.70 and $26.20, respectively.</w:t>
      </w:r>
    </w:p>
    <w:p>
      <w:pPr>
        <w:spacing w:after="0" w:line="205" w:lineRule="exact"/>
        <w:rPr>
          <w:rFonts w:ascii="Arial" w:cs="Arial" w:eastAsia="Arial" w:hAnsi="Arial"/>
          <w:sz w:val="19"/>
          <w:szCs w:val="19"/>
          <w:color w:val="auto"/>
          <w:vertAlign w:val="superscript"/>
        </w:rPr>
      </w:pPr>
    </w:p>
    <w:p>
      <w:pPr>
        <w:ind w:left="400" w:hanging="342"/>
        <w:spacing w:after="0"/>
        <w:tabs>
          <w:tab w:leader="none" w:pos="4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Related Charges</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Restructuring</w:t>
      </w:r>
    </w:p>
    <w:p>
      <w:pPr>
        <w:spacing w:after="0" w:line="25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During second quarter 2022, we initiated a restructuring plan to focus on consolidating our global operations by designing new processes and implementing new systems (“Cost Optimization”). As of December 31, 2022, we formally communicated and terminated employment of approximately 200 employees as part of this process. We expect no further restructuring expense related to this initiative.</w:t>
      </w:r>
    </w:p>
    <w:p>
      <w:pPr>
        <w:spacing w:after="0" w:line="203"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During the first quarter of 2021, we initiated a global restructuring plan to focus on cost discipline by reviewing headcounts, facilities and contractor agreements. We transformed our business as we exited the COVID-19 crisis by controlling fixed costs and matching variable costs to demand (“T21”). We expect no further restructuring expense related to this initiative.</w:t>
      </w:r>
    </w:p>
    <w:p>
      <w:pPr>
        <w:spacing w:after="0" w:line="198"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During first quarter 2020, we initiated a global restructuring plan to reduce operating costs, such as headcount and facilities, due to declining reservations and revenue resulting from the COVID-19 outbreak (“2020 Optimization”). We expect no further restructuring expense related to this initiative.</w:t>
      </w:r>
    </w:p>
    <w:p>
      <w:pPr>
        <w:spacing w:after="0" w:line="198" w:lineRule="exact"/>
        <w:rPr>
          <w:sz w:val="20"/>
          <w:szCs w:val="20"/>
          <w:color w:val="auto"/>
        </w:rPr>
      </w:pPr>
    </w:p>
    <w:p>
      <w:pPr>
        <w:jc w:val="both"/>
        <w:ind w:left="500" w:right="20"/>
        <w:spacing w:after="0" w:line="287" w:lineRule="auto"/>
        <w:rPr>
          <w:sz w:val="20"/>
          <w:szCs w:val="20"/>
          <w:color w:val="auto"/>
        </w:rPr>
      </w:pPr>
      <w:r>
        <w:rPr>
          <w:rFonts w:ascii="Arial" w:cs="Arial" w:eastAsia="Arial" w:hAnsi="Arial"/>
          <w:sz w:val="18"/>
          <w:szCs w:val="18"/>
          <w:color w:val="auto"/>
        </w:rPr>
        <w:t>During third quarter 2019, we initiated a restructuring plan to exit our operations in Brazil by closing rental facilities, disposing of assets and terminating personnel (“Brazil”). This initiative is complete.</w:t>
      </w:r>
    </w:p>
    <w:p>
      <w:pPr>
        <w:spacing w:after="0" w:line="18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During first quarter 2019, we initiated a restructuring plan to drive global efficiency by improving processes and consolidating functions, and to create new objectives and strategies for our truck rental operations in the U.S. by reducing headcount, large vehicles and rental locations (“T19”). This initiative is complete.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The following tables summarize the change to our restructuring-related liabilities and identifies the amounts recorded within our reporting segments for restructuring charges and corresponding payments and utilizations:</w:t>
      </w:r>
    </w:p>
    <w:p>
      <w:pPr>
        <w:spacing w:after="0" w:line="113"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Personnel</w:t>
            </w:r>
          </w:p>
        </w:tc>
        <w:tc>
          <w:tcPr>
            <w:tcW w:w="160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Facility Related</w:t>
            </w:r>
          </w:p>
        </w:tc>
        <w:tc>
          <w:tcPr>
            <w:tcW w:w="260" w:type="dxa"/>
            <w:vAlign w:val="bottom"/>
          </w:tcPr>
          <w:p>
            <w:pPr>
              <w:spacing w:after="0"/>
              <w:rPr>
                <w:sz w:val="17"/>
                <w:szCs w:val="17"/>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3"/>
                <w:szCs w:val="23"/>
                <w:b w:val="1"/>
                <w:bCs w:val="1"/>
                <w:color w:val="auto"/>
                <w:vertAlign w:val="superscript"/>
              </w:rPr>
              <w:t>(a)</w:t>
            </w:r>
          </w:p>
        </w:tc>
        <w:tc>
          <w:tcPr>
            <w:tcW w:w="320" w:type="dxa"/>
            <w:vAlign w:val="bottom"/>
          </w:tcPr>
          <w:p>
            <w:pPr>
              <w:spacing w:after="0"/>
              <w:rPr>
                <w:sz w:val="17"/>
                <w:szCs w:val="17"/>
                <w:color w:val="auto"/>
              </w:rPr>
            </w:pPr>
          </w:p>
        </w:tc>
        <w:tc>
          <w:tcPr>
            <w:tcW w:w="11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820" w:type="dxa"/>
            <w:vAlign w:val="bottom"/>
            <w:vMerge w:val="restart"/>
          </w:tcPr>
          <w:p>
            <w:pPr>
              <w:spacing w:after="0"/>
              <w:rPr>
                <w:sz w:val="20"/>
                <w:szCs w:val="20"/>
                <w:color w:val="auto"/>
              </w:rPr>
            </w:pPr>
            <w:r>
              <w:rPr>
                <w:rFonts w:ascii="Arial" w:cs="Arial" w:eastAsia="Arial" w:hAnsi="Arial"/>
                <w:sz w:val="18"/>
                <w:szCs w:val="18"/>
                <w:color w:val="auto"/>
              </w:rPr>
              <w:t>Balance at January 1, 2020</w:t>
            </w:r>
          </w:p>
        </w:tc>
        <w:tc>
          <w:tcPr>
            <w:tcW w:w="22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Related</w:t>
            </w:r>
          </w:p>
        </w:tc>
        <w:tc>
          <w:tcPr>
            <w:tcW w:w="160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82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82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20"/>
              <w:spacing w:after="0"/>
              <w:rPr>
                <w:sz w:val="20"/>
                <w:szCs w:val="20"/>
                <w:color w:val="auto"/>
              </w:rPr>
            </w:pPr>
            <w:r>
              <w:rPr>
                <w:rFonts w:ascii="Arial" w:cs="Arial" w:eastAsia="Arial" w:hAnsi="Arial"/>
                <w:sz w:val="18"/>
                <w:szCs w:val="18"/>
                <w:color w:val="auto"/>
              </w:rPr>
              <w:t>2020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820" w:type="dxa"/>
            <w:vAlign w:val="bottom"/>
          </w:tcPr>
          <w:p>
            <w:pPr>
              <w:ind w:left="12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8"/>
                <w:szCs w:val="18"/>
                <w:color w:val="auto"/>
              </w:rPr>
              <w:t>2020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5"/>
        </w:trPr>
        <w:tc>
          <w:tcPr>
            <w:tcW w:w="3820" w:type="dxa"/>
            <w:vAlign w:val="bottom"/>
          </w:tcPr>
          <w:p>
            <w:pPr>
              <w:ind w:left="20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8"/>
        </w:trPr>
        <w:tc>
          <w:tcPr>
            <w:tcW w:w="382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82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8"/>
                <w:szCs w:val="18"/>
                <w:color w:val="auto"/>
              </w:rPr>
              <w:t>T21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820" w:type="dxa"/>
            <w:vAlign w:val="bottom"/>
          </w:tcPr>
          <w:p>
            <w:pPr>
              <w:ind w:left="20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820" w:type="dxa"/>
            <w:vAlign w:val="bottom"/>
          </w:tcPr>
          <w:p>
            <w:pPr>
              <w:ind w:left="12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8"/>
                <w:szCs w:val="18"/>
                <w:color w:val="auto"/>
              </w:rPr>
              <w:t>T21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820" w:type="dxa"/>
            <w:vAlign w:val="bottom"/>
          </w:tcPr>
          <w:p>
            <w:pPr>
              <w:ind w:left="200"/>
              <w:spacing w:after="0"/>
              <w:rPr>
                <w:sz w:val="20"/>
                <w:szCs w:val="20"/>
                <w:color w:val="auto"/>
              </w:rPr>
            </w:pPr>
            <w:r>
              <w:rPr>
                <w:rFonts w:ascii="Arial" w:cs="Arial" w:eastAsia="Arial" w:hAnsi="Arial"/>
                <w:sz w:val="18"/>
                <w:szCs w:val="18"/>
                <w:color w:val="auto"/>
              </w:rPr>
              <w:t>2020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5"/>
        </w:trPr>
        <w:tc>
          <w:tcPr>
            <w:tcW w:w="3820" w:type="dxa"/>
            <w:vAlign w:val="bottom"/>
          </w:tcPr>
          <w:p>
            <w:pPr>
              <w:ind w:left="20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3820" w:type="dxa"/>
            <w:vAlign w:val="bottom"/>
          </w:tcPr>
          <w:p>
            <w:pPr>
              <w:spacing w:after="0"/>
              <w:rPr>
                <w:sz w:val="20"/>
                <w:szCs w:val="20"/>
                <w:color w:val="auto"/>
              </w:rPr>
            </w:pPr>
            <w:r>
              <w:rPr>
                <w:rFonts w:ascii="Arial" w:cs="Arial" w:eastAsia="Arial" w:hAnsi="Arial"/>
                <w:sz w:val="18"/>
                <w:szCs w:val="18"/>
                <w:color w:val="auto"/>
              </w:rPr>
              <w:t>Balance as of December 31, 2021</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82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0"/>
              <w:spacing w:after="0"/>
              <w:rPr>
                <w:sz w:val="20"/>
                <w:szCs w:val="20"/>
                <w:color w:val="auto"/>
              </w:rPr>
            </w:pPr>
            <w:r>
              <w:rPr>
                <w:rFonts w:ascii="Arial" w:cs="Arial" w:eastAsia="Arial" w:hAnsi="Arial"/>
                <w:sz w:val="18"/>
                <w:szCs w:val="18"/>
                <w:color w:val="auto"/>
              </w:rPr>
              <w:t>Cost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8"/>
                <w:szCs w:val="18"/>
                <w:color w:val="auto"/>
              </w:rPr>
              <w:t>T21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820" w:type="dxa"/>
            <w:vAlign w:val="bottom"/>
          </w:tcPr>
          <w:p>
            <w:pPr>
              <w:ind w:left="20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820" w:type="dxa"/>
            <w:vAlign w:val="bottom"/>
          </w:tcPr>
          <w:p>
            <w:pPr>
              <w:ind w:left="12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0"/>
              <w:spacing w:after="0"/>
              <w:rPr>
                <w:sz w:val="20"/>
                <w:szCs w:val="20"/>
                <w:color w:val="auto"/>
              </w:rPr>
            </w:pPr>
            <w:r>
              <w:rPr>
                <w:rFonts w:ascii="Arial" w:cs="Arial" w:eastAsia="Arial" w:hAnsi="Arial"/>
                <w:sz w:val="18"/>
                <w:szCs w:val="18"/>
                <w:color w:val="auto"/>
              </w:rPr>
              <w:t>Cost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820" w:type="dxa"/>
            <w:vAlign w:val="bottom"/>
          </w:tcPr>
          <w:p>
            <w:pPr>
              <w:ind w:left="200"/>
              <w:spacing w:after="0"/>
              <w:rPr>
                <w:sz w:val="20"/>
                <w:szCs w:val="20"/>
                <w:color w:val="auto"/>
              </w:rPr>
            </w:pPr>
            <w:r>
              <w:rPr>
                <w:rFonts w:ascii="Arial" w:cs="Arial" w:eastAsia="Arial" w:hAnsi="Arial"/>
                <w:sz w:val="18"/>
                <w:szCs w:val="18"/>
                <w:color w:val="auto"/>
              </w:rPr>
              <w:t>T21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8"/>
                <w:szCs w:val="18"/>
                <w:color w:val="auto"/>
              </w:rPr>
              <w:t>2020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820" w:type="dxa"/>
            <w:vAlign w:val="bottom"/>
          </w:tcPr>
          <w:p>
            <w:pPr>
              <w:ind w:left="20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5"/>
        </w:trPr>
        <w:tc>
          <w:tcPr>
            <w:tcW w:w="3820" w:type="dxa"/>
            <w:vAlign w:val="bottom"/>
          </w:tcPr>
          <w:p>
            <w:pPr>
              <w:ind w:left="20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Balance as of December 31, 2022</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640" w:hanging="146"/>
        <w:spacing w:after="0"/>
        <w:tabs>
          <w:tab w:leader="none" w:pos="640" w:val="left"/>
        </w:tabs>
        <w:numPr>
          <w:ilvl w:val="0"/>
          <w:numId w:val="38"/>
        </w:numPr>
        <w:rPr>
          <w:rFonts w:ascii="Arial" w:cs="Arial" w:eastAsia="Arial" w:hAnsi="Arial"/>
          <w:sz w:val="17"/>
          <w:szCs w:val="17"/>
          <w:color w:val="auto"/>
          <w:vertAlign w:val="superscript"/>
        </w:rPr>
      </w:pPr>
      <w:r>
        <w:rPr>
          <w:rFonts w:ascii="Arial" w:cs="Arial" w:eastAsia="Arial" w:hAnsi="Arial"/>
          <w:sz w:val="13"/>
          <w:szCs w:val="13"/>
          <w:color w:val="auto"/>
        </w:rPr>
        <w:t>Includes expenses primarily related to the disposition of vehicles.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Americas</w:t>
            </w:r>
          </w:p>
        </w:tc>
        <w:tc>
          <w:tcPr>
            <w:tcW w:w="160" w:type="dxa"/>
            <w:vAlign w:val="bottom"/>
          </w:tcPr>
          <w:p>
            <w:pPr>
              <w:spacing w:after="0" w:line="20" w:lineRule="exact"/>
              <w:rPr>
                <w:sz w:val="1"/>
                <w:szCs w:val="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International</w:t>
            </w:r>
          </w:p>
        </w:tc>
        <w:tc>
          <w:tcPr>
            <w:tcW w:w="340" w:type="dxa"/>
            <w:vAlign w:val="bottom"/>
          </w:tcPr>
          <w:p>
            <w:pPr>
              <w:spacing w:after="0" w:line="20" w:lineRule="exact"/>
              <w:rPr>
                <w:sz w:val="1"/>
                <w:szCs w:val="1"/>
                <w:color w:val="auto"/>
              </w:rPr>
            </w:pPr>
          </w:p>
        </w:tc>
        <w:tc>
          <w:tcPr>
            <w:tcW w:w="11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line="20" w:lineRule="exact"/>
              <w:rPr>
                <w:sz w:val="1"/>
                <w:szCs w:val="1"/>
                <w:color w:val="auto"/>
              </w:rPr>
            </w:pPr>
          </w:p>
        </w:tc>
      </w:tr>
      <w:tr>
        <w:trPr>
          <w:trHeight w:val="871"/>
        </w:trPr>
        <w:tc>
          <w:tcPr>
            <w:tcW w:w="5940" w:type="dxa"/>
            <w:vAlign w:val="bottom"/>
            <w:gridSpan w:val="2"/>
            <w:vMerge w:val="restart"/>
          </w:tcPr>
          <w:p>
            <w:pPr>
              <w:ind w:left="520"/>
              <w:spacing w:after="0"/>
              <w:rPr>
                <w:sz w:val="20"/>
                <w:szCs w:val="20"/>
                <w:color w:val="auto"/>
              </w:rPr>
            </w:pPr>
            <w:r>
              <w:rPr>
                <w:rFonts w:ascii="Arial" w:cs="Arial" w:eastAsia="Arial" w:hAnsi="Arial"/>
                <w:sz w:val="18"/>
                <w:szCs w:val="18"/>
                <w:color w:val="auto"/>
              </w:rPr>
              <w:t>Balance at January 1, 2020</w:t>
            </w:r>
          </w:p>
        </w:tc>
        <w:tc>
          <w:tcPr>
            <w:tcW w:w="22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940" w:type="dxa"/>
            <w:vAlign w:val="bottom"/>
            <w:gridSpan w:val="2"/>
            <w:vMerge w:val="continue"/>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940" w:type="dxa"/>
            <w:vAlign w:val="bottom"/>
            <w:gridSpan w:val="2"/>
          </w:tcPr>
          <w:p>
            <w:pPr>
              <w:ind w:left="6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2020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940" w:type="dxa"/>
            <w:vAlign w:val="bottom"/>
            <w:gridSpan w:val="2"/>
          </w:tcPr>
          <w:p>
            <w:pPr>
              <w:ind w:left="64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2020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5"/>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T19</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8"/>
        </w:trPr>
        <w:tc>
          <w:tcPr>
            <w:tcW w:w="5940" w:type="dxa"/>
            <w:vAlign w:val="bottom"/>
            <w:gridSpan w:val="2"/>
          </w:tcPr>
          <w:p>
            <w:pPr>
              <w:ind w:left="520"/>
              <w:spacing w:after="0"/>
              <w:rPr>
                <w:sz w:val="20"/>
                <w:szCs w:val="20"/>
                <w:color w:val="auto"/>
              </w:rPr>
            </w:pPr>
            <w:r>
              <w:rPr>
                <w:rFonts w:ascii="Arial" w:cs="Arial" w:eastAsia="Arial" w:hAnsi="Arial"/>
                <w:sz w:val="18"/>
                <w:szCs w:val="18"/>
                <w:color w:val="auto"/>
              </w:rPr>
              <w:t>Balance as of December 31, 2020</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940" w:type="dxa"/>
            <w:vAlign w:val="bottom"/>
            <w:gridSpan w:val="2"/>
          </w:tcPr>
          <w:p>
            <w:pPr>
              <w:ind w:left="6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T21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940" w:type="dxa"/>
            <w:vAlign w:val="bottom"/>
            <w:gridSpan w:val="2"/>
          </w:tcPr>
          <w:p>
            <w:pPr>
              <w:ind w:left="64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T21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2020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5"/>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T19</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5940" w:type="dxa"/>
            <w:vAlign w:val="bottom"/>
            <w:gridSpan w:val="2"/>
          </w:tcPr>
          <w:p>
            <w:pPr>
              <w:ind w:left="520"/>
              <w:spacing w:after="0"/>
              <w:rPr>
                <w:sz w:val="20"/>
                <w:szCs w:val="20"/>
                <w:color w:val="auto"/>
              </w:rPr>
            </w:pPr>
            <w:r>
              <w:rPr>
                <w:rFonts w:ascii="Arial" w:cs="Arial" w:eastAsia="Arial" w:hAnsi="Arial"/>
                <w:sz w:val="18"/>
                <w:szCs w:val="18"/>
                <w:color w:val="auto"/>
              </w:rPr>
              <w:t>Balance as of December 31, 2021</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940" w:type="dxa"/>
            <w:vAlign w:val="bottom"/>
            <w:gridSpan w:val="2"/>
          </w:tcPr>
          <w:p>
            <w:pPr>
              <w:ind w:left="6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Cost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T21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940" w:type="dxa"/>
            <w:vAlign w:val="bottom"/>
            <w:gridSpan w:val="2"/>
          </w:tcPr>
          <w:p>
            <w:pPr>
              <w:ind w:left="74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940" w:type="dxa"/>
            <w:vAlign w:val="bottom"/>
            <w:gridSpan w:val="2"/>
          </w:tcPr>
          <w:p>
            <w:pPr>
              <w:ind w:left="64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Cost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T21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2020 Optimization</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5"/>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940" w:type="dxa"/>
            <w:vAlign w:val="bottom"/>
            <w:gridSpan w:val="2"/>
          </w:tcPr>
          <w:p>
            <w:pPr>
              <w:ind w:left="520"/>
              <w:spacing w:after="0"/>
              <w:rPr>
                <w:sz w:val="20"/>
                <w:szCs w:val="20"/>
                <w:color w:val="auto"/>
              </w:rPr>
            </w:pPr>
            <w:r>
              <w:rPr>
                <w:rFonts w:ascii="Arial" w:cs="Arial" w:eastAsia="Arial" w:hAnsi="Arial"/>
                <w:sz w:val="18"/>
                <w:szCs w:val="18"/>
                <w:color w:val="auto"/>
              </w:rPr>
              <w:t>Balance as of December 31, 2022</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Limited Voluntary Opportunity Plans (“LVOP”)</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During the second quarter of 2021, our operations in our International segment offered a voluntary termination program to certain employees in field operations and general and administrative functions for a limited time. These employees, if qualified, elected resignation from employment in return for enhanced severance benefits to be settled in cash. During the year ended December 31, 2021, we recorded other related charges of approximately $17 million in connection with the LVOP. As of December 31, 2021, approximately 130 employees elected to participate in the plan and the participants have been terminated.</w:t>
      </w:r>
    </w:p>
    <w:p>
      <w:pPr>
        <w:spacing w:after="0" w:line="206"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During 2020, we offered a voluntary termination program to certain employees in field operations, shared services, and general and administrative functions for a limited time. These employees, if qualified, elected resignation from employment in return for enhanced severance benefits to be settled in cash. During the year ended December 31, 2020, we recorded other related charges of approximately $18 million in connection with the LVOP.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Officer Separation Costs</w:t>
      </w:r>
    </w:p>
    <w:p>
      <w:pPr>
        <w:spacing w:after="0" w:line="25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In April 2022, we announced the departure of Veresh Sita as Executive Vice President and Chief Digital and Innovation Officer effective May 13, 2022. In connection with Mr. Sita’s separation, we recorded other related charges of approximately $1 million, inclusive of accelerated stock-based compensation expense, for the year ended December 31, 2022.</w:t>
      </w:r>
    </w:p>
    <w:p>
      <w:pPr>
        <w:spacing w:after="0" w:line="198"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In August 2020, we announced the resignation of John F. North, III as our Chief Financial Officer. Following his post-resignation transition to an advisory position, Mr. North continued to serve as a consultant through January 1, 2021. In connection with Mr. North’s departure, we recorded other related charges of approximately $5 million, inclusive of accelerated stock-based compensation expense for the year ended December 31, 2020.</w:t>
      </w:r>
    </w:p>
    <w:p>
      <w:pPr>
        <w:spacing w:after="0" w:line="203"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In March 2020, we announced the departure of Michael K. Tucker as Executive Vice President, General Counsel effective March 27, 2020. In connection with Mr. Tucker’s separation, we recorded other related charges of approximately $2 million for the year ended December 31, 2020.</w:t>
      </w:r>
    </w:p>
    <w:p>
      <w:pPr>
        <w:spacing w:after="0" w:line="198" w:lineRule="exact"/>
        <w:rPr>
          <w:sz w:val="20"/>
          <w:szCs w:val="20"/>
          <w:color w:val="auto"/>
        </w:rPr>
      </w:pPr>
    </w:p>
    <w:p>
      <w:pPr>
        <w:ind w:left="400" w:hanging="342"/>
        <w:spacing w:after="0"/>
        <w:tabs>
          <w:tab w:leader="none" w:pos="4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2021</w:t>
      </w:r>
    </w:p>
    <w:p>
      <w:pPr>
        <w:spacing w:after="0" w:line="252"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During 2021, we completed the acquisitions of various licensees in Europe and North America, for approximately $23 million, plus $22 million for acquired fleet. These investments were in-line with our strategy to re-acquire licensees when advantageous to expand our footprint of Company-operated locations. The acquired fleet was financed under our existing financing arrangements. In connection with these acquisitions, approximately $28 million was recorded to other intangibles related to franchise agreements. The license agreements are being amortized over a weighted average useful life of approximately one year. Differences between the preliminary allocation of purchase price and the final allocation were not material.</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2020</w:t>
      </w:r>
    </w:p>
    <w:p>
      <w:pPr>
        <w:spacing w:after="0" w:line="252"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During 2020, we completed the acquisitions of various licensees in North America and Europe, for approximately $28 million, plus $22 million for acquired fleet. These investments were in-line with our strategy to re-acquire licensees when advantageous to expand our footprint of Company-operated locations. The acquired fleet was financed under our existing arrangements. In connection with these acquisitions, approximately $28 million was recorded in other intangibles related to license agreements. The license agreements are being amortized over a weighted average useful life of approximately two years. Differences between the preliminary allocation of purchase price and the final allocation were not material for Avis and Budget Licensees.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tabs>
          <w:tab w:leader="none" w:pos="380" w:val="left"/>
        </w:tabs>
        <w:rPr>
          <w:sz w:val="20"/>
          <w:szCs w:val="20"/>
          <w:color w:val="auto"/>
        </w:rPr>
      </w:pPr>
      <w:r>
        <w:rPr>
          <w:rFonts w:ascii="Arial" w:cs="Arial" w:eastAsia="Arial" w:hAnsi="Arial"/>
          <w:sz w:val="18"/>
          <w:szCs w:val="18"/>
          <w:b w:val="1"/>
          <w:bCs w:val="1"/>
          <w:color w:val="auto"/>
        </w:rPr>
        <w:t>7.</w:t>
        <w:tab/>
        <w:t>Intangible Assets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consisted of:</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As of December 31, 2022</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As of December 31, 2021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Net Carrying</w:t>
            </w:r>
          </w:p>
        </w:tc>
        <w:tc>
          <w:tcPr>
            <w:tcW w:w="160" w:type="dxa"/>
            <w:vAlign w:val="bottom"/>
          </w:tcPr>
          <w:p>
            <w:pPr>
              <w:spacing w:after="0"/>
              <w:rPr>
                <w:sz w:val="13"/>
                <w:szCs w:val="13"/>
                <w:color w:val="auto"/>
              </w:rPr>
            </w:pPr>
          </w:p>
        </w:tc>
        <w:tc>
          <w:tcPr>
            <w:tcW w:w="9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vMerge w:val="restart"/>
          </w:tcPr>
          <w:p>
            <w:pPr>
              <w:spacing w:after="0"/>
              <w:rPr>
                <w:sz w:val="20"/>
                <w:szCs w:val="20"/>
                <w:color w:val="auto"/>
              </w:rPr>
            </w:pPr>
            <w:r>
              <w:rPr>
                <w:rFonts w:ascii="Arial" w:cs="Arial" w:eastAsia="Arial" w:hAnsi="Arial"/>
                <w:sz w:val="16"/>
                <w:szCs w:val="16"/>
                <w:i w:val="1"/>
                <w:iCs w:val="1"/>
                <w:color w:val="auto"/>
              </w:rPr>
              <w:t>Amortized Intangible Assets</w:t>
            </w:r>
          </w:p>
        </w:tc>
        <w:tc>
          <w:tcPr>
            <w:tcW w:w="160" w:type="dxa"/>
            <w:vAlign w:val="bottom"/>
          </w:tcPr>
          <w:p>
            <w:pPr>
              <w:spacing w:after="0"/>
              <w:rPr>
                <w:sz w:val="18"/>
                <w:szCs w:val="18"/>
                <w:color w:val="auto"/>
              </w:rPr>
            </w:pPr>
          </w:p>
        </w:tc>
        <w:tc>
          <w:tcPr>
            <w:tcW w:w="920" w:type="dxa"/>
            <w:vAlign w:val="bottom"/>
          </w:tcPr>
          <w:p>
            <w:pPr>
              <w:jc w:val="center"/>
              <w:ind w:right="5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194"/>
        </w:trPr>
        <w:tc>
          <w:tcPr>
            <w:tcW w:w="256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560" w:type="dxa"/>
            <w:vAlign w:val="bottom"/>
          </w:tcPr>
          <w:p>
            <w:pPr>
              <w:spacing w:after="0" w:line="218" w:lineRule="exact"/>
              <w:rPr>
                <w:sz w:val="20"/>
                <w:szCs w:val="20"/>
                <w:color w:val="auto"/>
              </w:rPr>
            </w:pPr>
            <w:r>
              <w:rPr>
                <w:rFonts w:ascii="Arial" w:cs="Arial" w:eastAsia="Arial" w:hAnsi="Arial"/>
                <w:sz w:val="16"/>
                <w:szCs w:val="16"/>
                <w:color w:val="auto"/>
              </w:rPr>
              <w:t xml:space="preserve">License agreements </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6"/>
        </w:trPr>
        <w:tc>
          <w:tcPr>
            <w:tcW w:w="2560" w:type="dxa"/>
            <w:vAlign w:val="bottom"/>
          </w:tcPr>
          <w:p>
            <w:pPr>
              <w:spacing w:after="0" w:line="216" w:lineRule="exact"/>
              <w:rPr>
                <w:sz w:val="20"/>
                <w:szCs w:val="20"/>
                <w:color w:val="auto"/>
              </w:rPr>
            </w:pPr>
            <w:r>
              <w:rPr>
                <w:rFonts w:ascii="Arial" w:cs="Arial" w:eastAsia="Arial" w:hAnsi="Arial"/>
                <w:sz w:val="16"/>
                <w:szCs w:val="16"/>
                <w:color w:val="auto"/>
              </w:rPr>
              <w:t xml:space="preserve">Customer relationships </w:t>
            </w:r>
            <w:r>
              <w:rPr>
                <w:rFonts w:ascii="Arial" w:cs="Arial" w:eastAsia="Arial" w:hAnsi="Arial"/>
                <w:sz w:val="21"/>
                <w:szCs w:val="21"/>
                <w:color w:val="auto"/>
                <w:vertAlign w:val="superscript"/>
              </w:rPr>
              <w:t>(b)</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7"/>
        </w:trPr>
        <w:tc>
          <w:tcPr>
            <w:tcW w:w="2560" w:type="dxa"/>
            <w:vAlign w:val="bottom"/>
          </w:tcPr>
          <w:p>
            <w:pPr>
              <w:spacing w:after="0" w:line="217"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(c)</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8"/>
        </w:trPr>
        <w:tc>
          <w:tcPr>
            <w:tcW w:w="25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2"/>
        </w:trPr>
        <w:tc>
          <w:tcPr>
            <w:tcW w:w="2560" w:type="dxa"/>
            <w:vAlign w:val="bottom"/>
            <w:vMerge w:val="restart"/>
          </w:tcPr>
          <w:p>
            <w:pPr>
              <w:spacing w:after="0"/>
              <w:rPr>
                <w:sz w:val="20"/>
                <w:szCs w:val="20"/>
                <w:color w:val="auto"/>
              </w:rPr>
            </w:pPr>
            <w:r>
              <w:rPr>
                <w:rFonts w:ascii="Arial" w:cs="Arial" w:eastAsia="Arial" w:hAnsi="Arial"/>
                <w:sz w:val="16"/>
                <w:szCs w:val="16"/>
                <w:i w:val="1"/>
                <w:iCs w:val="1"/>
                <w:color w:val="auto"/>
              </w:rPr>
              <w:t>Unamortized Intangible Assets</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7"/>
        </w:trPr>
        <w:tc>
          <w:tcPr>
            <w:tcW w:w="2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560" w:type="dxa"/>
            <w:vAlign w:val="bottom"/>
          </w:tcPr>
          <w:p>
            <w:pPr>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560" w:type="dxa"/>
            <w:vAlign w:val="bottom"/>
          </w:tcPr>
          <w:p>
            <w:pPr>
              <w:spacing w:after="0"/>
              <w:rPr>
                <w:sz w:val="20"/>
                <w:szCs w:val="20"/>
                <w:color w:val="auto"/>
              </w:rPr>
            </w:pPr>
            <w:r>
              <w:rPr>
                <w:rFonts w:ascii="Arial" w:cs="Arial" w:eastAsia="Arial" w:hAnsi="Arial"/>
                <w:sz w:val="16"/>
                <w:szCs w:val="16"/>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ind w:left="820" w:hanging="326"/>
        <w:spacing w:after="0" w:line="219" w:lineRule="auto"/>
        <w:tabs>
          <w:tab w:leader="none" w:pos="820"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Primarily amortized over a period ranging from 0 to 40 years with a weighted average life of 16 years.</w:t>
      </w:r>
    </w:p>
    <w:p>
      <w:pPr>
        <w:ind w:left="820" w:hanging="326"/>
        <w:spacing w:after="0" w:line="192" w:lineRule="auto"/>
        <w:tabs>
          <w:tab w:leader="none" w:pos="820"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Primarily amortized over a period ranging from 3 to 20 years with a weighted average life of 12 years.</w:t>
      </w:r>
    </w:p>
    <w:p>
      <w:pPr>
        <w:ind w:left="800" w:hanging="306"/>
        <w:spacing w:after="0" w:line="193" w:lineRule="auto"/>
        <w:tabs>
          <w:tab w:leader="none" w:pos="800"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Primarily amortized over a period ranging from 2 to 10 years with a weighted average life of 9 years.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relating to all intangible assets was as follows:</w:t>
      </w:r>
    </w:p>
    <w:p>
      <w:pPr>
        <w:spacing w:after="0" w:line="50"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5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40" w:type="dxa"/>
            <w:vAlign w:val="bottom"/>
            <w:vMerge w:val="restart"/>
          </w:tcPr>
          <w:p>
            <w:pPr>
              <w:spacing w:after="0"/>
              <w:rPr>
                <w:sz w:val="20"/>
                <w:szCs w:val="20"/>
                <w:color w:val="auto"/>
              </w:rPr>
            </w:pPr>
            <w:r>
              <w:rPr>
                <w:rFonts w:ascii="Arial" w:cs="Arial" w:eastAsia="Arial" w:hAnsi="Arial"/>
                <w:sz w:val="18"/>
                <w:szCs w:val="18"/>
                <w:color w:val="auto"/>
              </w:rPr>
              <w:t>License agreements</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8"/>
        </w:trPr>
        <w:tc>
          <w:tcPr>
            <w:tcW w:w="5540" w:type="dxa"/>
            <w:vAlign w:val="bottom"/>
            <w:vMerge w:val="continue"/>
          </w:tcPr>
          <w:p>
            <w:pPr>
              <w:spacing w:after="0"/>
              <w:rPr>
                <w:sz w:val="18"/>
                <w:szCs w:val="18"/>
                <w:color w:val="auto"/>
              </w:rPr>
            </w:pP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5"/>
        </w:trPr>
        <w:tc>
          <w:tcPr>
            <w:tcW w:w="554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Based on our amortizable intangible assets at December 31, 2022, we expect related amortization expense of approximately $27 million for 2023, $22 million for 2024, $16 million for 2025, $15 million for 2026 and $12 million for 2027 excluding effects of currency exchange rates.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of goodwill and related changes are as follows:</w:t>
      </w:r>
    </w:p>
    <w:p>
      <w:pPr>
        <w:spacing w:after="0" w:line="50"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540" w:type="dxa"/>
            <w:vAlign w:val="bottom"/>
            <w:vMerge w:val="restart"/>
          </w:tcPr>
          <w:p>
            <w:pPr>
              <w:spacing w:after="0"/>
              <w:rPr>
                <w:sz w:val="20"/>
                <w:szCs w:val="20"/>
                <w:color w:val="auto"/>
              </w:rPr>
            </w:pPr>
            <w:r>
              <w:rPr>
                <w:rFonts w:ascii="Arial" w:cs="Arial" w:eastAsia="Arial" w:hAnsi="Arial"/>
                <w:sz w:val="18"/>
                <w:szCs w:val="18"/>
                <w:color w:val="auto"/>
              </w:rPr>
              <w:t>Goodwill as of January 1, 2021</w:t>
            </w:r>
          </w:p>
        </w:tc>
        <w:tc>
          <w:tcPr>
            <w:tcW w:w="22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Americas</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International</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Total Company</w:t>
            </w:r>
          </w:p>
        </w:tc>
        <w:tc>
          <w:tcPr>
            <w:tcW w:w="0" w:type="dxa"/>
            <w:vAlign w:val="bottom"/>
          </w:tcPr>
          <w:p>
            <w:pPr>
              <w:spacing w:after="0"/>
              <w:rPr>
                <w:sz w:val="1"/>
                <w:szCs w:val="1"/>
                <w:color w:val="auto"/>
              </w:rPr>
            </w:pPr>
          </w:p>
        </w:tc>
      </w:tr>
      <w:tr>
        <w:trPr>
          <w:trHeight w:val="218"/>
        </w:trPr>
        <w:tc>
          <w:tcPr>
            <w:tcW w:w="554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center"/>
              <w:ind w:left="270"/>
              <w:spacing w:after="0"/>
              <w:rPr>
                <w:sz w:val="20"/>
                <w:szCs w:val="20"/>
                <w:color w:val="auto"/>
              </w:rPr>
            </w:pPr>
            <w:r>
              <w:rPr>
                <w:rFonts w:ascii="Arial" w:cs="Arial" w:eastAsia="Arial" w:hAnsi="Arial"/>
                <w:sz w:val="18"/>
                <w:szCs w:val="18"/>
                <w:color w:val="auto"/>
                <w:w w:val="97"/>
              </w:rPr>
              <w:t>3,255</w:t>
            </w:r>
          </w:p>
        </w:tc>
        <w:tc>
          <w:tcPr>
            <w:tcW w:w="0" w:type="dxa"/>
            <w:vAlign w:val="bottom"/>
          </w:tcPr>
          <w:p>
            <w:pPr>
              <w:spacing w:after="0"/>
              <w:rPr>
                <w:sz w:val="1"/>
                <w:szCs w:val="1"/>
                <w:color w:val="auto"/>
              </w:rPr>
            </w:pPr>
          </w:p>
        </w:tc>
      </w:tr>
      <w:tr>
        <w:trPr>
          <w:trHeight w:val="235"/>
        </w:trPr>
        <w:tc>
          <w:tcPr>
            <w:tcW w:w="5540" w:type="dxa"/>
            <w:vAlign w:val="bottom"/>
          </w:tcPr>
          <w:p>
            <w:pPr>
              <w:ind w:left="200"/>
              <w:spacing w:after="0"/>
              <w:rPr>
                <w:sz w:val="20"/>
                <w:szCs w:val="20"/>
                <w:color w:val="auto"/>
              </w:rPr>
            </w:pPr>
            <w:r>
              <w:rPr>
                <w:rFonts w:ascii="Arial" w:cs="Arial" w:eastAsia="Arial" w:hAnsi="Arial"/>
                <w:sz w:val="18"/>
                <w:szCs w:val="18"/>
                <w:color w:val="auto"/>
              </w:rPr>
              <w:t>Accumulated impairment losses as of January 1, 2021</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8"/>
              </w:rPr>
              <w:t>(2,118)</w:t>
            </w:r>
          </w:p>
        </w:tc>
        <w:tc>
          <w:tcPr>
            <w:tcW w:w="0" w:type="dxa"/>
            <w:vAlign w:val="bottom"/>
          </w:tcPr>
          <w:p>
            <w:pPr>
              <w:spacing w:after="0"/>
              <w:rPr>
                <w:sz w:val="1"/>
                <w:szCs w:val="1"/>
                <w:color w:val="auto"/>
              </w:rPr>
            </w:pPr>
          </w:p>
        </w:tc>
      </w:tr>
      <w:tr>
        <w:trPr>
          <w:trHeight w:val="218"/>
        </w:trPr>
        <w:tc>
          <w:tcPr>
            <w:tcW w:w="5540" w:type="dxa"/>
            <w:vAlign w:val="bottom"/>
          </w:tcPr>
          <w:p>
            <w:pPr>
              <w:spacing w:after="0"/>
              <w:rPr>
                <w:sz w:val="20"/>
                <w:szCs w:val="20"/>
                <w:color w:val="auto"/>
              </w:rPr>
            </w:pPr>
            <w:r>
              <w:rPr>
                <w:rFonts w:ascii="Arial" w:cs="Arial" w:eastAsia="Arial" w:hAnsi="Arial"/>
                <w:sz w:val="18"/>
                <w:szCs w:val="18"/>
                <w:color w:val="auto"/>
              </w:rPr>
              <w:t>Goodwill as of January 1, 2021</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center"/>
              <w:ind w:left="270"/>
              <w:spacing w:after="0"/>
              <w:rPr>
                <w:sz w:val="20"/>
                <w:szCs w:val="20"/>
                <w:color w:val="auto"/>
              </w:rPr>
            </w:pPr>
            <w:r>
              <w:rPr>
                <w:rFonts w:ascii="Arial" w:cs="Arial" w:eastAsia="Arial" w:hAnsi="Arial"/>
                <w:sz w:val="18"/>
                <w:szCs w:val="18"/>
                <w:color w:val="auto"/>
                <w:w w:val="97"/>
              </w:rPr>
              <w:t>1,137</w:t>
            </w:r>
          </w:p>
        </w:tc>
        <w:tc>
          <w:tcPr>
            <w:tcW w:w="0" w:type="dxa"/>
            <w:vAlign w:val="bottom"/>
          </w:tcPr>
          <w:p>
            <w:pPr>
              <w:spacing w:after="0"/>
              <w:rPr>
                <w:sz w:val="1"/>
                <w:szCs w:val="1"/>
                <w:color w:val="auto"/>
              </w:rPr>
            </w:pPr>
          </w:p>
        </w:tc>
      </w:tr>
      <w:tr>
        <w:trPr>
          <w:trHeight w:val="235"/>
        </w:trPr>
        <w:tc>
          <w:tcPr>
            <w:tcW w:w="5540" w:type="dxa"/>
            <w:vAlign w:val="bottom"/>
          </w:tcPr>
          <w:p>
            <w:pPr>
              <w:ind w:left="200"/>
              <w:spacing w:after="0"/>
              <w:rPr>
                <w:sz w:val="20"/>
                <w:szCs w:val="20"/>
                <w:color w:val="auto"/>
              </w:rPr>
            </w:pPr>
            <w:r>
              <w:rPr>
                <w:rFonts w:ascii="Arial" w:cs="Arial" w:eastAsia="Arial" w:hAnsi="Arial"/>
                <w:sz w:val="18"/>
                <w:szCs w:val="18"/>
                <w:color w:val="auto"/>
              </w:rPr>
              <w:t>Currency translation adjustments and other</w:t>
            </w:r>
          </w:p>
        </w:tc>
        <w:tc>
          <w:tcPr>
            <w:tcW w:w="2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8"/>
        </w:trPr>
        <w:tc>
          <w:tcPr>
            <w:tcW w:w="5540" w:type="dxa"/>
            <w:vAlign w:val="bottom"/>
          </w:tcPr>
          <w:p>
            <w:pPr>
              <w:spacing w:after="0"/>
              <w:rPr>
                <w:sz w:val="20"/>
                <w:szCs w:val="20"/>
                <w:color w:val="auto"/>
              </w:rPr>
            </w:pPr>
            <w:r>
              <w:rPr>
                <w:rFonts w:ascii="Arial" w:cs="Arial" w:eastAsia="Arial" w:hAnsi="Arial"/>
                <w:sz w:val="18"/>
                <w:szCs w:val="18"/>
                <w:color w:val="auto"/>
              </w:rPr>
              <w:t>Goodwill as of December 31, 2021</w:t>
            </w: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left="270"/>
              <w:spacing w:after="0"/>
              <w:rPr>
                <w:sz w:val="20"/>
                <w:szCs w:val="20"/>
                <w:color w:val="auto"/>
              </w:rPr>
            </w:pPr>
            <w:r>
              <w:rPr>
                <w:rFonts w:ascii="Arial" w:cs="Arial" w:eastAsia="Arial" w:hAnsi="Arial"/>
                <w:sz w:val="18"/>
                <w:szCs w:val="18"/>
                <w:color w:val="auto"/>
                <w:w w:val="97"/>
              </w:rPr>
              <w:t>1,108</w:t>
            </w:r>
          </w:p>
        </w:tc>
        <w:tc>
          <w:tcPr>
            <w:tcW w:w="0" w:type="dxa"/>
            <w:vAlign w:val="bottom"/>
          </w:tcPr>
          <w:p>
            <w:pPr>
              <w:spacing w:after="0"/>
              <w:rPr>
                <w:sz w:val="1"/>
                <w:szCs w:val="1"/>
                <w:color w:val="auto"/>
              </w:rPr>
            </w:pPr>
          </w:p>
        </w:tc>
      </w:tr>
      <w:tr>
        <w:trPr>
          <w:trHeight w:val="235"/>
        </w:trPr>
        <w:tc>
          <w:tcPr>
            <w:tcW w:w="5540" w:type="dxa"/>
            <w:vAlign w:val="bottom"/>
          </w:tcPr>
          <w:p>
            <w:pPr>
              <w:ind w:left="200"/>
              <w:spacing w:after="0"/>
              <w:rPr>
                <w:sz w:val="20"/>
                <w:szCs w:val="20"/>
                <w:color w:val="auto"/>
              </w:rPr>
            </w:pPr>
            <w:r>
              <w:rPr>
                <w:rFonts w:ascii="Arial" w:cs="Arial" w:eastAsia="Arial" w:hAnsi="Arial"/>
                <w:sz w:val="18"/>
                <w:szCs w:val="18"/>
                <w:color w:val="auto"/>
              </w:rPr>
              <w:t>Currency translation adjustments and other</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Goodwill as of December 31, 2022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7"/>
              </w:rPr>
              <w:t>1,070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0" w:hanging="342"/>
        <w:spacing w:after="0"/>
        <w:tabs>
          <w:tab w:leader="none" w:pos="4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vehicles, net within assets under vehicle programs are as follows:</w:t>
      </w:r>
    </w:p>
    <w:p>
      <w:pPr>
        <w:spacing w:after="0" w:line="212" w:lineRule="exact"/>
        <w:rPr>
          <w:sz w:val="20"/>
          <w:szCs w:val="20"/>
          <w:color w:val="auto"/>
        </w:rPr>
      </w:pPr>
    </w:p>
    <w:tbl>
      <w:tblPr>
        <w:tblLayout w:type="fixed"/>
        <w:tblInd w:w="500" w:type="dxa"/>
        <w:tblCellMar>
          <w:top w:w="0" w:type="dxa"/>
          <w:left w:w="0" w:type="dxa"/>
          <w:bottom w:w="0" w:type="dxa"/>
          <w:right w:w="0" w:type="dxa"/>
        </w:tblCellMar>
      </w:tblPr>
      <w:tr>
        <w:trPr>
          <w:trHeight w:val="235"/>
        </w:trPr>
        <w:tc>
          <w:tcPr>
            <w:tcW w:w="5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720" w:type="dxa"/>
            <w:vAlign w:val="bottom"/>
            <w:vMerge w:val="restart"/>
          </w:tcPr>
          <w:p>
            <w:pPr>
              <w:ind w:left="20"/>
              <w:spacing w:after="0"/>
              <w:rPr>
                <w:sz w:val="20"/>
                <w:szCs w:val="20"/>
                <w:color w:val="auto"/>
              </w:rPr>
            </w:pPr>
            <w:r>
              <w:rPr>
                <w:rFonts w:ascii="Arial" w:cs="Arial" w:eastAsia="Arial" w:hAnsi="Arial"/>
                <w:sz w:val="18"/>
                <w:szCs w:val="18"/>
                <w:color w:val="auto"/>
              </w:rPr>
              <w:t>Rental vehicles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57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17,819</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14,612</w:t>
            </w:r>
          </w:p>
        </w:tc>
        <w:tc>
          <w:tcPr>
            <w:tcW w:w="0" w:type="dxa"/>
            <w:vAlign w:val="bottom"/>
          </w:tcPr>
          <w:p>
            <w:pPr>
              <w:spacing w:after="0"/>
              <w:rPr>
                <w:sz w:val="1"/>
                <w:szCs w:val="1"/>
                <w:color w:val="auto"/>
              </w:rPr>
            </w:pPr>
          </w:p>
        </w:tc>
      </w:tr>
      <w:tr>
        <w:trPr>
          <w:trHeight w:val="235"/>
        </w:trPr>
        <w:tc>
          <w:tcPr>
            <w:tcW w:w="572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8"/>
        </w:trPr>
        <w:tc>
          <w:tcPr>
            <w:tcW w:w="5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12,701</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Vehicles held for sale</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5"/>
        </w:trPr>
        <w:tc>
          <w:tcPr>
            <w:tcW w:w="5720" w:type="dxa"/>
            <w:vAlign w:val="bottom"/>
          </w:tcPr>
          <w:p>
            <w:pPr>
              <w:ind w:left="20"/>
              <w:spacing w:after="0"/>
              <w:rPr>
                <w:sz w:val="20"/>
                <w:szCs w:val="20"/>
                <w:color w:val="auto"/>
              </w:rPr>
            </w:pPr>
            <w:r>
              <w:rPr>
                <w:rFonts w:ascii="Arial" w:cs="Arial" w:eastAsia="Arial" w:hAnsi="Arial"/>
                <w:sz w:val="18"/>
                <w:szCs w:val="18"/>
                <w:color w:val="auto"/>
              </w:rPr>
              <w:t>Vehicles, net investment in lease</w:t>
            </w:r>
            <w:r>
              <w:rPr>
                <w:rFonts w:ascii="Arial" w:cs="Arial" w:eastAsia="Arial" w:hAnsi="Arial"/>
                <w:sz w:val="10"/>
                <w:szCs w:val="10"/>
                <w:color w:val="auto"/>
              </w:rPr>
              <w:t>(a)</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Vehicles, net</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12,866</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6"/>
                <w:szCs w:val="16"/>
                <w:color w:val="auto"/>
              </w:rPr>
              <w:t>_______</w:t>
            </w: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5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720" w:type="dxa"/>
            <w:vAlign w:val="bottom"/>
          </w:tcPr>
          <w:p>
            <w:pPr>
              <w:spacing w:after="0"/>
              <w:rPr>
                <w:sz w:val="20"/>
                <w:szCs w:val="20"/>
                <w:color w:val="auto"/>
              </w:rPr>
            </w:pPr>
            <w:r>
              <w:rPr>
                <w:rFonts w:ascii="Arial" w:cs="Arial" w:eastAsia="Arial" w:hAnsi="Arial"/>
                <w:sz w:val="21"/>
                <w:szCs w:val="21"/>
                <w:color w:val="auto"/>
                <w:vertAlign w:val="superscript"/>
              </w:rPr>
              <w:t>(a)</w:t>
            </w:r>
            <w:r>
              <w:rPr>
                <w:rFonts w:ascii="Arial" w:cs="Arial" w:eastAsia="Arial" w:hAnsi="Arial"/>
                <w:sz w:val="16"/>
                <w:szCs w:val="16"/>
                <w:color w:val="auto"/>
              </w:rPr>
              <w:t>See Note 17 – Related Party Transactions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220" w:type="dxa"/>
            <w:vAlign w:val="bottom"/>
            <w:gridSpan w:val="4"/>
          </w:tcPr>
          <w:p>
            <w:pPr>
              <w:spacing w:after="0"/>
              <w:rPr>
                <w:sz w:val="20"/>
                <w:szCs w:val="20"/>
                <w:color w:val="auto"/>
              </w:rPr>
            </w:pPr>
            <w:r>
              <w:rPr>
                <w:rFonts w:ascii="Arial" w:cs="Arial" w:eastAsia="Arial" w:hAnsi="Arial"/>
                <w:sz w:val="18"/>
                <w:szCs w:val="18"/>
                <w:color w:val="auto"/>
              </w:rPr>
              <w:t>The components of vehicle depreciation and lease charges, net are summarized below:</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7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20" w:type="dxa"/>
            <w:vAlign w:val="bottom"/>
            <w:vMerge w:val="restart"/>
          </w:tcPr>
          <w:p>
            <w:pPr>
              <w:ind w:left="20"/>
              <w:spacing w:after="0"/>
              <w:rPr>
                <w:sz w:val="20"/>
                <w:szCs w:val="20"/>
                <w:color w:val="auto"/>
              </w:rPr>
            </w:pPr>
            <w:r>
              <w:rPr>
                <w:rFonts w:ascii="Arial" w:cs="Arial" w:eastAsia="Arial" w:hAnsi="Arial"/>
                <w:sz w:val="18"/>
                <w:szCs w:val="18"/>
                <w:color w:val="auto"/>
              </w:rPr>
              <w:t>Depreciation expense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8"/>
        </w:trPr>
        <w:tc>
          <w:tcPr>
            <w:tcW w:w="5720" w:type="dxa"/>
            <w:vAlign w:val="bottom"/>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Lease charges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5"/>
        </w:trPr>
        <w:tc>
          <w:tcPr>
            <w:tcW w:w="5720" w:type="dxa"/>
            <w:vAlign w:val="bottom"/>
          </w:tcPr>
          <w:p>
            <w:pPr>
              <w:ind w:left="20"/>
              <w:spacing w:after="0"/>
              <w:rPr>
                <w:sz w:val="20"/>
                <w:szCs w:val="20"/>
                <w:color w:val="auto"/>
              </w:rPr>
            </w:pPr>
            <w:r>
              <w:rPr>
                <w:rFonts w:ascii="Arial" w:cs="Arial" w:eastAsia="Arial" w:hAnsi="Arial"/>
                <w:sz w:val="18"/>
                <w:szCs w:val="18"/>
                <w:color w:val="auto"/>
              </w:rPr>
              <w:t>(Gain) loss on sale of vehicles, net</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At December 31, 2022, 2021 and 2020, we had payables related to vehicle purchases included in liabilities under vehicle programs - other of $265 million, $142 million and $232 million, respectively, and receivables related to vehicle sales included in assets under vehicle programs - receivables from vehicle manufacturers and other of $212 million, $134 million and $162 million, respectively.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6240" w:type="dxa"/>
            <w:vAlign w:val="bottom"/>
            <w:gridSpan w:val="2"/>
          </w:tcPr>
          <w:p>
            <w:pPr>
              <w:ind w:left="60"/>
              <w:spacing w:after="0"/>
              <w:rPr>
                <w:sz w:val="20"/>
                <w:szCs w:val="20"/>
                <w:color w:val="auto"/>
              </w:rPr>
            </w:pPr>
            <w:r>
              <w:rPr>
                <w:rFonts w:ascii="Arial" w:cs="Arial" w:eastAsia="Arial" w:hAnsi="Arial"/>
                <w:sz w:val="18"/>
                <w:szCs w:val="18"/>
                <w:b w:val="1"/>
                <w:bCs w:val="1"/>
                <w:color w:val="auto"/>
              </w:rPr>
              <w:t>9.  Income Taxes</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240" w:type="dxa"/>
            <w:vAlign w:val="bottom"/>
            <w:gridSpan w:val="2"/>
          </w:tcPr>
          <w:p>
            <w:pPr>
              <w:ind w:left="500"/>
              <w:spacing w:after="0"/>
              <w:rPr>
                <w:sz w:val="20"/>
                <w:szCs w:val="20"/>
                <w:color w:val="auto"/>
              </w:rPr>
            </w:pPr>
            <w:r>
              <w:rPr>
                <w:rFonts w:ascii="Arial" w:cs="Arial" w:eastAsia="Arial" w:hAnsi="Arial"/>
                <w:sz w:val="18"/>
                <w:szCs w:val="18"/>
                <w:color w:val="auto"/>
              </w:rPr>
              <w:t>The provision for (benefit from) income taxes consists of the following:</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40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4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Current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4"/>
        </w:trPr>
        <w:tc>
          <w:tcPr>
            <w:tcW w:w="624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Federal</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5"/>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Current income tax provision</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20"/>
        </w:trPr>
        <w:tc>
          <w:tcPr>
            <w:tcW w:w="6240" w:type="dxa"/>
            <w:vAlign w:val="bottom"/>
            <w:gridSpan w:val="2"/>
          </w:tcPr>
          <w:p>
            <w:pPr>
              <w:ind w:left="520"/>
              <w:spacing w:after="0"/>
              <w:rPr>
                <w:sz w:val="20"/>
                <w:szCs w:val="20"/>
                <w:color w:val="auto"/>
              </w:rPr>
            </w:pPr>
            <w:r>
              <w:rPr>
                <w:rFonts w:ascii="Arial" w:cs="Arial" w:eastAsia="Arial" w:hAnsi="Arial"/>
                <w:sz w:val="18"/>
                <w:szCs w:val="18"/>
                <w:b w:val="1"/>
                <w:bCs w:val="1"/>
                <w:color w:val="auto"/>
              </w:rPr>
              <w:t>Deferred</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Federal</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5"/>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Deferred income tax provision (benefit)</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3"/>
        </w:trPr>
        <w:tc>
          <w:tcPr>
            <w:tcW w:w="6240" w:type="dxa"/>
            <w:vAlign w:val="bottom"/>
            <w:gridSpan w:val="2"/>
          </w:tcPr>
          <w:p>
            <w:pPr>
              <w:ind w:left="520"/>
              <w:spacing w:after="0"/>
              <w:rPr>
                <w:sz w:val="20"/>
                <w:szCs w:val="20"/>
                <w:color w:val="auto"/>
              </w:rPr>
            </w:pPr>
            <w:r>
              <w:rPr>
                <w:rFonts w:ascii="Arial" w:cs="Arial" w:eastAsia="Arial" w:hAnsi="Arial"/>
                <w:sz w:val="18"/>
                <w:szCs w:val="18"/>
                <w:color w:val="auto"/>
              </w:rPr>
              <w:t>Provision for (benefit from) income taxes</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(loss) before income taxes is comprised of the following:</w:t>
      </w:r>
    </w:p>
    <w:p>
      <w:pPr>
        <w:spacing w:after="0" w:line="50" w:lineRule="exact"/>
        <w:rPr>
          <w:sz w:val="20"/>
          <w:szCs w:val="20"/>
          <w:color w:val="auto"/>
        </w:rPr>
      </w:pPr>
    </w:p>
    <w:tbl>
      <w:tblPr>
        <w:tblLayout w:type="fixed"/>
        <w:tblInd w:w="500" w:type="dxa"/>
        <w:tblCellMar>
          <w:top w:w="0" w:type="dxa"/>
          <w:left w:w="0" w:type="dxa"/>
          <w:bottom w:w="0" w:type="dxa"/>
          <w:right w:w="0" w:type="dxa"/>
        </w:tblCellMar>
      </w:tblPr>
      <w:tr>
        <w:trPr>
          <w:trHeight w:val="235"/>
        </w:trPr>
        <w:tc>
          <w:tcPr>
            <w:tcW w:w="5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8"/>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vMerge w:val="restart"/>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8"/>
        </w:trPr>
        <w:tc>
          <w:tcPr>
            <w:tcW w:w="574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35"/>
        </w:trPr>
        <w:tc>
          <w:tcPr>
            <w:tcW w:w="5740" w:type="dxa"/>
            <w:vAlign w:val="bottom"/>
          </w:tcPr>
          <w:p>
            <w:pPr>
              <w:ind w:left="2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344"/>
        </w:trPr>
        <w:tc>
          <w:tcPr>
            <w:tcW w:w="57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3,636</w:t>
            </w: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Deferred income tax assets, net is comprised of the following: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8"/>
        </w:trPr>
        <w:tc>
          <w:tcPr>
            <w:tcW w:w="5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7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Deferred income tax assets: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4"/>
        </w:trPr>
        <w:tc>
          <w:tcPr>
            <w:tcW w:w="57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Net tax loss carryforwards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Accrued liabilities and deferred revenue</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Tax credits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5"/>
        </w:trPr>
        <w:tc>
          <w:tcPr>
            <w:tcW w:w="5740" w:type="dxa"/>
            <w:vAlign w:val="bottom"/>
          </w:tcPr>
          <w:p>
            <w:pPr>
              <w:ind w:left="220"/>
              <w:spacing w:after="0" w:line="235" w:lineRule="exact"/>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23"/>
                <w:szCs w:val="23"/>
                <w:color w:val="auto"/>
                <w:vertAlign w:val="superscript"/>
              </w:rPr>
              <w:t>(a)</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366"/>
        </w:trPr>
        <w:tc>
          <w:tcPr>
            <w:tcW w:w="5740" w:type="dxa"/>
            <w:vAlign w:val="bottom"/>
          </w:tcPr>
          <w:p>
            <w:pPr>
              <w:ind w:left="20"/>
              <w:spacing w:after="0"/>
              <w:rPr>
                <w:sz w:val="20"/>
                <w:szCs w:val="20"/>
                <w:color w:val="auto"/>
              </w:rPr>
            </w:pPr>
            <w:r>
              <w:rPr>
                <w:rFonts w:ascii="Arial" w:cs="Arial" w:eastAsia="Arial" w:hAnsi="Arial"/>
                <w:sz w:val="18"/>
                <w:szCs w:val="18"/>
                <w:i w:val="1"/>
                <w:iCs w:val="1"/>
                <w:color w:val="auto"/>
              </w:rPr>
              <w:t>Deferred income tax liabilities: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5"/>
        </w:trPr>
        <w:tc>
          <w:tcPr>
            <w:tcW w:w="5740" w:type="dxa"/>
            <w:vAlign w:val="bottom"/>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Deferred income tax assets, net</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200" w:lineRule="exact"/>
        <w:rPr>
          <w:sz w:val="20"/>
          <w:szCs w:val="20"/>
          <w:color w:val="auto"/>
        </w:rPr>
      </w:pPr>
    </w:p>
    <w:p>
      <w:pPr>
        <w:spacing w:after="0" w:line="39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08" w:right="91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820" w:hanging="326"/>
        <w:spacing w:after="0" w:line="242" w:lineRule="auto"/>
        <w:tabs>
          <w:tab w:leader="none" w:pos="872" w:val="left"/>
        </w:tabs>
        <w:numPr>
          <w:ilvl w:val="0"/>
          <w:numId w:val="42"/>
        </w:numPr>
        <w:rPr>
          <w:rFonts w:ascii="Arial" w:cs="Arial" w:eastAsia="Arial" w:hAnsi="Arial"/>
          <w:sz w:val="21"/>
          <w:szCs w:val="21"/>
          <w:color w:val="auto"/>
          <w:vertAlign w:val="superscript"/>
        </w:rPr>
      </w:pPr>
      <w:r>
        <w:rPr>
          <w:rFonts w:ascii="Arial" w:cs="Arial" w:eastAsia="Arial" w:hAnsi="Arial"/>
          <w:sz w:val="14"/>
          <w:szCs w:val="14"/>
          <w:color w:val="auto"/>
        </w:rPr>
        <w:t>The valuation allowance of $101 million at December 31, 2022 relates to tax loss carryforwards and certain deferred tax assets of $97 million and $4 million, respectively. The valuation allowance of $167 million at December 31, 2021 relates to tax loss carryforwards and certain deferred tax assets of $163 million and $4 million, respectively. The valuation allowances will be reduced when and if we determine it is more likely than not that the related deferred income tax assets will be realized. The decrease in valuation allowance as compared to the year ended December 31, 2021 is primarily related to a release of valuation allowance for certain state net operating losses.</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income tax assets and liabilities related to vehicle programs are comprised of the following:</w:t>
      </w:r>
    </w:p>
    <w:p>
      <w:pPr>
        <w:spacing w:after="0" w:line="293"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200" w:type="dxa"/>
            <w:vAlign w:val="bottom"/>
            <w:vMerge w:val="restart"/>
          </w:tcPr>
          <w:p>
            <w:pPr>
              <w:spacing w:after="0"/>
              <w:rPr>
                <w:sz w:val="20"/>
                <w:szCs w:val="20"/>
                <w:color w:val="auto"/>
              </w:rPr>
            </w:pPr>
            <w:r>
              <w:rPr>
                <w:rFonts w:ascii="Arial" w:cs="Arial" w:eastAsia="Arial" w:hAnsi="Arial"/>
                <w:sz w:val="18"/>
                <w:szCs w:val="18"/>
                <w:i w:val="1"/>
                <w:iCs w:val="1"/>
                <w:color w:val="auto"/>
              </w:rPr>
              <w:t>Deferred income tax assets: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4"/>
        </w:trPr>
        <w:tc>
          <w:tcPr>
            <w:tcW w:w="72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5"/>
        </w:trPr>
        <w:tc>
          <w:tcPr>
            <w:tcW w:w="7200" w:type="dxa"/>
            <w:vAlign w:val="bottom"/>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Deferred income tax assets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420"/>
        </w:trPr>
        <w:tc>
          <w:tcPr>
            <w:tcW w:w="7200" w:type="dxa"/>
            <w:vAlign w:val="bottom"/>
          </w:tcPr>
          <w:p>
            <w:pPr>
              <w:spacing w:after="0"/>
              <w:rPr>
                <w:sz w:val="20"/>
                <w:szCs w:val="20"/>
                <w:color w:val="auto"/>
              </w:rPr>
            </w:pPr>
            <w:r>
              <w:rPr>
                <w:rFonts w:ascii="Arial" w:cs="Arial" w:eastAsia="Arial" w:hAnsi="Arial"/>
                <w:sz w:val="18"/>
                <w:szCs w:val="18"/>
                <w:i w:val="1"/>
                <w:iCs w:val="1"/>
                <w:color w:val="auto"/>
              </w:rPr>
              <w:t>Deferred income tax liabilities: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35"/>
        </w:trPr>
        <w:tc>
          <w:tcPr>
            <w:tcW w:w="7200" w:type="dxa"/>
            <w:vAlign w:val="bottom"/>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b w:val="1"/>
                <w:bCs w:val="1"/>
                <w:color w:val="auto"/>
              </w:rPr>
              <w:t>Deferred income tax liabilities under vehicle programs,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At December 31, 2022, we had U.S. federal net operating loss carryforwards of approximately $3.6 billion. The majority of the net operating loss carryforwards have an indefinite utilization period pursuant to the Tax Act and a significant remaining portion expires by 2031. Such net operating loss carryforwards are primarily related to accelerated depreciation of our U.S. vehicles. Currently, we do not record valuation allowances on the majority of our U.S. federal tax loss carryforwards as there are adequate deferred tax liabilities that could be realized within the carryforward period. At December 31, 2022, we had foreign net operating loss carryforwards of approximately $1.1 billion, the majority of which has an indefinite utilization period.</w:t>
      </w:r>
    </w:p>
    <w:p>
      <w:pPr>
        <w:spacing w:after="0" w:line="128"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At December 31, 2022, we had undistributed earnings of certain foreign subsidiaries of approximately $1.2 billion that we have indefinitely reinvested, and on which we have not recognized deferred taxes. Estimating the amount of potential tax is not practicable because of the complexity and variety of assumptions necessary to compute the tax.</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reconciliation between the U.S. federal income tax statutory rate and our effective income tax rate is as follows:</w:t>
      </w:r>
    </w:p>
    <w:p>
      <w:pPr>
        <w:spacing w:after="0" w:line="50"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460" w:type="dxa"/>
            <w:vAlign w:val="bottom"/>
          </w:tcPr>
          <w:p>
            <w:pPr>
              <w:spacing w:after="0"/>
              <w:rPr>
                <w:sz w:val="20"/>
                <w:szCs w:val="20"/>
                <w:color w:val="auto"/>
              </w:rPr>
            </w:pPr>
          </w:p>
        </w:tc>
        <w:tc>
          <w:tcPr>
            <w:tcW w:w="3580" w:type="dxa"/>
            <w:vAlign w:val="bottom"/>
            <w:tcBorders>
              <w:bottom w:val="single" w:sz="8" w:color="auto"/>
            </w:tcBorders>
            <w:gridSpan w:val="5"/>
          </w:tcPr>
          <w:p>
            <w:pPr>
              <w:ind w:left="124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vMerge w:val="restart"/>
          </w:tcPr>
          <w:p>
            <w:pPr>
              <w:spacing w:after="0"/>
              <w:rPr>
                <w:sz w:val="20"/>
                <w:szCs w:val="20"/>
                <w:color w:val="auto"/>
              </w:rPr>
            </w:pPr>
            <w:r>
              <w:rPr>
                <w:rFonts w:ascii="Arial" w:cs="Arial" w:eastAsia="Arial" w:hAnsi="Arial"/>
                <w:sz w:val="18"/>
                <w:szCs w:val="18"/>
                <w:color w:val="auto"/>
              </w:rPr>
              <w:t>U.S. federal statutory rate</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8"/>
        </w:trPr>
        <w:tc>
          <w:tcPr>
            <w:tcW w:w="5460" w:type="dxa"/>
            <w:vAlign w:val="bottom"/>
            <w:vMerge w:val="continue"/>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Adjustments to reconcile to the effective rate:</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80"/>
              <w:spacing w:after="0"/>
              <w:rPr>
                <w:sz w:val="20"/>
                <w:szCs w:val="20"/>
                <w:color w:val="auto"/>
              </w:rPr>
            </w:pPr>
            <w:r>
              <w:rPr>
                <w:rFonts w:ascii="Arial" w:cs="Arial" w:eastAsia="Arial" w:hAnsi="Arial"/>
                <w:sz w:val="18"/>
                <w:szCs w:val="18"/>
                <w:color w:val="auto"/>
              </w:rPr>
              <w:t>State and local income taxes, net of federal tax benefits</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5460" w:type="dxa"/>
            <w:vAlign w:val="bottom"/>
          </w:tcPr>
          <w:p>
            <w:pPr>
              <w:ind w:left="180"/>
              <w:spacing w:after="0"/>
              <w:rPr>
                <w:sz w:val="20"/>
                <w:szCs w:val="20"/>
                <w:color w:val="auto"/>
              </w:rPr>
            </w:pPr>
            <w:r>
              <w:rPr>
                <w:rFonts w:ascii="Arial" w:cs="Arial" w:eastAsia="Arial" w:hAnsi="Arial"/>
                <w:sz w:val="18"/>
                <w:szCs w:val="18"/>
                <w:color w:val="auto"/>
              </w:rPr>
              <w:t>Changes in valuation allowances</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460" w:type="dxa"/>
            <w:vAlign w:val="bottom"/>
          </w:tcPr>
          <w:p>
            <w:pPr>
              <w:ind w:left="180"/>
              <w:spacing w:after="0" w:line="189" w:lineRule="exact"/>
              <w:rPr>
                <w:sz w:val="20"/>
                <w:szCs w:val="20"/>
                <w:color w:val="auto"/>
              </w:rPr>
            </w:pPr>
            <w:r>
              <w:rPr>
                <w:rFonts w:ascii="Arial" w:cs="Arial" w:eastAsia="Arial" w:hAnsi="Arial"/>
                <w:sz w:val="18"/>
                <w:szCs w:val="18"/>
                <w:color w:val="auto"/>
              </w:rPr>
              <w:t>Taxes on foreign operations at rates different than U.S. federal</w:t>
            </w:r>
          </w:p>
        </w:tc>
        <w:tc>
          <w:tcPr>
            <w:tcW w:w="1480" w:type="dxa"/>
            <w:vAlign w:val="bottom"/>
            <w:vMerge w:val="restart"/>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6"/>
                <w:szCs w:val="16"/>
                <w:color w:val="auto"/>
              </w:rPr>
            </w:pPr>
          </w:p>
        </w:tc>
        <w:tc>
          <w:tcPr>
            <w:tcW w:w="1500" w:type="dxa"/>
            <w:vAlign w:val="bottom"/>
            <w:vMerge w:val="restart"/>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460" w:type="dxa"/>
            <w:vAlign w:val="bottom"/>
          </w:tcPr>
          <w:p>
            <w:pPr>
              <w:ind w:left="340"/>
              <w:spacing w:after="0"/>
              <w:rPr>
                <w:sz w:val="20"/>
                <w:szCs w:val="20"/>
                <w:color w:val="auto"/>
              </w:rPr>
            </w:pPr>
            <w:r>
              <w:rPr>
                <w:rFonts w:ascii="Arial" w:cs="Arial" w:eastAsia="Arial" w:hAnsi="Arial"/>
                <w:sz w:val="18"/>
                <w:szCs w:val="18"/>
                <w:color w:val="auto"/>
              </w:rPr>
              <w:t>statutory rates</w:t>
            </w: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5460" w:type="dxa"/>
            <w:vAlign w:val="bottom"/>
          </w:tcPr>
          <w:p>
            <w:pPr>
              <w:ind w:left="180"/>
              <w:spacing w:after="0"/>
              <w:rPr>
                <w:sz w:val="20"/>
                <w:szCs w:val="20"/>
                <w:color w:val="auto"/>
              </w:rPr>
            </w:pPr>
            <w:r>
              <w:rPr>
                <w:rFonts w:ascii="Arial" w:cs="Arial" w:eastAsia="Arial" w:hAnsi="Arial"/>
                <w:sz w:val="18"/>
                <w:szCs w:val="18"/>
                <w:color w:val="auto"/>
              </w:rPr>
              <w:t>Other non-deductible (non-taxable) items</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5"/>
        </w:trPr>
        <w:tc>
          <w:tcPr>
            <w:tcW w:w="5460" w:type="dxa"/>
            <w:vAlign w:val="bottom"/>
          </w:tcPr>
          <w:p>
            <w:pPr>
              <w:ind w:left="18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24.2 %</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tabular reconciliation of the gross amount of unrecognized tax benefits for the year:</w:t>
      </w:r>
    </w:p>
    <w:p>
      <w:pPr>
        <w:spacing w:after="0" w:line="50"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720" w:type="dxa"/>
            <w:vAlign w:val="bottom"/>
            <w:vMerge w:val="restart"/>
          </w:tcPr>
          <w:p>
            <w:pPr>
              <w:spacing w:after="0"/>
              <w:rPr>
                <w:sz w:val="20"/>
                <w:szCs w:val="20"/>
                <w:color w:val="auto"/>
              </w:rPr>
            </w:pPr>
            <w:r>
              <w:rPr>
                <w:rFonts w:ascii="Arial" w:cs="Arial" w:eastAsia="Arial" w:hAnsi="Arial"/>
                <w:sz w:val="18"/>
                <w:szCs w:val="18"/>
                <w:color w:val="auto"/>
              </w:rPr>
              <w:t>Balance, January 1</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8"/>
        </w:trPr>
        <w:tc>
          <w:tcPr>
            <w:tcW w:w="5720" w:type="dxa"/>
            <w:vAlign w:val="bottom"/>
            <w:vMerge w:val="continue"/>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Additions for tax positions related to current year</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Additions for tax positions for prior years</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Reductions for tax positions for prior years</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Settlements</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5"/>
        </w:trPr>
        <w:tc>
          <w:tcPr>
            <w:tcW w:w="5720" w:type="dxa"/>
            <w:vAlign w:val="bottom"/>
          </w:tcPr>
          <w:p>
            <w:pPr>
              <w:ind w:left="200"/>
              <w:spacing w:after="0"/>
              <w:rPr>
                <w:sz w:val="20"/>
                <w:szCs w:val="20"/>
                <w:color w:val="auto"/>
              </w:rPr>
            </w:pPr>
            <w:r>
              <w:rPr>
                <w:rFonts w:ascii="Arial" w:cs="Arial" w:eastAsia="Arial" w:hAnsi="Arial"/>
                <w:sz w:val="18"/>
                <w:szCs w:val="18"/>
                <w:color w:val="auto"/>
              </w:rPr>
              <w:t>Foreign currency translation</w:t>
            </w:r>
          </w:p>
        </w:tc>
        <w:tc>
          <w:tcPr>
            <w:tcW w:w="10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Balance, December 31</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anticipate that total unrecognized tax benefits will change significantly in 2023.</w:t>
      </w:r>
    </w:p>
    <w:p>
      <w:pPr>
        <w:spacing w:after="0" w:line="171"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are subject to taxation in the United States and various foreign jurisdictions. As of December 31, 2022, the 2007 through 2021 tax years generally remain subject to examination by the federal tax authorities. The 2012 through 2021 tax years generally remain subject to examination by various state tax authorities. In significant foreign jurisdictions, the 2012 through 2021 tax years generally remain subject to examination by their respective tax authorities.</w:t>
      </w:r>
    </w:p>
    <w:p>
      <w:pPr>
        <w:spacing w:after="0" w:line="12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Substantially all of the gross amount of the unrecognized tax benefits at December 31, 2022, 2021 and 2020, if recognized, would affect our provision for (benefit from) income taxes. As of December 31, 2022, our unrecognized tax benefits were offset by tax loss carryforwards and other deferred tax assets in the amount of $24 million.</w:t>
      </w:r>
    </w:p>
    <w:p>
      <w:pPr>
        <w:spacing w:after="0" w:line="117"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7220" w:type="dxa"/>
            <w:vAlign w:val="bottom"/>
          </w:tcPr>
          <w:p>
            <w:pPr>
              <w:spacing w:after="0"/>
              <w:rPr>
                <w:sz w:val="20"/>
                <w:szCs w:val="20"/>
                <w:color w:val="auto"/>
              </w:rPr>
            </w:pPr>
            <w:r>
              <w:rPr>
                <w:rFonts w:ascii="Arial" w:cs="Arial" w:eastAsia="Arial" w:hAnsi="Arial"/>
                <w:sz w:val="18"/>
                <w:szCs w:val="18"/>
                <w:color w:val="auto"/>
              </w:rPr>
              <w:t>The following table presents unrecognized tax benefits:</w:t>
            </w: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220" w:type="dxa"/>
            <w:vAlign w:val="bottom"/>
          </w:tcPr>
          <w:p>
            <w:pPr>
              <w:spacing w:after="0"/>
              <w:rPr>
                <w:sz w:val="24"/>
                <w:szCs w:val="24"/>
                <w:color w:val="auto"/>
              </w:rPr>
            </w:pPr>
          </w:p>
        </w:tc>
        <w:tc>
          <w:tcPr>
            <w:tcW w:w="25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As of December 31,</w:t>
            </w: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20" w:type="dxa"/>
            <w:vAlign w:val="bottom"/>
            <w:vMerge w:val="restart"/>
          </w:tcPr>
          <w:p>
            <w:pPr>
              <w:ind w:left="20"/>
              <w:spacing w:after="0"/>
              <w:rPr>
                <w:sz w:val="20"/>
                <w:szCs w:val="20"/>
                <w:color w:val="auto"/>
              </w:rPr>
            </w:pPr>
            <w:r>
              <w:rPr>
                <w:rFonts w:ascii="Arial" w:cs="Arial" w:eastAsia="Arial" w:hAnsi="Arial"/>
                <w:sz w:val="18"/>
                <w:szCs w:val="18"/>
                <w:color w:val="auto"/>
              </w:rPr>
              <w:t xml:space="preserve">Unrecognized tax benefit in non-current income taxes payable </w:t>
            </w:r>
            <w:r>
              <w:rPr>
                <w:rFonts w:ascii="Arial" w:cs="Arial" w:eastAsia="Arial" w:hAnsi="Arial"/>
                <w:sz w:val="23"/>
                <w:szCs w:val="23"/>
                <w:color w:val="auto"/>
                <w:vertAlign w:val="superscript"/>
              </w:rPr>
              <w:t>(a)</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20" w:type="dxa"/>
            <w:vAlign w:val="bottom"/>
            <w:vMerge w:val="continue"/>
          </w:tcPr>
          <w:p>
            <w:pPr>
              <w:spacing w:after="0"/>
              <w:rPr>
                <w:sz w:val="18"/>
                <w:szCs w:val="18"/>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1"/>
        </w:trPr>
        <w:tc>
          <w:tcPr>
            <w:tcW w:w="7220" w:type="dxa"/>
            <w:vAlign w:val="bottom"/>
          </w:tcPr>
          <w:p>
            <w:pPr>
              <w:ind w:left="20"/>
              <w:spacing w:after="0"/>
              <w:rPr>
                <w:sz w:val="20"/>
                <w:szCs w:val="20"/>
                <w:color w:val="auto"/>
              </w:rPr>
            </w:pPr>
            <w:r>
              <w:rPr>
                <w:rFonts w:ascii="Arial" w:cs="Arial" w:eastAsia="Arial" w:hAnsi="Arial"/>
                <w:sz w:val="18"/>
                <w:szCs w:val="18"/>
                <w:color w:val="auto"/>
              </w:rPr>
              <w:t xml:space="preserve">Accrued interest payable on potential tax liabilities </w:t>
            </w:r>
            <w:r>
              <w:rPr>
                <w:rFonts w:ascii="Arial" w:cs="Arial" w:eastAsia="Arial" w:hAnsi="Arial"/>
                <w:sz w:val="23"/>
                <w:szCs w:val="23"/>
                <w:color w:val="auto"/>
                <w:vertAlign w:val="superscript"/>
              </w:rPr>
              <w:t>(b)</w:t>
            </w:r>
          </w:p>
        </w:tc>
        <w:tc>
          <w:tcPr>
            <w:tcW w:w="10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29" w:lineRule="exact"/>
        <w:rPr>
          <w:sz w:val="20"/>
          <w:szCs w:val="20"/>
          <w:color w:val="auto"/>
        </w:rPr>
      </w:pPr>
    </w:p>
    <w:p>
      <w:pPr>
        <w:jc w:val="both"/>
        <w:ind w:left="820" w:hanging="326"/>
        <w:spacing w:after="0" w:line="231" w:lineRule="auto"/>
        <w:tabs>
          <w:tab w:leader="none" w:pos="813" w:val="left"/>
        </w:tabs>
        <w:numPr>
          <w:ilvl w:val="1"/>
          <w:numId w:val="43"/>
        </w:numPr>
        <w:rPr>
          <w:rFonts w:ascii="Arial" w:cs="Arial" w:eastAsia="Arial" w:hAnsi="Arial"/>
          <w:sz w:val="19"/>
          <w:szCs w:val="19"/>
          <w:color w:val="auto"/>
          <w:vertAlign w:val="superscript"/>
        </w:rPr>
      </w:pPr>
      <w:r>
        <w:rPr>
          <w:rFonts w:ascii="Arial" w:cs="Arial" w:eastAsia="Arial" w:hAnsi="Arial"/>
          <w:sz w:val="14"/>
          <w:szCs w:val="14"/>
          <w:color w:val="auto"/>
        </w:rPr>
        <w:t>Pursuant to the agreements governing the disposition of certain subsidiaries in 2006, we are entitled to indemnification for certain predisposition tax contingencies. As of December 31, 2022 and 2021, $13 million, in each period, of unrecognized tax benefits are related to tax contingencies for which we believe we are entitled to indemnification.</w:t>
      </w:r>
    </w:p>
    <w:p>
      <w:pPr>
        <w:spacing w:after="0" w:line="1" w:lineRule="exact"/>
        <w:rPr>
          <w:rFonts w:ascii="Arial" w:cs="Arial" w:eastAsia="Arial" w:hAnsi="Arial"/>
          <w:sz w:val="19"/>
          <w:szCs w:val="19"/>
          <w:color w:val="auto"/>
          <w:vertAlign w:val="superscript"/>
        </w:rPr>
      </w:pPr>
    </w:p>
    <w:p>
      <w:pPr>
        <w:jc w:val="both"/>
        <w:ind w:left="820" w:hanging="326"/>
        <w:spacing w:after="0" w:line="232" w:lineRule="auto"/>
        <w:tabs>
          <w:tab w:leader="none" w:pos="813" w:val="left"/>
        </w:tabs>
        <w:numPr>
          <w:ilvl w:val="1"/>
          <w:numId w:val="43"/>
        </w:numPr>
        <w:rPr>
          <w:rFonts w:ascii="Arial" w:cs="Arial" w:eastAsia="Arial" w:hAnsi="Arial"/>
          <w:sz w:val="19"/>
          <w:szCs w:val="19"/>
          <w:color w:val="auto"/>
          <w:vertAlign w:val="superscript"/>
        </w:rPr>
      </w:pPr>
      <w:r>
        <w:rPr>
          <w:rFonts w:ascii="Arial" w:cs="Arial" w:eastAsia="Arial" w:hAnsi="Arial"/>
          <w:sz w:val="14"/>
          <w:szCs w:val="14"/>
          <w:color w:val="auto"/>
        </w:rPr>
        <w:t>We recognize potential interest related to unrecognized tax benefits within interest expense related to corporate debt, net on the accompanying Consolidated Statements of Operations. Penalties incurred during the years ended December 31, 2022, 2021 and 2020, were not significant and were recognized as a component of the provision for (benefit from) income taxes</w:t>
      </w:r>
      <w:r>
        <w:rPr>
          <w:rFonts w:ascii="Arial" w:cs="Arial" w:eastAsia="Arial" w:hAnsi="Arial"/>
          <w:sz w:val="16"/>
          <w:szCs w:val="16"/>
          <w:color w:val="auto"/>
        </w:rPr>
        <w:t>.</w:t>
      </w:r>
    </w:p>
    <w:p>
      <w:pPr>
        <w:spacing w:after="0" w:line="214" w:lineRule="exact"/>
        <w:rPr>
          <w:rFonts w:ascii="Arial" w:cs="Arial" w:eastAsia="Arial" w:hAnsi="Arial"/>
          <w:sz w:val="19"/>
          <w:szCs w:val="19"/>
          <w:color w:val="auto"/>
          <w:vertAlign w:val="superscript"/>
        </w:rPr>
      </w:pPr>
    </w:p>
    <w:p>
      <w:pPr>
        <w:ind w:left="500" w:hanging="44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7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w:t>
      </w:r>
    </w:p>
    <w:p>
      <w:pPr>
        <w:spacing w:after="0" w:line="212"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p>
        </w:tc>
        <w:tc>
          <w:tcPr>
            <w:tcW w:w="25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As of December 31,</w:t>
            </w: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0" w:type="dxa"/>
            <w:vAlign w:val="bottom"/>
            <w:vMerge w:val="restart"/>
          </w:tcPr>
          <w:p>
            <w:pPr>
              <w:spacing w:after="0"/>
              <w:rPr>
                <w:sz w:val="20"/>
                <w:szCs w:val="20"/>
                <w:color w:val="auto"/>
              </w:rPr>
            </w:pPr>
            <w:r>
              <w:rPr>
                <w:rFonts w:ascii="Arial" w:cs="Arial" w:eastAsia="Arial" w:hAnsi="Arial"/>
                <w:sz w:val="18"/>
                <w:szCs w:val="18"/>
                <w:color w:val="auto"/>
              </w:rPr>
              <w:t>Prepaid expenses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00" w:type="dxa"/>
            <w:vAlign w:val="bottom"/>
            <w:vMerge w:val="continue"/>
          </w:tcPr>
          <w:p>
            <w:pPr>
              <w:spacing w:after="0"/>
              <w:rPr>
                <w:sz w:val="18"/>
                <w:szCs w:val="18"/>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Sales and use taxes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5"/>
        </w:trPr>
        <w:tc>
          <w:tcPr>
            <w:tcW w:w="720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Other current assets</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77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7720" w:type="dxa"/>
            <w:vAlign w:val="bottom"/>
            <w:gridSpan w:val="2"/>
          </w:tcPr>
          <w:p>
            <w:pPr>
              <w:ind w:left="60"/>
              <w:spacing w:after="0"/>
              <w:rPr>
                <w:sz w:val="20"/>
                <w:szCs w:val="20"/>
                <w:color w:val="auto"/>
              </w:rPr>
            </w:pPr>
            <w:r>
              <w:rPr>
                <w:rFonts w:ascii="Arial" w:cs="Arial" w:eastAsia="Arial" w:hAnsi="Arial"/>
                <w:sz w:val="18"/>
                <w:szCs w:val="18"/>
                <w:b w:val="1"/>
                <w:bCs w:val="1"/>
                <w:color w:val="auto"/>
              </w:rPr>
              <w:t>11.  Property and Equipment, net</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7720" w:type="dxa"/>
            <w:vAlign w:val="bottom"/>
            <w:gridSpan w:val="2"/>
          </w:tcPr>
          <w:p>
            <w:pPr>
              <w:ind w:left="500"/>
              <w:spacing w:after="0"/>
              <w:rPr>
                <w:sz w:val="20"/>
                <w:szCs w:val="20"/>
                <w:color w:val="auto"/>
              </w:rPr>
            </w:pPr>
            <w:r>
              <w:rPr>
                <w:rFonts w:ascii="Arial" w:cs="Arial" w:eastAsia="Arial" w:hAnsi="Arial"/>
                <w:sz w:val="18"/>
                <w:szCs w:val="18"/>
                <w:color w:val="auto"/>
              </w:rPr>
              <w:t>Property and equipment, net consisted of:</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40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720" w:type="dxa"/>
            <w:vAlign w:val="bottom"/>
            <w:gridSpan w:val="2"/>
            <w:vMerge w:val="restart"/>
          </w:tcPr>
          <w:p>
            <w:pPr>
              <w:ind w:left="52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7720" w:type="dxa"/>
            <w:vAlign w:val="bottom"/>
            <w:gridSpan w:val="2"/>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Buildings and leasehold improvements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9"/>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Capitalized software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30"/>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Furniture, fixtures and equipment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9"/>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Projects in process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5"/>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Buses and support vehicles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8"/>
        </w:trPr>
        <w:tc>
          <w:tcPr>
            <w:tcW w:w="140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35"/>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23"/>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Depreciation and amortization expense relating to property and equipment during 2022, 2021 and 2020 was $181 million, $205 million and $218 million, respectively (including $115 million, $105 million and $113 million, respectively, of amortization expense relating to capitalized software). At December 31, 2022, we had payables related to property and equipment included in accounts payable and other current liabilities and in other non-current liabilities of $19 million and $1 million, respectively. At December 31, 2021, we had payables related to property and equipment included in accounts payable and other current liabilities and in other non-current liabilities of $20 million and $2 million, respectively.</w:t>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7660" w:type="dxa"/>
            <w:vAlign w:val="bottom"/>
          </w:tcPr>
          <w:p>
            <w:pPr>
              <w:spacing w:after="0"/>
              <w:rPr>
                <w:sz w:val="20"/>
                <w:szCs w:val="20"/>
                <w:color w:val="auto"/>
              </w:rPr>
            </w:pPr>
            <w:r>
              <w:rPr>
                <w:rFonts w:ascii="Arial" w:cs="Arial" w:eastAsia="Arial" w:hAnsi="Arial"/>
                <w:sz w:val="18"/>
                <w:szCs w:val="18"/>
                <w:b w:val="1"/>
                <w:bCs w:val="1"/>
                <w:color w:val="auto"/>
              </w:rPr>
              <w:t>12.  Accounts Payable and Other Current Liabilities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0"/>
        </w:trPr>
        <w:tc>
          <w:tcPr>
            <w:tcW w:w="7660" w:type="dxa"/>
            <w:vAlign w:val="bottom"/>
          </w:tcPr>
          <w:p>
            <w:pPr>
              <w:ind w:left="440"/>
              <w:spacing w:after="0"/>
              <w:rPr>
                <w:sz w:val="20"/>
                <w:szCs w:val="20"/>
                <w:color w:val="auto"/>
              </w:rPr>
            </w:pPr>
            <w:r>
              <w:rPr>
                <w:rFonts w:ascii="Arial" w:cs="Arial" w:eastAsia="Arial" w:hAnsi="Arial"/>
                <w:sz w:val="18"/>
                <w:szCs w:val="18"/>
                <w:color w:val="auto"/>
              </w:rPr>
              <w:t>Accounts payable and other current liabilities consisted of:</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6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660" w:type="dxa"/>
            <w:vAlign w:val="bottom"/>
            <w:vMerge w:val="restart"/>
          </w:tcPr>
          <w:p>
            <w:pPr>
              <w:ind w:left="460"/>
              <w:spacing w:after="0"/>
              <w:rPr>
                <w:sz w:val="20"/>
                <w:szCs w:val="20"/>
                <w:color w:val="auto"/>
              </w:rPr>
            </w:pPr>
            <w:r>
              <w:rPr>
                <w:rFonts w:ascii="Arial" w:cs="Arial" w:eastAsia="Arial" w:hAnsi="Arial"/>
                <w:sz w:val="18"/>
                <w:szCs w:val="18"/>
                <w:color w:val="auto"/>
              </w:rPr>
              <w:t>Short-term operating lease liabilities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7660" w:type="dxa"/>
            <w:vAlign w:val="bottom"/>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766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0"/>
        </w:trPr>
        <w:tc>
          <w:tcPr>
            <w:tcW w:w="7660" w:type="dxa"/>
            <w:vAlign w:val="bottom"/>
          </w:tcPr>
          <w:p>
            <w:pPr>
              <w:ind w:left="460"/>
              <w:spacing w:after="0"/>
              <w:rPr>
                <w:sz w:val="20"/>
                <w:szCs w:val="20"/>
                <w:color w:val="auto"/>
              </w:rPr>
            </w:pPr>
            <w:r>
              <w:rPr>
                <w:rFonts w:ascii="Arial" w:cs="Arial" w:eastAsia="Arial" w:hAnsi="Arial"/>
                <w:sz w:val="18"/>
                <w:szCs w:val="18"/>
                <w:color w:val="auto"/>
              </w:rPr>
              <w:t>Accrued advertising and marketing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7660" w:type="dxa"/>
            <w:vAlign w:val="bottom"/>
          </w:tcPr>
          <w:p>
            <w:pPr>
              <w:ind w:left="460"/>
              <w:spacing w:after="0"/>
              <w:rPr>
                <w:sz w:val="20"/>
                <w:szCs w:val="20"/>
                <w:color w:val="auto"/>
              </w:rPr>
            </w:pPr>
            <w:r>
              <w:rPr>
                <w:rFonts w:ascii="Arial" w:cs="Arial" w:eastAsia="Arial" w:hAnsi="Arial"/>
                <w:sz w:val="18"/>
                <w:szCs w:val="18"/>
                <w:color w:val="auto"/>
              </w:rPr>
              <w:t>Accrued sales and use taxes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7660" w:type="dxa"/>
            <w:vAlign w:val="bottom"/>
          </w:tcPr>
          <w:p>
            <w:pPr>
              <w:ind w:left="460"/>
              <w:spacing w:after="0"/>
              <w:rPr>
                <w:sz w:val="20"/>
                <w:szCs w:val="20"/>
                <w:color w:val="auto"/>
              </w:rPr>
            </w:pPr>
            <w:r>
              <w:rPr>
                <w:rFonts w:ascii="Arial" w:cs="Arial" w:eastAsia="Arial" w:hAnsi="Arial"/>
                <w:sz w:val="18"/>
                <w:szCs w:val="18"/>
                <w:color w:val="auto"/>
              </w:rPr>
              <w:t>Accrued payroll and related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9"/>
        </w:trPr>
        <w:tc>
          <w:tcPr>
            <w:tcW w:w="7660" w:type="dxa"/>
            <w:vAlign w:val="bottom"/>
          </w:tcPr>
          <w:p>
            <w:pPr>
              <w:ind w:left="460"/>
              <w:spacing w:after="0"/>
              <w:rPr>
                <w:sz w:val="20"/>
                <w:szCs w:val="20"/>
                <w:color w:val="auto"/>
              </w:rPr>
            </w:pPr>
            <w:r>
              <w:rPr>
                <w:rFonts w:ascii="Arial" w:cs="Arial" w:eastAsia="Arial" w:hAnsi="Arial"/>
                <w:sz w:val="18"/>
                <w:szCs w:val="18"/>
                <w:color w:val="auto"/>
              </w:rPr>
              <w:t>Deferred lease revenues – current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7660" w:type="dxa"/>
            <w:vAlign w:val="bottom"/>
          </w:tcPr>
          <w:p>
            <w:pPr>
              <w:ind w:left="460"/>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5"/>
        </w:trPr>
        <w:tc>
          <w:tcPr>
            <w:tcW w:w="7660" w:type="dxa"/>
            <w:vAlign w:val="bottom"/>
          </w:tcPr>
          <w:p>
            <w:pPr>
              <w:ind w:left="4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3"/>
        </w:trPr>
        <w:tc>
          <w:tcPr>
            <w:tcW w:w="7660" w:type="dxa"/>
            <w:vAlign w:val="bottom"/>
          </w:tcPr>
          <w:p>
            <w:pPr>
              <w:ind w:left="460"/>
              <w:spacing w:after="0"/>
              <w:rPr>
                <w:sz w:val="20"/>
                <w:szCs w:val="20"/>
                <w:color w:val="auto"/>
              </w:rPr>
            </w:pPr>
            <w:r>
              <w:rPr>
                <w:rFonts w:ascii="Arial" w:cs="Arial" w:eastAsia="Arial" w:hAnsi="Arial"/>
                <w:sz w:val="18"/>
                <w:szCs w:val="18"/>
                <w:color w:val="auto"/>
              </w:rPr>
              <w:t>Accounts payable and other current liabilities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right="5660" w:hanging="442"/>
        <w:spacing w:after="0" w:line="417" w:lineRule="auto"/>
        <w:tabs>
          <w:tab w:leader="none" w:pos="514"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Corporate Debt and Borrowing Arrangements </w:t>
      </w:r>
      <w:r>
        <w:rPr>
          <w:rFonts w:ascii="Arial" w:cs="Arial" w:eastAsia="Arial" w:hAnsi="Arial"/>
          <w:sz w:val="17"/>
          <w:szCs w:val="17"/>
          <w:color w:val="auto"/>
        </w:rPr>
        <w:t>Long-term debt and other borrowing arrangements consisted of:</w:t>
      </w:r>
    </w:p>
    <w:tbl>
      <w:tblPr>
        <w:tblLayout w:type="fixed"/>
        <w:tblInd w:w="520" w:type="dxa"/>
        <w:tblCellMar>
          <w:top w:w="0" w:type="dxa"/>
          <w:left w:w="0" w:type="dxa"/>
          <w:bottom w:w="0" w:type="dxa"/>
          <w:right w:w="0" w:type="dxa"/>
        </w:tblCellMar>
      </w:tblPr>
      <w:tr>
        <w:trPr>
          <w:trHeight w:val="217"/>
        </w:trPr>
        <w:tc>
          <w:tcPr>
            <w:tcW w:w="5500" w:type="dxa"/>
            <w:vAlign w:val="bottom"/>
          </w:tcPr>
          <w:p>
            <w:pPr>
              <w:spacing w:after="0"/>
              <w:rPr>
                <w:sz w:val="18"/>
                <w:szCs w:val="18"/>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Maturity</w:t>
            </w:r>
          </w:p>
        </w:tc>
        <w:tc>
          <w:tcPr>
            <w:tcW w:w="3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72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line="20" w:lineRule="exact"/>
              <w:rPr>
                <w:sz w:val="1"/>
                <w:szCs w:val="1"/>
                <w:color w:val="auto"/>
              </w:rPr>
            </w:pPr>
          </w:p>
        </w:tc>
      </w:tr>
      <w:tr>
        <w:trPr>
          <w:trHeight w:val="216"/>
        </w:trPr>
        <w:tc>
          <w:tcPr>
            <w:tcW w:w="5500" w:type="dxa"/>
            <w:vAlign w:val="bottom"/>
            <w:vMerge w:val="restart"/>
          </w:tcPr>
          <w:p>
            <w:pPr>
              <w:ind w:left="80"/>
              <w:spacing w:after="0"/>
              <w:rPr>
                <w:sz w:val="20"/>
                <w:szCs w:val="20"/>
                <w:color w:val="auto"/>
              </w:rPr>
            </w:pPr>
            <w:r>
              <w:rPr>
                <w:rFonts w:ascii="Arial" w:cs="Arial" w:eastAsia="Arial" w:hAnsi="Arial"/>
                <w:sz w:val="16"/>
                <w:szCs w:val="16"/>
                <w:color w:val="auto"/>
              </w:rPr>
              <w:t>4.125% euro-denominated Senior Notes</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Date</w:t>
            </w: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00" w:type="dxa"/>
            <w:vAlign w:val="bottom"/>
            <w:vMerge w:val="continue"/>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November 2024</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15"/>
        </w:trPr>
        <w:tc>
          <w:tcPr>
            <w:tcW w:w="5500" w:type="dxa"/>
            <w:vAlign w:val="bottom"/>
          </w:tcPr>
          <w:p>
            <w:pPr>
              <w:ind w:left="80"/>
              <w:spacing w:after="0"/>
              <w:rPr>
                <w:sz w:val="20"/>
                <w:szCs w:val="20"/>
                <w:color w:val="auto"/>
              </w:rPr>
            </w:pPr>
            <w:r>
              <w:rPr>
                <w:rFonts w:ascii="Arial" w:cs="Arial" w:eastAsia="Arial" w:hAnsi="Arial"/>
                <w:sz w:val="16"/>
                <w:szCs w:val="16"/>
                <w:color w:val="auto"/>
              </w:rPr>
              <w:t>4.500% euro-denominated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6"/>
        </w:trPr>
        <w:tc>
          <w:tcPr>
            <w:tcW w:w="5500" w:type="dxa"/>
            <w:vAlign w:val="bottom"/>
          </w:tcPr>
          <w:p>
            <w:pPr>
              <w:ind w:left="80"/>
              <w:spacing w:after="0"/>
              <w:rPr>
                <w:sz w:val="20"/>
                <w:szCs w:val="20"/>
                <w:color w:val="auto"/>
              </w:rPr>
            </w:pPr>
            <w:r>
              <w:rPr>
                <w:rFonts w:ascii="Arial" w:cs="Arial" w:eastAsia="Arial" w:hAnsi="Arial"/>
                <w:sz w:val="16"/>
                <w:szCs w:val="16"/>
                <w:color w:val="auto"/>
              </w:rPr>
              <w:t>4.750% euro-denominated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2026</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16"/>
        </w:trPr>
        <w:tc>
          <w:tcPr>
            <w:tcW w:w="5500" w:type="dxa"/>
            <w:vAlign w:val="bottom"/>
          </w:tcPr>
          <w:p>
            <w:pPr>
              <w:ind w:left="80"/>
              <w:spacing w:after="0"/>
              <w:rPr>
                <w:sz w:val="20"/>
                <w:szCs w:val="20"/>
                <w:color w:val="auto"/>
              </w:rPr>
            </w:pPr>
            <w:r>
              <w:rPr>
                <w:rFonts w:ascii="Arial" w:cs="Arial" w:eastAsia="Arial" w:hAnsi="Arial"/>
                <w:sz w:val="16"/>
                <w:szCs w:val="16"/>
                <w:color w:val="auto"/>
              </w:rPr>
              <w:t>5.750%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2027</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728</w:t>
            </w:r>
          </w:p>
        </w:tc>
        <w:tc>
          <w:tcPr>
            <w:tcW w:w="0" w:type="dxa"/>
            <w:vAlign w:val="bottom"/>
          </w:tcPr>
          <w:p>
            <w:pPr>
              <w:spacing w:after="0"/>
              <w:rPr>
                <w:sz w:val="1"/>
                <w:szCs w:val="1"/>
                <w:color w:val="auto"/>
              </w:rPr>
            </w:pPr>
          </w:p>
        </w:tc>
      </w:tr>
      <w:tr>
        <w:trPr>
          <w:trHeight w:val="216"/>
        </w:trPr>
        <w:tc>
          <w:tcPr>
            <w:tcW w:w="5500" w:type="dxa"/>
            <w:vAlign w:val="bottom"/>
          </w:tcPr>
          <w:p>
            <w:pPr>
              <w:ind w:left="80"/>
              <w:spacing w:after="0"/>
              <w:rPr>
                <w:sz w:val="20"/>
                <w:szCs w:val="20"/>
                <w:color w:val="auto"/>
              </w:rPr>
            </w:pPr>
            <w:r>
              <w:rPr>
                <w:rFonts w:ascii="Arial" w:cs="Arial" w:eastAsia="Arial" w:hAnsi="Arial"/>
                <w:sz w:val="16"/>
                <w:szCs w:val="16"/>
                <w:color w:val="auto"/>
              </w:rPr>
              <w:t>4.750%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2028</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6"/>
        </w:trPr>
        <w:tc>
          <w:tcPr>
            <w:tcW w:w="5500" w:type="dxa"/>
            <w:vAlign w:val="bottom"/>
          </w:tcPr>
          <w:p>
            <w:pPr>
              <w:ind w:left="80"/>
              <w:spacing w:after="0"/>
              <w:rPr>
                <w:sz w:val="20"/>
                <w:szCs w:val="20"/>
                <w:color w:val="auto"/>
              </w:rPr>
            </w:pPr>
            <w:r>
              <w:rPr>
                <w:rFonts w:ascii="Arial" w:cs="Arial" w:eastAsia="Arial" w:hAnsi="Arial"/>
                <w:sz w:val="16"/>
                <w:szCs w:val="16"/>
                <w:color w:val="auto"/>
              </w:rPr>
              <w:t>5.375%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2029</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7"/>
        </w:trPr>
        <w:tc>
          <w:tcPr>
            <w:tcW w:w="5500" w:type="dxa"/>
            <w:vAlign w:val="bottom"/>
          </w:tcPr>
          <w:p>
            <w:pPr>
              <w:spacing w:after="0" w:line="218"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August 2027</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1,187</w:t>
            </w:r>
          </w:p>
        </w:tc>
        <w:tc>
          <w:tcPr>
            <w:tcW w:w="0" w:type="dxa"/>
            <w:vAlign w:val="bottom"/>
          </w:tcPr>
          <w:p>
            <w:pPr>
              <w:spacing w:after="0"/>
              <w:rPr>
                <w:sz w:val="1"/>
                <w:szCs w:val="1"/>
                <w:color w:val="auto"/>
              </w:rPr>
            </w:pPr>
          </w:p>
        </w:tc>
      </w:tr>
      <w:tr>
        <w:trPr>
          <w:trHeight w:val="216"/>
        </w:trPr>
        <w:tc>
          <w:tcPr>
            <w:tcW w:w="5500" w:type="dxa"/>
            <w:vAlign w:val="bottom"/>
          </w:tcPr>
          <w:p>
            <w:pPr>
              <w:spacing w:after="0" w:line="216"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2029</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5"/>
        </w:trPr>
        <w:tc>
          <w:tcPr>
            <w:tcW w:w="5500" w:type="dxa"/>
            <w:vAlign w:val="bottom"/>
          </w:tcPr>
          <w:p>
            <w:pPr>
              <w:spacing w:after="0"/>
              <w:rPr>
                <w:sz w:val="20"/>
                <w:szCs w:val="20"/>
                <w:color w:val="auto"/>
              </w:rPr>
            </w:pPr>
            <w:r>
              <w:rPr>
                <w:rFonts w:ascii="Arial" w:cs="Arial" w:eastAsia="Arial" w:hAnsi="Arial"/>
                <w:sz w:val="16"/>
                <w:szCs w:val="16"/>
                <w:color w:val="auto"/>
              </w:rPr>
              <w:t>Deferred financing fees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Total</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4,009</w:t>
            </w:r>
          </w:p>
        </w:tc>
        <w:tc>
          <w:tcPr>
            <w:tcW w:w="0" w:type="dxa"/>
            <w:vAlign w:val="bottom"/>
          </w:tcPr>
          <w:p>
            <w:pPr>
              <w:spacing w:after="0"/>
              <w:rPr>
                <w:sz w:val="1"/>
                <w:szCs w:val="1"/>
                <w:color w:val="auto"/>
              </w:rPr>
            </w:pPr>
          </w:p>
        </w:tc>
      </w:tr>
      <w:tr>
        <w:trPr>
          <w:trHeight w:val="215"/>
        </w:trPr>
        <w:tc>
          <w:tcPr>
            <w:tcW w:w="5500" w:type="dxa"/>
            <w:vAlign w:val="bottom"/>
          </w:tcPr>
          <w:p>
            <w:pPr>
              <w:spacing w:after="0"/>
              <w:rPr>
                <w:sz w:val="20"/>
                <w:szCs w:val="20"/>
                <w:color w:val="auto"/>
              </w:rPr>
            </w:pPr>
            <w:r>
              <w:rPr>
                <w:rFonts w:ascii="Arial" w:cs="Arial" w:eastAsia="Arial" w:hAnsi="Arial"/>
                <w:sz w:val="16"/>
                <w:szCs w:val="16"/>
                <w:color w:val="auto"/>
              </w:rPr>
              <w:t>Less: Short-term debt and current portion of long-term debt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1"/>
        </w:trPr>
        <w:tc>
          <w:tcPr>
            <w:tcW w:w="5500" w:type="dxa"/>
            <w:vAlign w:val="bottom"/>
          </w:tcPr>
          <w:p>
            <w:pPr>
              <w:spacing w:after="0"/>
              <w:rPr>
                <w:sz w:val="20"/>
                <w:szCs w:val="20"/>
                <w:color w:val="auto"/>
              </w:rPr>
            </w:pPr>
            <w:r>
              <w:rPr>
                <w:rFonts w:ascii="Arial" w:cs="Arial" w:eastAsia="Arial" w:hAnsi="Arial"/>
                <w:sz w:val="16"/>
                <w:szCs w:val="16"/>
                <w:color w:val="auto"/>
              </w:rPr>
              <w:t>Long-term debt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3,990</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spacing w:after="0" w:line="15" w:lineRule="exact"/>
        <w:rPr>
          <w:sz w:val="20"/>
          <w:szCs w:val="20"/>
          <w:color w:val="auto"/>
        </w:rPr>
      </w:pPr>
    </w:p>
    <w:p>
      <w:pPr>
        <w:ind w:left="820" w:hanging="326"/>
        <w:spacing w:after="0" w:line="227" w:lineRule="auto"/>
        <w:tabs>
          <w:tab w:leader="none" w:pos="813"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The floating rate term loan is part of our senior revolving credit facility, which is secured by pledges of capital stock of certain our subsidiaries, and liens on substantially all of our intellectual property and certain other real and personal property.</w:t>
      </w:r>
    </w:p>
    <w:p>
      <w:pPr>
        <w:ind w:left="820" w:hanging="326"/>
        <w:spacing w:after="0" w:line="193" w:lineRule="auto"/>
        <w:tabs>
          <w:tab w:leader="none" w:pos="82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Term Loan</w:t>
      </w:r>
    </w:p>
    <w:p>
      <w:pPr>
        <w:spacing w:after="0" w:line="169"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i w:val="1"/>
          <w:iCs w:val="1"/>
          <w:color w:val="auto"/>
        </w:rPr>
        <w:t xml:space="preserve">Floating Rate Term Loan due 2029. </w:t>
      </w:r>
      <w:r>
        <w:rPr>
          <w:rFonts w:ascii="Arial" w:cs="Arial" w:eastAsia="Arial" w:hAnsi="Arial"/>
          <w:sz w:val="18"/>
          <w:szCs w:val="18"/>
          <w:color w:val="auto"/>
        </w:rPr>
        <w:t>In March 2022, we entered into a $750 million Floating Rate Term Loan due March 2029, at a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97% of the aggregate principal amount, with interest paid monthly. The Term Loan bears interest at one-month Secured Overnight Financing Rate (“SOFR”) plus 350 basis points for an aggregate rate of 7.92%.</w:t>
      </w:r>
    </w:p>
    <w:p>
      <w:pPr>
        <w:spacing w:after="0" w:line="117"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Floating Rate Term Loan due 2027. </w:t>
      </w:r>
      <w:r>
        <w:rPr>
          <w:rFonts w:ascii="Arial" w:cs="Arial" w:eastAsia="Arial" w:hAnsi="Arial"/>
          <w:sz w:val="18"/>
          <w:szCs w:val="18"/>
          <w:color w:val="auto"/>
        </w:rPr>
        <w:t>In February 2020, we amended our Floating Rate Term Loan and extended its maturity term to</w:t>
      </w:r>
      <w:r>
        <w:rPr>
          <w:rFonts w:ascii="Arial" w:cs="Arial" w:eastAsia="Arial" w:hAnsi="Arial"/>
          <w:sz w:val="18"/>
          <w:szCs w:val="18"/>
          <w:i w:val="1"/>
          <w:iCs w:val="1"/>
          <w:color w:val="auto"/>
        </w:rPr>
        <w:t xml:space="preserve"> </w:t>
      </w:r>
      <w:r>
        <w:rPr>
          <w:rFonts w:ascii="Arial" w:cs="Arial" w:eastAsia="Arial" w:hAnsi="Arial"/>
          <w:sz w:val="18"/>
          <w:szCs w:val="18"/>
          <w:color w:val="auto"/>
        </w:rPr>
        <w:t>2027. We increased the outstanding borrowing principal amount of the Floating Rate Term Loan to $1.2 billion and on April 1, 2020 used the additional loan amount to redeem $100 million of our outstanding 5.500% Senior Notes due 2023. As of December 31, 2022, the loan bears interest at one-month LIBOR plus 1.75%, for an aggregate rate of 6.14%; however, we entered into an interest rate swap to hedge $700 million of our interest rate exposure related to the floating rate term loan at an aggregate rate of 4.75%.</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Senior Notes</w:t>
      </w:r>
    </w:p>
    <w:p>
      <w:pPr>
        <w:spacing w:after="0" w:line="25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i w:val="1"/>
          <w:iCs w:val="1"/>
          <w:color w:val="auto"/>
        </w:rPr>
        <w:t xml:space="preserve">4.125% euro-denominated Senior Notes due 2024. </w:t>
      </w:r>
      <w:r>
        <w:rPr>
          <w:rFonts w:ascii="Arial" w:cs="Arial" w:eastAsia="Arial" w:hAnsi="Arial"/>
          <w:sz w:val="18"/>
          <w:szCs w:val="18"/>
          <w:color w:val="auto"/>
        </w:rPr>
        <w:t>In September 2016, we issued €300 million of 4.125% euro-denominated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2024 at par, with interest payable semi-annually. We have the right to redeem these notes in whole or in part at any time on or after November 15, 2019 at specified redemption prices plus accrued interest. In October 2016, we used the net proceeds from the offering primarily to redeem €275 million of our outstanding 6.000% euro-denominated Senior Notes due 2021.</w:t>
      </w:r>
    </w:p>
    <w:p>
      <w:pPr>
        <w:spacing w:after="0" w:line="203"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4.500% euro-denominated Senior Notes due 2025. </w:t>
      </w:r>
      <w:r>
        <w:rPr>
          <w:rFonts w:ascii="Arial" w:cs="Arial" w:eastAsia="Arial" w:hAnsi="Arial"/>
          <w:sz w:val="18"/>
          <w:szCs w:val="18"/>
          <w:color w:val="auto"/>
        </w:rPr>
        <w:t>In March 2017, we issued €250 million of 4.500% euro-denominated Senior Notes</w:t>
      </w:r>
      <w:r>
        <w:rPr>
          <w:rFonts w:ascii="Arial" w:cs="Arial" w:eastAsia="Arial" w:hAnsi="Arial"/>
          <w:sz w:val="18"/>
          <w:szCs w:val="18"/>
          <w:i w:val="1"/>
          <w:iCs w:val="1"/>
          <w:color w:val="auto"/>
        </w:rPr>
        <w:t xml:space="preserve"> </w:t>
      </w:r>
      <w:r>
        <w:rPr>
          <w:rFonts w:ascii="Arial" w:cs="Arial" w:eastAsia="Arial" w:hAnsi="Arial"/>
          <w:sz w:val="18"/>
          <w:szCs w:val="18"/>
          <w:color w:val="auto"/>
        </w:rPr>
        <w:t>due 2025, at par, with interest payable semi-annually. We have the right to redeem these notes in whole or in part on or after May 15, 2020 at specified redemption prices plus accrued interest. In April 2017, we used the net proceeds from the offering to redeem our outstanding €175 million principal amount of 6.000% euro-denominated Senior Notes due 2021 for € 180 million plus accrued interest. In June 2017, we used the remaining proceeds to redeem a portion of our Floating Rate Senior Notes due 2017.</w:t>
      </w:r>
    </w:p>
    <w:p>
      <w:pPr>
        <w:spacing w:after="0" w:line="206"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i w:val="1"/>
          <w:iCs w:val="1"/>
          <w:color w:val="auto"/>
        </w:rPr>
        <w:t xml:space="preserve">4.750% euro-denominated Senior Notes due 2026. </w:t>
      </w:r>
      <w:r>
        <w:rPr>
          <w:rFonts w:ascii="Arial" w:cs="Arial" w:eastAsia="Arial" w:hAnsi="Arial"/>
          <w:sz w:val="18"/>
          <w:szCs w:val="18"/>
          <w:color w:val="auto"/>
        </w:rPr>
        <w:t>In October 2018, we issued €350 million of 4.750% euro-denominated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2026, at par, with interest payable semi-annually. We have the right to redeem these notes in whole or in part on or after September 30, 2021 at specified redemption prices plus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accrued interest. In October 2018, we used the net proceeds from the offering to redeem our 5.125% Senior Notes due June 2022 for $410 million plus accrued interest.</w:t>
      </w:r>
    </w:p>
    <w:p>
      <w:pPr>
        <w:spacing w:after="0" w:line="180"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 xml:space="preserve">5.750% Senior Notes due 2027. </w:t>
      </w:r>
      <w:r>
        <w:rPr>
          <w:rFonts w:ascii="Arial" w:cs="Arial" w:eastAsia="Arial" w:hAnsi="Arial"/>
          <w:sz w:val="18"/>
          <w:szCs w:val="18"/>
          <w:color w:val="auto"/>
        </w:rPr>
        <w:t>In July 2019, we issued $400 million of 5.750% Senior Notes due July 2027, at par,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semi-annually. We used the net proceeds from the offering to redeem $400 million principal amount of our 5.500% Senior Notes due April 2023. In August 2020, we issued $350 million of additional 5.750% Senior Notes due July 2027, at 92% of face value, under the indenture governing our existing 5.750% Senior Notes. We used the proceeds from this offering to redeem the outstanding $100 million in aggregate principal amount of our 5.500% Senior Notes due 2023, with the remainder being used for general corporate purposes.</w:t>
      </w:r>
    </w:p>
    <w:p>
      <w:pPr>
        <w:spacing w:after="0" w:line="20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4.750% Senior Notes due 2028. </w:t>
      </w:r>
      <w:r>
        <w:rPr>
          <w:rFonts w:ascii="Arial" w:cs="Arial" w:eastAsia="Arial" w:hAnsi="Arial"/>
          <w:sz w:val="18"/>
          <w:szCs w:val="18"/>
          <w:color w:val="auto"/>
        </w:rPr>
        <w:t>In March 2021, we issued $500 million of 4.750% Senior Notes due April 2028, at par,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paid semiannually. We have the right to redeem these notes in whole or in part at any time on or after April 1, 2024 at specified redemption prices plus accrued interest. Net proceeds, together with cash on hand, were used to redeem all of the outstanding 6.375% Senior Notes due 2024 for $356 million plus accrued interest and a portion of our outstanding 5.250% Senior Notes due 2025 for $142 million plus accrued interest.</w:t>
      </w:r>
    </w:p>
    <w:p>
      <w:pPr>
        <w:spacing w:after="0" w:line="206"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i w:val="1"/>
          <w:iCs w:val="1"/>
          <w:color w:val="auto"/>
        </w:rPr>
        <w:t xml:space="preserve">5.375% Senior Notes due 2029. </w:t>
      </w:r>
      <w:r>
        <w:rPr>
          <w:rFonts w:ascii="Arial" w:cs="Arial" w:eastAsia="Arial" w:hAnsi="Arial"/>
          <w:sz w:val="18"/>
          <w:szCs w:val="18"/>
          <w:color w:val="auto"/>
        </w:rPr>
        <w:t>In March 2021, we issued $600 million of 5.375% Senior Notes due March 2029, at par,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paid semiannually. We have the right to redeem these notes in whole or in part at any time on or after March 1, 2024 at specified redemption prices plus accrued interest. Net proceeds, together with cash on hand, were used to redeem all of the outstanding 10.500% Senior Secured Notes due 2025 for $599 million plus accrued interest.</w:t>
      </w:r>
    </w:p>
    <w:p>
      <w:pPr>
        <w:spacing w:after="0" w:line="203"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In connection with the debt amendments and repayments for the years ended December 31, 2021 and 2020, we recorded $136 million and $9 million in early extinguishment of debt costs, respectively.</w:t>
      </w:r>
    </w:p>
    <w:p>
      <w:pPr>
        <w:spacing w:after="0" w:line="18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The 5.750% Senior Notes, the 4.750% Senior Notes and the 5.375% Senior Notes are senior unsecured obligations of our Avis Budget Car Rental, LLC (“ABCR”) subsidiary, are guaranteed by us and certain of our domestic subsidiaries and rank equally in right of payment with all of our existing and future senior unsecured indebtedness.</w:t>
      </w:r>
    </w:p>
    <w:p>
      <w:pPr>
        <w:spacing w:after="0" w:line="198"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The 4.125% euro-denominated Senior Notes, 4.500% euro-denominated Senior Notes and 4.750% euro-denominated Senior Notes are unsecured obligations of our Avis Budget Finance plc subsidiary, are guaranteed on a senior basis by us and certain of our domestic subsidiaries and rank equally with all of our existing senior unsecured debt.</w:t>
      </w:r>
    </w:p>
    <w:p>
      <w:pPr>
        <w:spacing w:after="0" w:line="117" w:lineRule="exact"/>
        <w:rPr>
          <w:sz w:val="20"/>
          <w:szCs w:val="20"/>
          <w:color w:val="auto"/>
        </w:rPr>
      </w:pPr>
    </w:p>
    <w:tbl>
      <w:tblPr>
        <w:tblLayout w:type="fixed"/>
        <w:tblInd w:w="500" w:type="dxa"/>
        <w:tblCellMar>
          <w:top w:w="0" w:type="dxa"/>
          <w:left w:w="0" w:type="dxa"/>
          <w:bottom w:w="0" w:type="dxa"/>
          <w:right w:w="0" w:type="dxa"/>
        </w:tblCellMar>
      </w:tblPr>
      <w:tr>
        <w:trPr>
          <w:trHeight w:val="247"/>
        </w:trPr>
        <w:tc>
          <w:tcPr>
            <w:tcW w:w="8740" w:type="dxa"/>
            <w:vAlign w:val="bottom"/>
          </w:tcPr>
          <w:p>
            <w:pPr>
              <w:spacing w:after="0"/>
              <w:rPr>
                <w:sz w:val="20"/>
                <w:szCs w:val="20"/>
                <w:color w:val="auto"/>
              </w:rPr>
            </w:pPr>
            <w:r>
              <w:rPr>
                <w:rFonts w:ascii="Arial" w:cs="Arial" w:eastAsia="Arial" w:hAnsi="Arial"/>
                <w:sz w:val="18"/>
                <w:szCs w:val="18"/>
                <w:b w:val="1"/>
                <w:bCs w:val="1"/>
                <w:color w:val="auto"/>
              </w:rPr>
              <w:t>Debt Maturities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370"/>
        </w:trPr>
        <w:tc>
          <w:tcPr>
            <w:tcW w:w="8740" w:type="dxa"/>
            <w:vAlign w:val="bottom"/>
          </w:tcPr>
          <w:p>
            <w:pPr>
              <w:spacing w:after="0"/>
              <w:rPr>
                <w:sz w:val="20"/>
                <w:szCs w:val="20"/>
                <w:color w:val="auto"/>
              </w:rPr>
            </w:pPr>
            <w:r>
              <w:rPr>
                <w:rFonts w:ascii="Arial" w:cs="Arial" w:eastAsia="Arial" w:hAnsi="Arial"/>
                <w:sz w:val="18"/>
                <w:szCs w:val="18"/>
                <w:color w:val="auto"/>
              </w:rPr>
              <w:t>The following table provides contractual maturities of our corporate debt at December 31, 2022:</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5"/>
        </w:trPr>
        <w:tc>
          <w:tcPr>
            <w:tcW w:w="8740" w:type="dxa"/>
            <w:vAlign w:val="bottom"/>
          </w:tcPr>
          <w:p>
            <w:pPr>
              <w:ind w:left="20"/>
              <w:spacing w:after="0"/>
              <w:rPr>
                <w:sz w:val="20"/>
                <w:szCs w:val="20"/>
                <w:color w:val="auto"/>
              </w:rPr>
            </w:pPr>
            <w:r>
              <w:rPr>
                <w:rFonts w:ascii="Arial" w:cs="Arial" w:eastAsia="Arial" w:hAnsi="Arial"/>
                <w:sz w:val="18"/>
                <w:szCs w:val="18"/>
                <w:b w:val="1"/>
                <w:bCs w:val="1"/>
                <w:color w:val="auto"/>
              </w:rPr>
              <w:t>Year</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18"/>
        </w:trPr>
        <w:tc>
          <w:tcPr>
            <w:tcW w:w="874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29"/>
        </w:trPr>
        <w:tc>
          <w:tcPr>
            <w:tcW w:w="8740" w:type="dxa"/>
            <w:vAlign w:val="bottom"/>
          </w:tcPr>
          <w:p>
            <w:pPr>
              <w:ind w:left="20"/>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1,867</w:t>
            </w:r>
          </w:p>
        </w:tc>
      </w:tr>
      <w:tr>
        <w:trPr>
          <w:trHeight w:val="235"/>
        </w:trPr>
        <w:tc>
          <w:tcPr>
            <w:tcW w:w="87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w:t>
            </w:r>
          </w:p>
        </w:tc>
      </w:tr>
      <w:tr>
        <w:trPr>
          <w:trHeight w:val="223"/>
        </w:trPr>
        <w:tc>
          <w:tcPr>
            <w:tcW w:w="87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w:t>
            </w:r>
          </w:p>
        </w:tc>
      </w:tr>
      <w:tr>
        <w:trPr>
          <w:trHeight w:val="20"/>
        </w:trPr>
        <w:tc>
          <w:tcPr>
            <w:tcW w:w="8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2022, the committed corporate credit facilities available to us and/or our subsidiaries were as follows:</w:t>
      </w:r>
    </w:p>
    <w:p>
      <w:pPr>
        <w:spacing w:after="0" w:line="33"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Total Capacity</w:t>
            </w: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Outstanding</w:t>
            </w:r>
          </w:p>
        </w:tc>
        <w:tc>
          <w:tcPr>
            <w:tcW w:w="15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Letters of Credit</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Available</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Borrowings</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Issued</w:t>
            </w:r>
          </w:p>
        </w:tc>
        <w:tc>
          <w:tcPr>
            <w:tcW w:w="220" w:type="dxa"/>
            <w:vAlign w:val="bottom"/>
          </w:tcPr>
          <w:p>
            <w:pPr>
              <w:spacing w:after="0"/>
              <w:rPr>
                <w:sz w:val="18"/>
                <w:szCs w:val="18"/>
                <w:color w:val="auto"/>
              </w:rPr>
            </w:pPr>
          </w:p>
        </w:tc>
        <w:tc>
          <w:tcPr>
            <w:tcW w:w="1180" w:type="dxa"/>
            <w:vAlign w:val="bottom"/>
          </w:tcPr>
          <w:p>
            <w:pPr>
              <w:ind w:left="140"/>
              <w:spacing w:after="0"/>
              <w:rPr>
                <w:sz w:val="20"/>
                <w:szCs w:val="20"/>
                <w:color w:val="auto"/>
              </w:rPr>
            </w:pPr>
            <w:r>
              <w:rPr>
                <w:rFonts w:ascii="Arial" w:cs="Arial" w:eastAsia="Arial" w:hAnsi="Arial"/>
                <w:sz w:val="16"/>
                <w:szCs w:val="16"/>
                <w:b w:val="1"/>
                <w:bCs w:val="1"/>
                <w:color w:val="auto"/>
              </w:rPr>
              <w:t>Capacity</w:t>
            </w:r>
          </w:p>
        </w:tc>
        <w:tc>
          <w:tcPr>
            <w:tcW w:w="0" w:type="dxa"/>
            <w:vAlign w:val="bottom"/>
          </w:tcPr>
          <w:p>
            <w:pPr>
              <w:spacing w:after="0"/>
              <w:rPr>
                <w:sz w:val="1"/>
                <w:szCs w:val="1"/>
                <w:color w:val="auto"/>
              </w:rPr>
            </w:pPr>
          </w:p>
        </w:tc>
      </w:tr>
      <w:tr>
        <w:trPr>
          <w:trHeight w:val="278"/>
        </w:trPr>
        <w:tc>
          <w:tcPr>
            <w:tcW w:w="4180" w:type="dxa"/>
            <w:vAlign w:val="bottom"/>
          </w:tcPr>
          <w:p>
            <w:pPr>
              <w:spacing w:after="0"/>
              <w:rPr>
                <w:sz w:val="20"/>
                <w:szCs w:val="20"/>
                <w:color w:val="auto"/>
              </w:rPr>
            </w:pPr>
            <w:r>
              <w:rPr>
                <w:rFonts w:ascii="Arial" w:cs="Arial" w:eastAsia="Arial" w:hAnsi="Arial"/>
                <w:sz w:val="16"/>
                <w:szCs w:val="16"/>
                <w:color w:val="auto"/>
              </w:rPr>
              <w:t xml:space="preserve">Senior revolving credit facility maturing 2026 </w:t>
            </w:r>
            <w:r>
              <w:rPr>
                <w:rFonts w:ascii="Arial" w:cs="Arial" w:eastAsia="Arial" w:hAnsi="Arial"/>
                <w:sz w:val="21"/>
                <w:szCs w:val="21"/>
                <w:color w:val="auto"/>
                <w:vertAlign w:val="superscript"/>
              </w:rPr>
              <w:t>(a)</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966</w:t>
            </w:r>
          </w:p>
        </w:tc>
        <w:tc>
          <w:tcPr>
            <w:tcW w:w="12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24" w:lineRule="exact"/>
        <w:rPr>
          <w:sz w:val="20"/>
          <w:szCs w:val="20"/>
          <w:color w:val="auto"/>
        </w:rPr>
      </w:pPr>
    </w:p>
    <w:p>
      <w:pPr>
        <w:jc w:val="both"/>
        <w:ind w:left="820" w:hanging="326"/>
        <w:spacing w:after="0" w:line="231" w:lineRule="auto"/>
        <w:tabs>
          <w:tab w:leader="none" w:pos="813"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The senior revolving credit facility bears interest at one-month LIBOR plus 175 basis points and is part of our senior credit facilities, which include the floating rate term loan and the senior revolving credit facility, and which are secured by pledges of capital stock of certain of our subsidiaries, and liens on substantially all of our intellectual property and certain other real and personal property.</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52"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agreements governing our indebtedness contain restrictive covenants, including restrictions on dividends paid to us by certain of our subsidiaries, the incurrence of additional indebtedness and/or liens by us and certain of our subsidiaries, acquisitions, mergers, liquidations, and sale and leaseback transactions. Our senior credit facility also contains a maximum leverage ratio requirement. As of December 31, 2022, we were in compliance with the financial covenants governing our indebtedness.</w:t>
      </w:r>
    </w:p>
    <w:p>
      <w:pPr>
        <w:spacing w:after="0" w:line="203" w:lineRule="exact"/>
        <w:rPr>
          <w:sz w:val="20"/>
          <w:szCs w:val="20"/>
          <w:color w:val="auto"/>
        </w:rPr>
      </w:pPr>
    </w:p>
    <w:p>
      <w:pPr>
        <w:ind w:left="500" w:hanging="442"/>
        <w:spacing w:after="0"/>
        <w:tabs>
          <w:tab w:leader="none" w:pos="5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171" w:lineRule="exact"/>
        <w:rPr>
          <w:rFonts w:ascii="Arial" w:cs="Arial" w:eastAsia="Arial" w:hAnsi="Arial"/>
          <w:sz w:val="18"/>
          <w:szCs w:val="18"/>
          <w:b w:val="1"/>
          <w:bCs w:val="1"/>
          <w:color w:val="auto"/>
        </w:rPr>
      </w:pPr>
    </w:p>
    <w:p>
      <w:pPr>
        <w:ind w:left="500" w:right="140"/>
        <w:spacing w:after="0" w:line="273"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2"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200" w:type="dxa"/>
            <w:vAlign w:val="bottom"/>
            <w:vMerge w:val="restart"/>
          </w:tcPr>
          <w:p>
            <w:pPr>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7200" w:type="dxa"/>
            <w:vAlign w:val="bottom"/>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11,322</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8,889</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Americas – Debt borrowings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29"/>
        </w:trPr>
        <w:tc>
          <w:tcPr>
            <w:tcW w:w="7200" w:type="dxa"/>
            <w:vAlign w:val="bottom"/>
          </w:tcPr>
          <w:p>
            <w:pPr>
              <w:spacing w:after="0"/>
              <w:rPr>
                <w:sz w:val="20"/>
                <w:szCs w:val="20"/>
                <w:color w:val="auto"/>
              </w:rPr>
            </w:pPr>
            <w:r>
              <w:rPr>
                <w:rFonts w:ascii="Arial" w:cs="Arial" w:eastAsia="Arial" w:hAnsi="Arial"/>
                <w:sz w:val="18"/>
                <w:szCs w:val="18"/>
                <w:color w:val="auto"/>
              </w:rPr>
              <w:t>International – Debt borrowings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International – Finance leases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7"/>
        </w:trPr>
        <w:tc>
          <w:tcPr>
            <w:tcW w:w="720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7200" w:type="dxa"/>
            <w:vAlign w:val="bottom"/>
          </w:tcPr>
          <w:p>
            <w:pPr>
              <w:spacing w:after="0" w:line="237" w:lineRule="exact"/>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3"/>
                <w:szCs w:val="23"/>
                <w:color w:val="auto"/>
                <w:vertAlign w:val="superscript"/>
              </w:rPr>
              <w:t>(b)</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28" w:lineRule="auto"/>
        <w:tabs>
          <w:tab w:leader="none" w:pos="820"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Increase reflects additional borrowings principally to fund increases in our rental fleet.</w:t>
      </w:r>
    </w:p>
    <w:p>
      <w:pPr>
        <w:ind w:left="820" w:hanging="326"/>
        <w:spacing w:after="0" w:line="193" w:lineRule="auto"/>
        <w:tabs>
          <w:tab w:leader="none" w:pos="820"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Deferred financing fees related to Debt due to Avis Budget Rental Car Funding as of December 31, 2022 and 2021 were $47 million and $41 million, respectively.</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Americas</w:t>
      </w:r>
    </w:p>
    <w:p>
      <w:pPr>
        <w:spacing w:after="0" w:line="252"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i w:val="1"/>
          <w:iCs w:val="1"/>
          <w:color w:val="auto"/>
        </w:rPr>
        <w:t>Debt due to Avis Budget Rental Car Funding</w:t>
      </w:r>
      <w:r>
        <w:rPr>
          <w:rFonts w:ascii="Arial" w:cs="Arial" w:eastAsia="Arial" w:hAnsi="Arial"/>
          <w:sz w:val="18"/>
          <w:szCs w:val="18"/>
          <w:color w:val="auto"/>
        </w:rPr>
        <w:t>. Avis Budget Rental Car Funding, an unconsolidated bankruptcy remote qualifying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limited liability company, issues privately placed notes to investors as well as to banks and bank-sponsored conduit entities. Avis Budget Rental Car Funding uses the proceeds from its note issuances to make loans to our wholly-owned subsidiary, AESOP Leasing LP (“AESOP Leasing”), on a continuing basis. AESOP Leasing is required to use the proceeds of such loans to acquire or finance the acquisition of vehicles used in our rental car operations. By issuing debt through the Avis Budget Rental Car Funding program, we pay a lower rate of interest than if we had issued debt directly to third parties. Avis Budget Rental Car Funding is not consolidated, as we are not the “primary beneficiary” of Avis Budget Rental Car Funding. We determined that we are not the primary beneficiary because we do not have the obligation to absorb the potential losses or receive the benefits of Avis Budget Rental Car Funding’s activities since our only significant source of variability in the earnings, losses or cash flows of Avis Budget Rental Car Funding is exposure to our own creditworthiness, due to our loan from Avis Budget Rental Car Funding. Because Avis Budget Rental Car Funding is not consolidated, AESOP Leasing’s loan obligations to Avis Budget Rental Car Funding are reflected as related party debt on our Consolidated Balance Sheets. We also have an asset within Assets under vehicle programs on our Consolidated Balance Sheets which represents securities issued to us by Avis Budget Rental Car Funding. AESOP Leasing is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consolidated, as we are the “primary beneficiary” of AESOP Leasing; as a result, the vehicles purchased by AESOP Leasing remain on our Consolidated Balance Sheets. We determined we are the primary beneficiary of AESOP Leasing, as we have the ability to direct its activities, an obligation to absorb a majority of its expected losses and the right to receive the benefits of AESOP Leasing’s activities. AESOP Leasing’s vehicles and related assets, which as of December 31, 2022, approximate $13.2 billion and some of which are subject to manufacturer repurchase and guaranteed depreciation agreements, collateralize the debt issued by Avis Budget Rental Car Funding. The assets and liabilities of AESOP Leasing are presented on our Consolidated Balance Sheets within Assets under vehicle programs and Liabilities under vehicle programs, respectively. The assets of AESOP Leasing, included within assets under vehicle programs (excluding the investment in Avis Budget Rental Car Funding (AESOP) LLC—related party) are restricted. Such assets may be used only to repay the respective AESOP Leasing liabilities, included within Liabilities under vehicle programs, and to purchase new vehicles, although if certain collateral coverage requirements are met, AESOP Leasing may pay dividends from excess cash. The creditors of AESOP Leasing and Avis Budget Rental Car Funding have no recourse to our general credit. We periodically provide Avis Budget Rental Car Funding with non-contractually required support, in the form of equity and loans, to serve as additional collateral for the debt issued by Avis Budget Rental Car Funding.</w:t>
      </w:r>
    </w:p>
    <w:p>
      <w:pPr>
        <w:spacing w:after="0" w:line="133"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business activities of Avis Budget Rental Car Funding are limited primarily to issuing indebtedness and using the proceeds thereof to make loans to AESOP Leasing for the purpose of acquiring or financing the acquisition of vehicles to be leased to our rental car subsidiaries and pledging its assets to secure the indebtedness. Because Avis Budget Rental Car Funding is not consolidated by us, its results of operations and cash flows are not reflected within our financial statements.</w:t>
      </w:r>
    </w:p>
    <w:p>
      <w:pPr>
        <w:spacing w:after="0" w:line="122"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In May 2021, AESOP issued $800 million of asset-backed notes with an expected final payment date of August 2026. In June 2021, AESOP issued $ 96 million, $105 million and $103 million of asset-backed notes with expected final payment dates of March 2024, September 2024 and August 2025, respectively. In November 2021, AESOP issued $650 million of asset-backed notes with an expected final payment date of February 2027. In April 2022, AESOP issued $660 million of asset-backed notes to investors with an expected final payment date of August 2027. In May 2022, AESOP issued $87 million, $ 68 million and $55 million of asset-backed notes with expected final payment dates of March 2025, March 2023 and September 2023, respectively. In June 2022, AESOP entered into $800 million of variable funding asset-backed notes to investors with a final payment date of September 2022. In July 2022, AESOP issued $389 million and $374 million of asset-backed notes to investors with expected final payment dates of February 2026 and February 2028, respectively. Following this issuance, amounts available under our $800 million variable funding asset-backed notes supplement entered into during June 2022 were reduced to zero. In November 2022, AESOP issued $500 million of asset-backed notes to investors with an expected final payment date of April 2026. We used the proceeds from these borrowings to fund the repayment of maturing vehicle-backed debt and the acquisition of rental cars in the United States. Borrowings under the Avis Budget Rental Car Funding program primarily represent fixed rate notes and had a weighted average interest rate of 4.07% and 2.66% as of December 31, 2022 and 2021 respectively.</w:t>
      </w:r>
    </w:p>
    <w:p>
      <w:pPr>
        <w:spacing w:after="0" w:line="131"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Debt borrowings</w:t>
      </w:r>
      <w:r>
        <w:rPr>
          <w:rFonts w:ascii="Arial" w:cs="Arial" w:eastAsia="Arial" w:hAnsi="Arial"/>
          <w:sz w:val="18"/>
          <w:szCs w:val="18"/>
          <w:color w:val="auto"/>
        </w:rPr>
        <w:t>. We finance the acquisition of vehicles used in our Canadian rental operations through a consolidated, bankruptcy</w:t>
      </w:r>
      <w:r>
        <w:rPr>
          <w:rFonts w:ascii="Arial" w:cs="Arial" w:eastAsia="Arial" w:hAnsi="Arial"/>
          <w:sz w:val="18"/>
          <w:szCs w:val="18"/>
          <w:i w:val="1"/>
          <w:iCs w:val="1"/>
          <w:color w:val="auto"/>
        </w:rPr>
        <w:t xml:space="preserve"> </w:t>
      </w:r>
      <w:r>
        <w:rPr>
          <w:rFonts w:ascii="Arial" w:cs="Arial" w:eastAsia="Arial" w:hAnsi="Arial"/>
          <w:sz w:val="18"/>
          <w:szCs w:val="18"/>
          <w:color w:val="auto"/>
        </w:rPr>
        <w:t>remote special-purpose entity, which issues privately placed notes to investors and bank-sponsored conduits. We finance the acquisition of fleet for our truck rental operations in the United States through a combination of debt facilities and leases. These debt borrowings represent a mix of fixed and floating rate debt and had a weighted average interest rate of 4.26% and 2.64% as of December 31, 2022 and 2021 respectively.</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International</w:t>
      </w:r>
    </w:p>
    <w:p>
      <w:pPr>
        <w:spacing w:after="0" w:line="239"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i w:val="1"/>
          <w:iCs w:val="1"/>
          <w:color w:val="auto"/>
        </w:rPr>
        <w:t>Debt borrowings</w:t>
      </w:r>
      <w:r>
        <w:rPr>
          <w:rFonts w:ascii="Arial" w:cs="Arial" w:eastAsia="Arial" w:hAnsi="Arial"/>
          <w:sz w:val="18"/>
          <w:szCs w:val="18"/>
          <w:color w:val="auto"/>
        </w:rPr>
        <w:t>. In EMEA we operate a €1.7 billion European rental fleet securitization program, with maturity in 2024, which is used</w:t>
      </w:r>
      <w:r>
        <w:rPr>
          <w:rFonts w:ascii="Arial" w:cs="Arial" w:eastAsia="Arial" w:hAnsi="Arial"/>
          <w:sz w:val="18"/>
          <w:szCs w:val="18"/>
          <w:i w:val="1"/>
          <w:iCs w:val="1"/>
          <w:color w:val="auto"/>
        </w:rPr>
        <w:t xml:space="preserve"> </w:t>
      </w:r>
      <w:r>
        <w:rPr>
          <w:rFonts w:ascii="Arial" w:cs="Arial" w:eastAsia="Arial" w:hAnsi="Arial"/>
          <w:sz w:val="18"/>
          <w:szCs w:val="18"/>
          <w:color w:val="auto"/>
        </w:rPr>
        <w:t>to finance fleet purchases for certain of our European operations. The International borrowings primarily represent floating rate notes and had a weighted average interest rate of 3.92% and 1.66% as of December 31, 2022 and 2021, respectively.</w:t>
      </w:r>
    </w:p>
    <w:p>
      <w:pPr>
        <w:spacing w:after="0" w:line="209"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i w:val="1"/>
          <w:iCs w:val="1"/>
          <w:color w:val="auto"/>
        </w:rPr>
        <w:t xml:space="preserve">Finance leases. </w:t>
      </w:r>
      <w:r>
        <w:rPr>
          <w:rFonts w:ascii="Arial" w:cs="Arial" w:eastAsia="Arial" w:hAnsi="Arial"/>
          <w:sz w:val="18"/>
          <w:szCs w:val="18"/>
          <w:color w:val="auto"/>
        </w:rPr>
        <w:t>We obtain a portion of our International vehicles under finance lease arrangements.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2022 and 2021, the weighted average interest rate on these borrowings was 1.82% and 1.25% respectively. All finance leases are on a fixed repayment basis and interest rates are fixed at the contract date.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Maturities</w:t>
      </w:r>
    </w:p>
    <w:p>
      <w:pPr>
        <w:spacing w:after="0" w:line="171" w:lineRule="exact"/>
        <w:rPr>
          <w:sz w:val="20"/>
          <w:szCs w:val="20"/>
          <w:color w:val="auto"/>
        </w:rPr>
      </w:pPr>
    </w:p>
    <w:p>
      <w:pPr>
        <w:ind w:left="500" w:right="20"/>
        <w:spacing w:after="0" w:line="287" w:lineRule="auto"/>
        <w:rPr>
          <w:sz w:val="20"/>
          <w:szCs w:val="20"/>
          <w:color w:val="auto"/>
        </w:rPr>
      </w:pPr>
      <w:r>
        <w:rPr>
          <w:rFonts w:ascii="Arial" w:cs="Arial" w:eastAsia="Arial" w:hAnsi="Arial"/>
          <w:sz w:val="18"/>
          <w:szCs w:val="18"/>
          <w:color w:val="auto"/>
        </w:rPr>
        <w:t>The following table provides the contractual maturities of our debt under vehicle programs, including related party debt due to Avis Budget Rental Car Funding, at December 31, 2022:</w:t>
      </w:r>
    </w:p>
    <w:p>
      <w:pPr>
        <w:spacing w:after="0" w:line="113"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8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34"/>
              <w:spacing w:after="0"/>
              <w:rPr>
                <w:sz w:val="20"/>
                <w:szCs w:val="20"/>
                <w:color w:val="auto"/>
              </w:rPr>
            </w:pPr>
            <w:r>
              <w:rPr>
                <w:rFonts w:ascii="Arial" w:cs="Arial" w:eastAsia="Arial" w:hAnsi="Arial"/>
                <w:sz w:val="18"/>
                <w:szCs w:val="18"/>
                <w:b w:val="1"/>
                <w:bCs w:val="1"/>
                <w:color w:val="auto"/>
              </w:rPr>
              <w:t>Debt under</w:t>
            </w:r>
          </w:p>
        </w:tc>
        <w:tc>
          <w:tcPr>
            <w:tcW w:w="0" w:type="dxa"/>
            <w:vAlign w:val="bottom"/>
          </w:tcPr>
          <w:p>
            <w:pPr>
              <w:spacing w:after="0"/>
              <w:rPr>
                <w:sz w:val="1"/>
                <w:szCs w:val="1"/>
                <w:color w:val="auto"/>
              </w:rPr>
            </w:pPr>
          </w:p>
        </w:tc>
      </w:tr>
      <w:tr>
        <w:trPr>
          <w:trHeight w:val="176"/>
        </w:trPr>
        <w:tc>
          <w:tcPr>
            <w:tcW w:w="8560" w:type="dxa"/>
            <w:vAlign w:val="bottom"/>
          </w:tcPr>
          <w:p>
            <w:pPr>
              <w:spacing w:after="0"/>
              <w:rPr>
                <w:sz w:val="15"/>
                <w:szCs w:val="15"/>
                <w:color w:val="auto"/>
              </w:rPr>
            </w:pPr>
          </w:p>
        </w:tc>
        <w:tc>
          <w:tcPr>
            <w:tcW w:w="1580" w:type="dxa"/>
            <w:vAlign w:val="bottom"/>
            <w:gridSpan w:val="2"/>
          </w:tcPr>
          <w:p>
            <w:pPr>
              <w:ind w:left="40"/>
              <w:spacing w:after="0" w:line="176" w:lineRule="exact"/>
              <w:rPr>
                <w:sz w:val="20"/>
                <w:szCs w:val="20"/>
                <w:color w:val="auto"/>
              </w:rPr>
            </w:pPr>
            <w:r>
              <w:rPr>
                <w:rFonts w:ascii="Arial" w:cs="Arial" w:eastAsia="Arial" w:hAnsi="Arial"/>
                <w:sz w:val="18"/>
                <w:szCs w:val="18"/>
                <w:b w:val="1"/>
                <w:bCs w:val="1"/>
                <w:color w:val="auto"/>
                <w:w w:val="99"/>
              </w:rPr>
              <w:t>Vehicle Programs</w:t>
            </w:r>
          </w:p>
        </w:tc>
        <w:tc>
          <w:tcPr>
            <w:tcW w:w="0" w:type="dxa"/>
            <w:vAlign w:val="bottom"/>
          </w:tcPr>
          <w:p>
            <w:pPr>
              <w:spacing w:after="0"/>
              <w:rPr>
                <w:sz w:val="1"/>
                <w:szCs w:val="1"/>
                <w:color w:val="auto"/>
              </w:rPr>
            </w:pPr>
          </w:p>
        </w:tc>
      </w:tr>
      <w:tr>
        <w:trPr>
          <w:trHeight w:val="152"/>
        </w:trPr>
        <w:tc>
          <w:tcPr>
            <w:tcW w:w="8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634"/>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4"/>
        </w:trPr>
        <w:tc>
          <w:tcPr>
            <w:tcW w:w="8560" w:type="dxa"/>
            <w:vAlign w:val="bottom"/>
            <w:vMerge w:val="restart"/>
          </w:tcPr>
          <w:p>
            <w:pPr>
              <w:spacing w:after="0" w:line="258" w:lineRule="exact"/>
              <w:rPr>
                <w:sz w:val="20"/>
                <w:szCs w:val="20"/>
                <w:color w:val="auto"/>
              </w:rPr>
            </w:pPr>
            <w:r>
              <w:rPr>
                <w:rFonts w:ascii="Arial" w:cs="Arial" w:eastAsia="Arial" w:hAnsi="Arial"/>
                <w:sz w:val="18"/>
                <w:szCs w:val="18"/>
                <w:color w:val="auto"/>
              </w:rPr>
              <w:t xml:space="preserve">2023 </w:t>
            </w:r>
            <w:r>
              <w:rPr>
                <w:rFonts w:ascii="Arial" w:cs="Arial" w:eastAsia="Arial" w:hAnsi="Arial"/>
                <w:sz w:val="23"/>
                <w:szCs w:val="23"/>
                <w:color w:val="auto"/>
                <w:vertAlign w:val="superscript"/>
              </w:rPr>
              <w:t>(b)</w:t>
            </w: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8560" w:type="dxa"/>
            <w:vAlign w:val="bottom"/>
            <w:vMerge w:val="continue"/>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32"/>
        </w:trPr>
        <w:tc>
          <w:tcPr>
            <w:tcW w:w="8560" w:type="dxa"/>
            <w:vAlign w:val="bottom"/>
          </w:tcPr>
          <w:p>
            <w:pPr>
              <w:spacing w:after="0" w:line="232" w:lineRule="exact"/>
              <w:rPr>
                <w:sz w:val="20"/>
                <w:szCs w:val="20"/>
                <w:color w:val="auto"/>
              </w:rPr>
            </w:pPr>
            <w:r>
              <w:rPr>
                <w:rFonts w:ascii="Arial" w:cs="Arial" w:eastAsia="Arial" w:hAnsi="Arial"/>
                <w:sz w:val="18"/>
                <w:szCs w:val="18"/>
                <w:color w:val="auto"/>
              </w:rPr>
              <w:t xml:space="preserve">2024 </w:t>
            </w:r>
            <w:r>
              <w:rPr>
                <w:rFonts w:ascii="Arial" w:cs="Arial" w:eastAsia="Arial" w:hAnsi="Arial"/>
                <w:sz w:val="23"/>
                <w:szCs w:val="23"/>
                <w:color w:val="auto"/>
                <w:vertAlign w:val="superscript"/>
              </w:rPr>
              <w:t>(c)</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5,485</w:t>
            </w:r>
          </w:p>
        </w:tc>
        <w:tc>
          <w:tcPr>
            <w:tcW w:w="0" w:type="dxa"/>
            <w:vAlign w:val="bottom"/>
          </w:tcPr>
          <w:p>
            <w:pPr>
              <w:spacing w:after="0"/>
              <w:rPr>
                <w:sz w:val="1"/>
                <w:szCs w:val="1"/>
                <w:color w:val="auto"/>
              </w:rPr>
            </w:pP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35"/>
        </w:trPr>
        <w:tc>
          <w:tcPr>
            <w:tcW w:w="856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13,861</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760" w:hanging="266"/>
        <w:spacing w:after="0" w:line="219" w:lineRule="auto"/>
        <w:tabs>
          <w:tab w:leader="none" w:pos="760"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Vehicle-backed debt primarily represents asset-backed securities.</w:t>
      </w:r>
    </w:p>
    <w:p>
      <w:pPr>
        <w:ind w:left="760" w:hanging="266"/>
        <w:spacing w:after="0" w:line="192" w:lineRule="auto"/>
        <w:tabs>
          <w:tab w:leader="none" w:pos="760"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Includes $0.4 billion of bank and bank-sponsored facilities.</w:t>
      </w:r>
    </w:p>
    <w:p>
      <w:pPr>
        <w:ind w:left="760" w:hanging="266"/>
        <w:spacing w:after="0" w:line="193" w:lineRule="auto"/>
        <w:tabs>
          <w:tab w:leader="none" w:pos="760"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Includes $2.4 billion of bank and bank-sponsored facilities.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171"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The following table presents available funding under our debt arrangements related to our vehicle programs, including related party debt due to Avis Budget Rental Car Funding, at December 31, 2022:</w:t>
      </w:r>
    </w:p>
    <w:p>
      <w:pPr>
        <w:spacing w:after="0" w:line="116" w:lineRule="exact"/>
        <w:rPr>
          <w:sz w:val="20"/>
          <w:szCs w:val="20"/>
          <w:color w:val="auto"/>
        </w:rPr>
      </w:pPr>
    </w:p>
    <w:tbl>
      <w:tblPr>
        <w:tblLayout w:type="fixed"/>
        <w:tblInd w:w="520" w:type="dxa"/>
        <w:tblCellMar>
          <w:top w:w="0" w:type="dxa"/>
          <w:left w:w="0" w:type="dxa"/>
          <w:bottom w:w="0" w:type="dxa"/>
          <w:right w:w="0" w:type="dxa"/>
        </w:tblCellMar>
      </w:tblPr>
      <w:tr>
        <w:trPr>
          <w:trHeight w:val="195"/>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9"/>
              </w:rPr>
              <w:t>Outstanding</w:t>
            </w: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 xml:space="preserve">Total Capacity </w:t>
            </w:r>
            <w:r>
              <w:rPr>
                <w:rFonts w:ascii="Arial" w:cs="Arial" w:eastAsia="Arial" w:hAnsi="Arial"/>
                <w:sz w:val="22"/>
                <w:szCs w:val="22"/>
                <w:color w:val="auto"/>
                <w:vertAlign w:val="superscript"/>
              </w:rPr>
              <w:t>(a)</w:t>
            </w:r>
          </w:p>
        </w:tc>
        <w:tc>
          <w:tcPr>
            <w:tcW w:w="18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7"/>
              </w:rPr>
              <w:t xml:space="preserve">Borrowings </w:t>
            </w:r>
            <w:r>
              <w:rPr>
                <w:rFonts w:ascii="Arial" w:cs="Arial" w:eastAsia="Arial" w:hAnsi="Arial"/>
                <w:sz w:val="22"/>
                <w:szCs w:val="22"/>
                <w:color w:val="auto"/>
                <w:w w:val="97"/>
                <w:vertAlign w:val="superscript"/>
              </w:rPr>
              <w:t>(b)</w:t>
            </w:r>
          </w:p>
        </w:tc>
        <w:tc>
          <w:tcPr>
            <w:tcW w:w="156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Available Capacity</w:t>
            </w:r>
          </w:p>
        </w:tc>
        <w:tc>
          <w:tcPr>
            <w:tcW w:w="0" w:type="dxa"/>
            <w:vAlign w:val="bottom"/>
          </w:tcPr>
          <w:p>
            <w:pPr>
              <w:spacing w:after="0"/>
              <w:rPr>
                <w:sz w:val="1"/>
                <w:szCs w:val="1"/>
                <w:color w:val="auto"/>
              </w:rPr>
            </w:pPr>
          </w:p>
        </w:tc>
      </w:tr>
      <w:tr>
        <w:trPr>
          <w:trHeight w:val="85"/>
        </w:trPr>
        <w:tc>
          <w:tcPr>
            <w:tcW w:w="5180" w:type="dxa"/>
            <w:vAlign w:val="bottom"/>
            <w:vMerge w:val="restart"/>
          </w:tcPr>
          <w:p>
            <w:pPr>
              <w:spacing w:after="0"/>
              <w:rPr>
                <w:sz w:val="20"/>
                <w:szCs w:val="20"/>
                <w:color w:val="auto"/>
              </w:rPr>
            </w:pPr>
            <w:r>
              <w:rPr>
                <w:rFonts w:ascii="Arial" w:cs="Arial" w:eastAsia="Arial" w:hAnsi="Arial"/>
                <w:sz w:val="17"/>
                <w:szCs w:val="17"/>
                <w:color w:val="auto"/>
              </w:rPr>
              <w:t>Americas – Debt due to Avis Budget Rental Car Funding</w:t>
            </w:r>
          </w:p>
        </w:tc>
        <w:tc>
          <w:tcPr>
            <w:tcW w:w="10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518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11,921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11,322</w:t>
            </w:r>
          </w:p>
        </w:tc>
        <w:tc>
          <w:tcPr>
            <w:tcW w:w="120" w:type="dxa"/>
            <w:vAlign w:val="bottom"/>
          </w:tcPr>
          <w:p>
            <w:pPr>
              <w:spacing w:after="0"/>
              <w:rPr>
                <w:sz w:val="18"/>
                <w:szCs w:val="18"/>
                <w:color w:val="auto"/>
              </w:rPr>
            </w:pP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599</w:t>
            </w:r>
          </w:p>
        </w:tc>
        <w:tc>
          <w:tcPr>
            <w:tcW w:w="0" w:type="dxa"/>
            <w:vAlign w:val="bottom"/>
          </w:tcPr>
          <w:p>
            <w:pPr>
              <w:spacing w:after="0"/>
              <w:rPr>
                <w:sz w:val="1"/>
                <w:szCs w:val="1"/>
                <w:color w:val="auto"/>
              </w:rPr>
            </w:pPr>
          </w:p>
        </w:tc>
      </w:tr>
      <w:tr>
        <w:trPr>
          <w:trHeight w:val="225"/>
        </w:trPr>
        <w:tc>
          <w:tcPr>
            <w:tcW w:w="5180" w:type="dxa"/>
            <w:vAlign w:val="bottom"/>
          </w:tcPr>
          <w:p>
            <w:pPr>
              <w:spacing w:after="0"/>
              <w:rPr>
                <w:sz w:val="20"/>
                <w:szCs w:val="20"/>
                <w:color w:val="auto"/>
              </w:rPr>
            </w:pPr>
            <w:r>
              <w:rPr>
                <w:rFonts w:ascii="Arial" w:cs="Arial" w:eastAsia="Arial" w:hAnsi="Arial"/>
                <w:sz w:val="17"/>
                <w:szCs w:val="17"/>
                <w:color w:val="auto"/>
              </w:rPr>
              <w:t>Americas – Debt borrowings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598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372</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7"/>
                <w:szCs w:val="17"/>
                <w:color w:val="auto"/>
              </w:rPr>
              <w:t>International – Debt borrowings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2,628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1,700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928</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7"/>
                <w:szCs w:val="17"/>
                <w:color w:val="auto"/>
              </w:rPr>
              <w:t>International – Finance leases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176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180" w:type="dxa"/>
            <w:vAlign w:val="bottom"/>
          </w:tcPr>
          <w:p>
            <w:pPr>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13,861</w:t>
            </w:r>
          </w:p>
        </w:tc>
        <w:tc>
          <w:tcPr>
            <w:tcW w:w="120" w:type="dxa"/>
            <w:vAlign w:val="bottom"/>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1,931</w:t>
            </w:r>
          </w:p>
        </w:tc>
        <w:tc>
          <w:tcPr>
            <w:tcW w:w="0" w:type="dxa"/>
            <w:vAlign w:val="bottom"/>
          </w:tcPr>
          <w:p>
            <w:pPr>
              <w:spacing w:after="0"/>
              <w:rPr>
                <w:sz w:val="1"/>
                <w:szCs w:val="1"/>
                <w:color w:val="auto"/>
              </w:rPr>
            </w:pPr>
          </w:p>
        </w:tc>
      </w:tr>
      <w:tr>
        <w:trPr>
          <w:trHeight w:val="23"/>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820" w:hanging="326"/>
        <w:spacing w:after="0"/>
        <w:tabs>
          <w:tab w:leader="none" w:pos="820" w:val="left"/>
        </w:tabs>
        <w:numPr>
          <w:ilvl w:val="0"/>
          <w:numId w:val="51"/>
        </w:numPr>
        <w:rPr>
          <w:rFonts w:ascii="Arial" w:cs="Arial" w:eastAsia="Arial" w:hAnsi="Arial"/>
          <w:sz w:val="9"/>
          <w:szCs w:val="9"/>
          <w:color w:val="auto"/>
        </w:rPr>
      </w:pPr>
      <w:r>
        <w:rPr>
          <w:rFonts w:ascii="Arial" w:cs="Arial" w:eastAsia="Arial" w:hAnsi="Arial"/>
          <w:sz w:val="14"/>
          <w:szCs w:val="14"/>
          <w:color w:val="auto"/>
        </w:rPr>
        <w:t>Capacity is subject to maintaining sufficient assets to collateralize debt.</w:t>
      </w:r>
    </w:p>
    <w:p>
      <w:pPr>
        <w:spacing w:after="0" w:line="14" w:lineRule="exact"/>
        <w:rPr>
          <w:rFonts w:ascii="Arial" w:cs="Arial" w:eastAsia="Arial" w:hAnsi="Arial"/>
          <w:sz w:val="9"/>
          <w:szCs w:val="9"/>
          <w:color w:val="auto"/>
        </w:rPr>
      </w:pPr>
    </w:p>
    <w:p>
      <w:pPr>
        <w:ind w:left="820" w:hanging="326"/>
        <w:spacing w:after="0" w:line="284" w:lineRule="auto"/>
        <w:tabs>
          <w:tab w:leader="none" w:pos="813" w:val="left"/>
        </w:tabs>
        <w:numPr>
          <w:ilvl w:val="0"/>
          <w:numId w:val="51"/>
        </w:numPr>
        <w:rPr>
          <w:rFonts w:ascii="Arial" w:cs="Arial" w:eastAsia="Arial" w:hAnsi="Arial"/>
          <w:sz w:val="9"/>
          <w:szCs w:val="9"/>
          <w:color w:val="auto"/>
        </w:rPr>
      </w:pPr>
      <w:r>
        <w:rPr>
          <w:rFonts w:ascii="Arial" w:cs="Arial" w:eastAsia="Arial" w:hAnsi="Arial"/>
          <w:sz w:val="14"/>
          <w:szCs w:val="14"/>
          <w:color w:val="auto"/>
        </w:rPr>
        <w:t>The outstanding debt is collateralized by vehicles and related assets of $13.0 billion for Americas - Debt due to Avis Budget Rental Car Funding; $1.0 billion for Americas - Debt borrowings; $2.6 billion for International - Debt borrowings; and $0.2 billion for International - Finance leases.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171"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agreements under our vehicle-backed funding programs contain restrictive covenants, including restrictions on dividends paid to us by certain of our subsidiaries and restrictions on indebtedness, mergers, liens, liquidations and sale and leaseback transactions, and in some cases also require compliance with certain financial requirements. As of December 31, 2022, we are not aware of any instances of non-compliance with any of the financial or restrictive covenants contained in the debt agreements under our vehicle-backed funding programs.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0" w:right="7880" w:hanging="442"/>
        <w:spacing w:after="0" w:line="484" w:lineRule="auto"/>
        <w:tabs>
          <w:tab w:leader="none" w:pos="51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2" w:lineRule="exact"/>
        <w:rPr>
          <w:rFonts w:ascii="Arial" w:cs="Arial" w:eastAsia="Arial" w:hAnsi="Arial"/>
          <w:sz w:val="18"/>
          <w:szCs w:val="18"/>
          <w:b w:val="1"/>
          <w:bCs w:val="1"/>
          <w:color w:val="auto"/>
        </w:rPr>
      </w:pPr>
    </w:p>
    <w:p>
      <w:pPr>
        <w:jc w:val="both"/>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2006, we completed the spin-offs of our Realogy (formally Realogy, now Anywhere Real Estate Inc.) and Wyndham subsidiaries. We do not believe that the impact of any resolution of pre-existing contingent liabilities in connection with the spin-offs should result in a material liability to us in relation to our consolidated financial position or liquidity, as Realogy and Wyndham each have agreed to assume responsibility for these liabilities. We are also named in litigation that is primarily related to the businesses of our former subsidiaries, including Realogy and Wyndham. We are entitled to indemnification from such entities for any liability resulting from such litigation.</w:t>
      </w:r>
    </w:p>
    <w:p>
      <w:pPr>
        <w:spacing w:after="0" w:line="209" w:lineRule="exact"/>
        <w:rPr>
          <w:rFonts w:ascii="Arial" w:cs="Arial" w:eastAsia="Arial" w:hAnsi="Arial"/>
          <w:sz w:val="18"/>
          <w:szCs w:val="18"/>
          <w:b w:val="1"/>
          <w:bCs w:val="1"/>
          <w:color w:val="auto"/>
        </w:rPr>
      </w:pPr>
    </w:p>
    <w:p>
      <w:pPr>
        <w:jc w:val="both"/>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November 2011, Jose Mendez v. Avis Budget Group Inc., et al. was filed in U.S. District Court for the District of New Jersey. The plaintiff seeks to represent a purported nationwide class and two sub-classes of certain renters of vehicles from our Avis and Budget subsidiaries from April 2007 through December 2015. The plaintiff seeks damages in connection with claims relating to our electronic toll service, including that administrative fees and toll charges were not properly disclosed to customers and/or were excessive. Plaintiff’s motion for class certification was approved by the Court in November 2017. The parties have entered into a settlement agreement and the Court has entered an order preliminarily approving the settlement. We have been named as a defendant in other purported consumer class action law suits, including a class action filed against us in Florida seeking damages in connection with a breach of contract claim and two purported class action suits filed against us in New Jersey, one related to fines and fees charged to car renters by us for violations incurred during the course of their rental and another related to ancillary charges at our Payless subsidiary. In the Florida lawsuit, the Court has entered an order preliminarily approving a proposed settlement.</w:t>
      </w:r>
    </w:p>
    <w:p>
      <w:pPr>
        <w:spacing w:after="0" w:line="212"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are currently involved, and in the future may be involved, in claims and/or legal proceedings, including class actions, and governmental inquiries that are incidental to our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we believe that our accruals are adequate and/or that we have valid defenses in these matters, unfavorable resolutions could occur. We estimate that the potential exposure resulting from adverse outcomes of current legal proceedings in which it is reasonably possible that a loss may be incurred could, in the aggregate, be up to approximately $40 million in excess of amounts accrued as of December 31, 2022. We do not believe that the impact should result in a material liability to us in relation to our consolidated financial condition or results of operations.</w:t>
      </w:r>
    </w:p>
    <w:p>
      <w:pPr>
        <w:spacing w:after="0" w:line="12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to Purchase Vehicles</w:t>
      </w:r>
    </w:p>
    <w:p>
      <w:pPr>
        <w:spacing w:after="0" w:line="169" w:lineRule="exact"/>
        <w:rPr>
          <w:rFonts w:ascii="Arial" w:cs="Arial" w:eastAsia="Arial" w:hAnsi="Arial"/>
          <w:sz w:val="18"/>
          <w:szCs w:val="18"/>
          <w:b w:val="1"/>
          <w:bCs w:val="1"/>
          <w:color w:val="auto"/>
        </w:rPr>
      </w:pPr>
    </w:p>
    <w:p>
      <w:pPr>
        <w:jc w:val="both"/>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We maintain agreements with vehicle manufacturers under which we have agreed to purchase approximately $6.7 billion of vehicles from manufacturers over the next 12 months, a $0.8 billion increase compared to December 31, 2021,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12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Other Purchase Commitments</w:t>
      </w:r>
    </w:p>
    <w:p>
      <w:pPr>
        <w:spacing w:after="0" w:line="169" w:lineRule="exact"/>
        <w:rPr>
          <w:rFonts w:ascii="Arial" w:cs="Arial" w:eastAsia="Arial" w:hAnsi="Arial"/>
          <w:sz w:val="18"/>
          <w:szCs w:val="18"/>
          <w:b w:val="1"/>
          <w:bCs w:val="1"/>
          <w:color w:val="auto"/>
        </w:rPr>
      </w:pPr>
    </w:p>
    <w:p>
      <w:pPr>
        <w:jc w:val="both"/>
        <w:ind w:left="5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the normal course of business, we make various commitments to purchase other goods or services from specific suppliers, including those related to marketing, advertising, computer services and capital expenditures. As of December 31, 2022, we had approximately $102 million of purchase obligations, which extend through 2027.</w:t>
      </w:r>
    </w:p>
    <w:p>
      <w:pPr>
        <w:spacing w:after="0" w:line="11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Concentrations</w:t>
      </w:r>
    </w:p>
    <w:p>
      <w:pPr>
        <w:spacing w:after="0" w:line="169" w:lineRule="exact"/>
        <w:rPr>
          <w:rFonts w:ascii="Arial" w:cs="Arial" w:eastAsia="Arial" w:hAnsi="Arial"/>
          <w:sz w:val="18"/>
          <w:szCs w:val="18"/>
          <w:b w:val="1"/>
          <w:bCs w:val="1"/>
          <w:color w:val="auto"/>
        </w:rPr>
      </w:pPr>
    </w:p>
    <w:p>
      <w:pPr>
        <w:jc w:val="both"/>
        <w:ind w:left="5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Concentrations of credit risk at December 31, 2022, include (i) risks related to our repurchase and guaranteed depreciation agreements with domestic and foreign car manufacturers and primarily with respect to receivables for program cars that have been disposed, but for which we have not yet received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payment from the manufacturers and (ii) risks related to Realogy and Wyndham, including receivables of $27 million and $16 million, respectively, related to certain contingent, income tax and other corporate liabilities assumed by Realogy and Wyndham in connection with their disposition.</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69"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maintain a liability for asset retirement obligations. An asset retirement obligation is a legal obligation to perform certain activities in connection with the retirement, disposal or abandonment of assets. Our asset retirement obligations, which are measured at discounted fair values, are primarily related to the removal of underground gasoline storage tanks at our rental facilities. The liability accrued for asset retirement obligations was $26 million and $28 million at December 31, 2022 and 2021, respectively.</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Standard Guarantees/Indemnifications</w:t>
      </w:r>
    </w:p>
    <w:p>
      <w:pPr>
        <w:spacing w:after="0" w:line="169"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In the ordinary course of business, we enter into numerous agreements that contain standard guarantees and indemnities whereby we agree to indemnify another party, among other things, for performance under contracts and any breaches of representations and warranties thereunder. In addition, many of these parties are also indemnified against any third-party claim resulting from the transaction that is contemplated in the underlying agreement. Such guarantees or indemnifications are granted under various agreements, including those governing (i) purchases, sales or outsourcing of assets, businesses or activities, (ii) leases of real estate,</w:t>
      </w:r>
    </w:p>
    <w:p>
      <w:pPr>
        <w:spacing w:after="0" w:line="3" w:lineRule="exact"/>
        <w:rPr>
          <w:sz w:val="20"/>
          <w:szCs w:val="20"/>
          <w:color w:val="auto"/>
        </w:rPr>
      </w:pPr>
    </w:p>
    <w:p>
      <w:pPr>
        <w:jc w:val="both"/>
        <w:ind w:left="500" w:hanging="6"/>
        <w:spacing w:after="0" w:line="250" w:lineRule="auto"/>
        <w:tabs>
          <w:tab w:leader="none" w:pos="811" w:val="left"/>
        </w:tabs>
        <w:numPr>
          <w:ilvl w:val="1"/>
          <w:numId w:val="53"/>
        </w:numPr>
        <w:rPr>
          <w:rFonts w:ascii="Arial" w:cs="Arial" w:eastAsia="Arial" w:hAnsi="Arial"/>
          <w:sz w:val="18"/>
          <w:szCs w:val="18"/>
          <w:color w:val="auto"/>
        </w:rPr>
      </w:pPr>
      <w:r>
        <w:rPr>
          <w:rFonts w:ascii="Arial" w:cs="Arial" w:eastAsia="Arial" w:hAnsi="Arial"/>
          <w:sz w:val="18"/>
          <w:szCs w:val="18"/>
          <w:color w:val="auto"/>
        </w:rPr>
        <w:t>licensing of trademarks, (iv) access to credit facilities and use of derivatives and (v) issuances of debt or equity securities. The guarantees or indemnifications issued are for the benefit of the (i) buyers in sale agreements and sellers in purchase agreements,</w:t>
      </w:r>
    </w:p>
    <w:p>
      <w:pPr>
        <w:jc w:val="both"/>
        <w:ind w:left="500" w:hanging="6"/>
        <w:spacing w:after="0" w:line="252" w:lineRule="auto"/>
        <w:tabs>
          <w:tab w:leader="none" w:pos="762" w:val="left"/>
        </w:tabs>
        <w:numPr>
          <w:ilvl w:val="1"/>
          <w:numId w:val="54"/>
        </w:numPr>
        <w:rPr>
          <w:rFonts w:ascii="Arial" w:cs="Arial" w:eastAsia="Arial" w:hAnsi="Arial"/>
          <w:sz w:val="18"/>
          <w:szCs w:val="18"/>
          <w:color w:val="auto"/>
        </w:rPr>
      </w:pPr>
      <w:r>
        <w:rPr>
          <w:rFonts w:ascii="Arial" w:cs="Arial" w:eastAsia="Arial" w:hAnsi="Arial"/>
          <w:sz w:val="18"/>
          <w:szCs w:val="18"/>
          <w:color w:val="auto"/>
        </w:rPr>
        <w:t>landlords in lease contracts, (iii) licensees under licensing agreements, (iv) financial institutions in credit facility arrangements and derivative contracts and (v) underwriters and placement agents in debt or equity security issuances. While some of these guarantees extend only for the duration of the underlying agreement, many may survive the expiration of the term of the agreement or extend into perpetuity (unless subject to a legal statute of limitations). There are no specific limitations on the maximum potential amount of future payments that we could be required to make under these guarantees, nor are we able to develop an estimate of the maximum potential amount of future payments to be made under these guarantees as the triggering events are not subject to predictability. With respect to certain of the aforementioned guarantees, such as indemnifications provided to landlords against third-party claims for the use of real estate property leased by us, we maintains insurance coverage that mitigates our potential exposure.</w:t>
      </w:r>
    </w:p>
    <w:p>
      <w:pPr>
        <w:spacing w:after="0" w:line="214" w:lineRule="exact"/>
        <w:rPr>
          <w:rFonts w:ascii="Arial" w:cs="Arial" w:eastAsia="Arial" w:hAnsi="Arial"/>
          <w:sz w:val="18"/>
          <w:szCs w:val="18"/>
          <w:color w:val="auto"/>
        </w:rPr>
      </w:pPr>
    </w:p>
    <w:p>
      <w:pPr>
        <w:ind w:left="500" w:right="8600" w:hanging="442"/>
        <w:spacing w:after="0" w:line="464" w:lineRule="auto"/>
        <w:tabs>
          <w:tab w:leader="none" w:pos="514"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Cash Dividend Payments</w:t>
      </w:r>
    </w:p>
    <w:p>
      <w:pPr>
        <w:ind w:left="500"/>
        <w:spacing w:after="0" w:line="287" w:lineRule="auto"/>
        <w:rPr>
          <w:rFonts w:ascii="Arial" w:cs="Arial" w:eastAsia="Arial" w:hAnsi="Arial"/>
          <w:sz w:val="17"/>
          <w:szCs w:val="17"/>
          <w:b w:val="1"/>
          <w:bCs w:val="1"/>
          <w:color w:val="auto"/>
        </w:rPr>
      </w:pPr>
      <w:r>
        <w:rPr>
          <w:rFonts w:ascii="Arial" w:cs="Arial" w:eastAsia="Arial" w:hAnsi="Arial"/>
          <w:sz w:val="18"/>
          <w:szCs w:val="18"/>
          <w:color w:val="auto"/>
        </w:rPr>
        <w:t>During 2022, 2021 and 2020, we did not declare or pay any cash dividends. Our ability to pay dividends to holders of our common stock is limited by our senior credit facility, the indentures governing our senior notes and our vehicle financing programs.</w:t>
      </w:r>
    </w:p>
    <w:p>
      <w:pPr>
        <w:spacing w:after="0" w:line="100"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Share Repurchases</w:t>
      </w:r>
    </w:p>
    <w:p>
      <w:pPr>
        <w:spacing w:after="0" w:line="169" w:lineRule="exact"/>
        <w:rPr>
          <w:rFonts w:ascii="Arial" w:cs="Arial" w:eastAsia="Arial" w:hAnsi="Arial"/>
          <w:sz w:val="17"/>
          <w:szCs w:val="17"/>
          <w:b w:val="1"/>
          <w:bCs w:val="1"/>
          <w:color w:val="auto"/>
        </w:rPr>
      </w:pPr>
    </w:p>
    <w:p>
      <w:pPr>
        <w:jc w:val="both"/>
        <w:ind w:left="500"/>
        <w:spacing w:after="0" w:line="262" w:lineRule="auto"/>
        <w:rPr>
          <w:rFonts w:ascii="Arial" w:cs="Arial" w:eastAsia="Arial" w:hAnsi="Arial"/>
          <w:sz w:val="17"/>
          <w:szCs w:val="17"/>
          <w:b w:val="1"/>
          <w:bCs w:val="1"/>
          <w:color w:val="auto"/>
        </w:rPr>
      </w:pPr>
      <w:r>
        <w:rPr>
          <w:rFonts w:ascii="Arial" w:cs="Arial" w:eastAsia="Arial" w:hAnsi="Arial"/>
          <w:sz w:val="18"/>
          <w:szCs w:val="18"/>
          <w:color w:val="262626"/>
        </w:rPr>
        <w:t xml:space="preserve">As of December 31, 2022, our Board of Directors authorized the repurchase of up to approximately $7.1 billion of our common stock under a plan originally approved in 2013 and subsequently expanded. </w:t>
      </w:r>
      <w:r>
        <w:rPr>
          <w:rFonts w:ascii="Arial" w:cs="Arial" w:eastAsia="Arial" w:hAnsi="Arial"/>
          <w:sz w:val="18"/>
          <w:szCs w:val="18"/>
          <w:color w:val="000000"/>
        </w:rPr>
        <w:t>During 2022, 2021 and 2020, we repurchased approximately 36</w:t>
      </w:r>
      <w:r>
        <w:rPr>
          <w:rFonts w:ascii="Arial" w:cs="Arial" w:eastAsia="Arial" w:hAnsi="Arial"/>
          <w:sz w:val="18"/>
          <w:szCs w:val="18"/>
          <w:color w:val="262626"/>
        </w:rPr>
        <w:t xml:space="preserve"> </w:t>
      </w:r>
      <w:r>
        <w:rPr>
          <w:rFonts w:ascii="Arial" w:cs="Arial" w:eastAsia="Arial" w:hAnsi="Arial"/>
          <w:sz w:val="18"/>
          <w:szCs w:val="18"/>
          <w:color w:val="000000"/>
        </w:rPr>
        <w:t>million shares of common stock at a cost of approximately $4.8 billion under the program. As of December 31, 2022, approximately $691 million of authorization remained available to repurchase common stock under this plan.</w:t>
      </w:r>
    </w:p>
    <w:p>
      <w:pPr>
        <w:spacing w:after="0" w:line="205"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Share Issuances</w:t>
      </w:r>
    </w:p>
    <w:p>
      <w:pPr>
        <w:spacing w:after="0" w:line="250" w:lineRule="exact"/>
        <w:rPr>
          <w:rFonts w:ascii="Arial" w:cs="Arial" w:eastAsia="Arial" w:hAnsi="Arial"/>
          <w:sz w:val="17"/>
          <w:szCs w:val="17"/>
          <w:b w:val="1"/>
          <w:bCs w:val="1"/>
          <w:color w:val="auto"/>
        </w:rPr>
      </w:pPr>
    </w:p>
    <w:p>
      <w:pPr>
        <w:jc w:val="both"/>
        <w:ind w:left="500"/>
        <w:spacing w:after="0" w:line="268" w:lineRule="auto"/>
        <w:rPr>
          <w:rFonts w:ascii="Arial" w:cs="Arial" w:eastAsia="Arial" w:hAnsi="Arial"/>
          <w:sz w:val="17"/>
          <w:szCs w:val="17"/>
          <w:b w:val="1"/>
          <w:bCs w:val="1"/>
          <w:color w:val="auto"/>
        </w:rPr>
      </w:pPr>
      <w:r>
        <w:rPr>
          <w:rFonts w:ascii="Arial" w:cs="Arial" w:eastAsia="Arial" w:hAnsi="Arial"/>
          <w:sz w:val="18"/>
          <w:szCs w:val="18"/>
          <w:color w:val="auto"/>
        </w:rPr>
        <w:t>On February 10, 2020, we announced we had appointed a new Chairman of the Board of Directors and in connection with this appointment, the new Chairman purchased an aggregate $15 million of unregistered shares of our common stock at a price per share equal to the closing price of our common stock on February 7, 2020. We issued the common stock from treasury shares.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are as follows:</w:t>
      </w:r>
    </w:p>
    <w:p>
      <w:pPr>
        <w:spacing w:after="0" w:line="27"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154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Currency Translation</w:t>
            </w:r>
          </w:p>
        </w:tc>
        <w:tc>
          <w:tcPr>
            <w:tcW w:w="8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Net Unrealized</w:t>
            </w: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Minimum Pension</w:t>
            </w:r>
          </w:p>
        </w:tc>
        <w:tc>
          <w:tcPr>
            <w:tcW w:w="100" w:type="dxa"/>
            <w:vAlign w:val="bottom"/>
          </w:tcPr>
          <w:p>
            <w:pPr>
              <w:spacing w:after="0"/>
              <w:rPr>
                <w:sz w:val="13"/>
                <w:szCs w:val="13"/>
                <w:color w:val="auto"/>
              </w:rPr>
            </w:pPr>
          </w:p>
        </w:tc>
        <w:tc>
          <w:tcPr>
            <w:tcW w:w="132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22"/>
        </w:trPr>
        <w:tc>
          <w:tcPr>
            <w:tcW w:w="414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140" w:type="dxa"/>
            <w:vAlign w:val="bottom"/>
          </w:tcPr>
          <w:p>
            <w:pPr>
              <w:spacing w:after="0"/>
              <w:rPr>
                <w:sz w:val="10"/>
                <w:szCs w:val="10"/>
                <w:color w:val="auto"/>
              </w:rPr>
            </w:pPr>
          </w:p>
        </w:tc>
        <w:tc>
          <w:tcPr>
            <w:tcW w:w="140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7"/>
              </w:rPr>
              <w:t>Liability</w:t>
            </w:r>
          </w:p>
        </w:tc>
        <w:tc>
          <w:tcPr>
            <w:tcW w:w="100" w:type="dxa"/>
            <w:vAlign w:val="bottom"/>
          </w:tcPr>
          <w:p>
            <w:pPr>
              <w:spacing w:after="0"/>
              <w:rPr>
                <w:sz w:val="10"/>
                <w:szCs w:val="10"/>
                <w:color w:val="auto"/>
              </w:rPr>
            </w:pPr>
          </w:p>
        </w:tc>
        <w:tc>
          <w:tcPr>
            <w:tcW w:w="132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 xml:space="preserve">Adjustments </w:t>
            </w:r>
            <w:r>
              <w:rPr>
                <w:rFonts w:ascii="Arial" w:cs="Arial" w:eastAsia="Arial" w:hAnsi="Arial"/>
                <w:sz w:val="16"/>
                <w:szCs w:val="16"/>
                <w:b w:val="1"/>
                <w:bCs w:val="1"/>
                <w:color w:val="auto"/>
                <w:w w:val="94"/>
                <w:vertAlign w:val="superscript"/>
              </w:rPr>
              <w:t>(a)</w:t>
            </w:r>
          </w:p>
        </w:tc>
        <w:tc>
          <w:tcPr>
            <w:tcW w:w="80" w:type="dxa"/>
            <w:vAlign w:val="bottom"/>
          </w:tcPr>
          <w:p>
            <w:pPr>
              <w:spacing w:after="0"/>
              <w:rPr>
                <w:sz w:val="16"/>
                <w:szCs w:val="16"/>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 xml:space="preserve">Cash Flow Hedges </w:t>
            </w:r>
            <w:r>
              <w:rPr>
                <w:rFonts w:ascii="Arial" w:cs="Arial" w:eastAsia="Arial" w:hAnsi="Arial"/>
                <w:sz w:val="16"/>
                <w:szCs w:val="16"/>
                <w:b w:val="1"/>
                <w:bCs w:val="1"/>
                <w:color w:val="auto"/>
                <w:w w:val="94"/>
                <w:vertAlign w:val="superscript"/>
              </w:rPr>
              <w:t>(b)</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 xml:space="preserve">Adjustment </w:t>
            </w:r>
            <w:r>
              <w:rPr>
                <w:rFonts w:ascii="Arial" w:cs="Arial" w:eastAsia="Arial" w:hAnsi="Arial"/>
                <w:sz w:val="16"/>
                <w:szCs w:val="16"/>
                <w:b w:val="1"/>
                <w:bCs w:val="1"/>
                <w:color w:val="auto"/>
                <w:w w:val="95"/>
                <w:vertAlign w:val="superscript"/>
              </w:rPr>
              <w:t>(c)</w:t>
            </w:r>
          </w:p>
        </w:tc>
        <w:tc>
          <w:tcPr>
            <w:tcW w:w="100" w:type="dxa"/>
            <w:vAlign w:val="bottom"/>
          </w:tcPr>
          <w:p>
            <w:pPr>
              <w:spacing w:after="0"/>
              <w:rPr>
                <w:sz w:val="16"/>
                <w:szCs w:val="16"/>
                <w:color w:val="auto"/>
              </w:rPr>
            </w:pPr>
          </w:p>
        </w:tc>
        <w:tc>
          <w:tcPr>
            <w:tcW w:w="132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r>
        <w:trPr>
          <w:trHeight w:val="163"/>
        </w:trPr>
        <w:tc>
          <w:tcPr>
            <w:tcW w:w="4140" w:type="dxa"/>
            <w:vAlign w:val="bottom"/>
          </w:tcPr>
          <w:p>
            <w:pPr>
              <w:spacing w:after="0" w:line="146" w:lineRule="exact"/>
              <w:rPr>
                <w:sz w:val="20"/>
                <w:szCs w:val="20"/>
                <w:color w:val="auto"/>
              </w:rPr>
            </w:pPr>
            <w:r>
              <w:rPr>
                <w:rFonts w:ascii="Arial" w:cs="Arial" w:eastAsia="Arial" w:hAnsi="Arial"/>
                <w:sz w:val="13"/>
                <w:szCs w:val="13"/>
                <w:color w:val="auto"/>
              </w:rPr>
              <w:t>Balance, January 1, 2020</w:t>
            </w: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(146)</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66"/>
        </w:trPr>
        <w:tc>
          <w:tcPr>
            <w:tcW w:w="4140" w:type="dxa"/>
            <w:vAlign w:val="bottom"/>
          </w:tcPr>
          <w:p>
            <w:pPr>
              <w:ind w:left="160"/>
              <w:spacing w:after="0" w:line="148" w:lineRule="exact"/>
              <w:rPr>
                <w:sz w:val="20"/>
                <w:szCs w:val="20"/>
                <w:color w:val="auto"/>
              </w:rPr>
            </w:pPr>
            <w:r>
              <w:rPr>
                <w:rFonts w:ascii="Arial" w:cs="Arial" w:eastAsia="Arial" w:hAnsi="Arial"/>
                <w:sz w:val="13"/>
                <w:szCs w:val="13"/>
                <w:color w:val="auto"/>
              </w:rPr>
              <w:t>Other comprehensive income (loss) before reclassifications</w:t>
            </w: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31"/>
        </w:trPr>
        <w:tc>
          <w:tcPr>
            <w:tcW w:w="4140" w:type="dxa"/>
            <w:vAlign w:val="bottom"/>
          </w:tcPr>
          <w:p>
            <w:pPr>
              <w:ind w:left="160"/>
              <w:spacing w:after="0" w:line="131" w:lineRule="exact"/>
              <w:rPr>
                <w:sz w:val="20"/>
                <w:szCs w:val="20"/>
                <w:color w:val="auto"/>
              </w:rPr>
            </w:pPr>
            <w:r>
              <w:rPr>
                <w:rFonts w:ascii="Arial" w:cs="Arial" w:eastAsia="Arial" w:hAnsi="Arial"/>
                <w:sz w:val="13"/>
                <w:szCs w:val="13"/>
                <w:color w:val="auto"/>
                <w:w w:val="99"/>
              </w:rPr>
              <w:t>Amounts reclassified from accumulated other comprehensive income</w:t>
            </w: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140" w:type="dxa"/>
            <w:vAlign w:val="bottom"/>
          </w:tcPr>
          <w:p>
            <w:pPr>
              <w:ind w:left="320"/>
              <w:spacing w:after="0"/>
              <w:rPr>
                <w:sz w:val="20"/>
                <w:szCs w:val="20"/>
                <w:color w:val="auto"/>
              </w:rPr>
            </w:pPr>
            <w:r>
              <w:rPr>
                <w:rFonts w:ascii="Arial" w:cs="Arial" w:eastAsia="Arial" w:hAnsi="Arial"/>
                <w:sz w:val="13"/>
                <w:szCs w:val="13"/>
                <w:color w:val="auto"/>
              </w:rPr>
              <w:t>(loss)</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9"/>
        </w:trPr>
        <w:tc>
          <w:tcPr>
            <w:tcW w:w="4140" w:type="dxa"/>
            <w:vAlign w:val="bottom"/>
          </w:tcPr>
          <w:p>
            <w:pPr>
              <w:spacing w:after="0" w:line="148" w:lineRule="exact"/>
              <w:rPr>
                <w:sz w:val="20"/>
                <w:szCs w:val="20"/>
                <w:color w:val="auto"/>
              </w:rPr>
            </w:pPr>
            <w:r>
              <w:rPr>
                <w:rFonts w:ascii="Arial" w:cs="Arial" w:eastAsia="Arial" w:hAnsi="Arial"/>
                <w:sz w:val="13"/>
                <w:szCs w:val="13"/>
                <w:color w:val="auto"/>
              </w:rPr>
              <w:t>Net current-period other comprehensive income (loss)</w:t>
            </w: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69"/>
        </w:trPr>
        <w:tc>
          <w:tcPr>
            <w:tcW w:w="4140" w:type="dxa"/>
            <w:vAlign w:val="bottom"/>
          </w:tcPr>
          <w:p>
            <w:pPr>
              <w:spacing w:after="0" w:line="148" w:lineRule="exact"/>
              <w:rPr>
                <w:sz w:val="20"/>
                <w:szCs w:val="20"/>
                <w:color w:val="auto"/>
              </w:rPr>
            </w:pPr>
            <w:r>
              <w:rPr>
                <w:rFonts w:ascii="Arial" w:cs="Arial" w:eastAsia="Arial" w:hAnsi="Arial"/>
                <w:sz w:val="13"/>
                <w:szCs w:val="13"/>
                <w:color w:val="auto"/>
              </w:rPr>
              <w:t>Balance, December 31, 2020</w:t>
            </w: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166"/>
        </w:trPr>
        <w:tc>
          <w:tcPr>
            <w:tcW w:w="4140" w:type="dxa"/>
            <w:vAlign w:val="bottom"/>
          </w:tcPr>
          <w:p>
            <w:pPr>
              <w:ind w:left="160"/>
              <w:spacing w:after="0" w:line="148" w:lineRule="exact"/>
              <w:rPr>
                <w:sz w:val="20"/>
                <w:szCs w:val="20"/>
                <w:color w:val="auto"/>
              </w:rPr>
            </w:pPr>
            <w:r>
              <w:rPr>
                <w:rFonts w:ascii="Arial" w:cs="Arial" w:eastAsia="Arial" w:hAnsi="Arial"/>
                <w:sz w:val="13"/>
                <w:szCs w:val="13"/>
                <w:color w:val="auto"/>
              </w:rPr>
              <w:t>Other comprehensive income (loss) before reclassifications</w:t>
            </w: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31"/>
        </w:trPr>
        <w:tc>
          <w:tcPr>
            <w:tcW w:w="4140" w:type="dxa"/>
            <w:vAlign w:val="bottom"/>
          </w:tcPr>
          <w:p>
            <w:pPr>
              <w:ind w:left="160"/>
              <w:spacing w:after="0" w:line="131" w:lineRule="exact"/>
              <w:rPr>
                <w:sz w:val="20"/>
                <w:szCs w:val="20"/>
                <w:color w:val="auto"/>
              </w:rPr>
            </w:pPr>
            <w:r>
              <w:rPr>
                <w:rFonts w:ascii="Arial" w:cs="Arial" w:eastAsia="Arial" w:hAnsi="Arial"/>
                <w:sz w:val="13"/>
                <w:szCs w:val="13"/>
                <w:color w:val="auto"/>
                <w:w w:val="99"/>
              </w:rPr>
              <w:t>Amounts reclassified from accumulated other comprehensive income</w:t>
            </w: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140" w:type="dxa"/>
            <w:vAlign w:val="bottom"/>
          </w:tcPr>
          <w:p>
            <w:pPr>
              <w:ind w:left="320"/>
              <w:spacing w:after="0"/>
              <w:rPr>
                <w:sz w:val="20"/>
                <w:szCs w:val="20"/>
                <w:color w:val="auto"/>
              </w:rPr>
            </w:pPr>
            <w:r>
              <w:rPr>
                <w:rFonts w:ascii="Arial" w:cs="Arial" w:eastAsia="Arial" w:hAnsi="Arial"/>
                <w:sz w:val="13"/>
                <w:szCs w:val="13"/>
                <w:color w:val="auto"/>
              </w:rPr>
              <w:t>(loss)</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69"/>
        </w:trPr>
        <w:tc>
          <w:tcPr>
            <w:tcW w:w="4140" w:type="dxa"/>
            <w:vAlign w:val="bottom"/>
          </w:tcPr>
          <w:p>
            <w:pPr>
              <w:spacing w:after="0" w:line="148" w:lineRule="exact"/>
              <w:rPr>
                <w:sz w:val="20"/>
                <w:szCs w:val="20"/>
                <w:color w:val="auto"/>
              </w:rPr>
            </w:pPr>
            <w:r>
              <w:rPr>
                <w:rFonts w:ascii="Arial" w:cs="Arial" w:eastAsia="Arial" w:hAnsi="Arial"/>
                <w:sz w:val="13"/>
                <w:szCs w:val="13"/>
                <w:color w:val="auto"/>
              </w:rPr>
              <w:t>Net current-period other comprehensive income (loss)</w:t>
            </w: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69"/>
        </w:trPr>
        <w:tc>
          <w:tcPr>
            <w:tcW w:w="4140" w:type="dxa"/>
            <w:vAlign w:val="bottom"/>
          </w:tcPr>
          <w:p>
            <w:pPr>
              <w:spacing w:after="0" w:line="148" w:lineRule="exact"/>
              <w:rPr>
                <w:sz w:val="20"/>
                <w:szCs w:val="20"/>
                <w:color w:val="auto"/>
              </w:rPr>
            </w:pPr>
            <w:r>
              <w:rPr>
                <w:rFonts w:ascii="Arial" w:cs="Arial" w:eastAsia="Arial" w:hAnsi="Arial"/>
                <w:sz w:val="13"/>
                <w:szCs w:val="13"/>
                <w:color w:val="auto"/>
              </w:rPr>
              <w:t>Balance, December 31, 2021</w:t>
            </w: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66"/>
        </w:trPr>
        <w:tc>
          <w:tcPr>
            <w:tcW w:w="4140" w:type="dxa"/>
            <w:vAlign w:val="bottom"/>
          </w:tcPr>
          <w:p>
            <w:pPr>
              <w:ind w:left="160"/>
              <w:spacing w:after="0" w:line="148" w:lineRule="exact"/>
              <w:rPr>
                <w:sz w:val="20"/>
                <w:szCs w:val="20"/>
                <w:color w:val="auto"/>
              </w:rPr>
            </w:pPr>
            <w:r>
              <w:rPr>
                <w:rFonts w:ascii="Arial" w:cs="Arial" w:eastAsia="Arial" w:hAnsi="Arial"/>
                <w:sz w:val="13"/>
                <w:szCs w:val="13"/>
                <w:color w:val="auto"/>
              </w:rPr>
              <w:t>Other comprehensive income (loss) before reclassifications</w:t>
            </w: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31"/>
        </w:trPr>
        <w:tc>
          <w:tcPr>
            <w:tcW w:w="4140" w:type="dxa"/>
            <w:vAlign w:val="bottom"/>
          </w:tcPr>
          <w:p>
            <w:pPr>
              <w:ind w:left="160"/>
              <w:spacing w:after="0" w:line="131" w:lineRule="exact"/>
              <w:rPr>
                <w:sz w:val="20"/>
                <w:szCs w:val="20"/>
                <w:color w:val="auto"/>
              </w:rPr>
            </w:pPr>
            <w:r>
              <w:rPr>
                <w:rFonts w:ascii="Arial" w:cs="Arial" w:eastAsia="Arial" w:hAnsi="Arial"/>
                <w:sz w:val="13"/>
                <w:szCs w:val="13"/>
                <w:color w:val="auto"/>
                <w:w w:val="99"/>
              </w:rPr>
              <w:t>Amounts reclassified from accumulated other comprehensive income</w:t>
            </w: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140" w:type="dxa"/>
            <w:vAlign w:val="bottom"/>
          </w:tcPr>
          <w:p>
            <w:pPr>
              <w:ind w:left="320"/>
              <w:spacing w:after="0"/>
              <w:rPr>
                <w:sz w:val="20"/>
                <w:szCs w:val="20"/>
                <w:color w:val="auto"/>
              </w:rPr>
            </w:pPr>
            <w:r>
              <w:rPr>
                <w:rFonts w:ascii="Arial" w:cs="Arial" w:eastAsia="Arial" w:hAnsi="Arial"/>
                <w:sz w:val="13"/>
                <w:szCs w:val="13"/>
                <w:color w:val="auto"/>
              </w:rPr>
              <w:t>(loss)</w:t>
            </w:r>
          </w:p>
        </w:tc>
        <w:tc>
          <w:tcPr>
            <w:tcW w:w="18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69"/>
        </w:trPr>
        <w:tc>
          <w:tcPr>
            <w:tcW w:w="4140" w:type="dxa"/>
            <w:vAlign w:val="bottom"/>
          </w:tcPr>
          <w:p>
            <w:pPr>
              <w:spacing w:after="0" w:line="148" w:lineRule="exact"/>
              <w:rPr>
                <w:sz w:val="20"/>
                <w:szCs w:val="20"/>
                <w:color w:val="auto"/>
              </w:rPr>
            </w:pPr>
            <w:r>
              <w:rPr>
                <w:rFonts w:ascii="Arial" w:cs="Arial" w:eastAsia="Arial" w:hAnsi="Arial"/>
                <w:sz w:val="13"/>
                <w:szCs w:val="13"/>
                <w:color w:val="auto"/>
              </w:rPr>
              <w:t>Net current-period other comprehensive income (loss)</w:t>
            </w:r>
          </w:p>
        </w:tc>
        <w:tc>
          <w:tcPr>
            <w:tcW w:w="1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71"/>
        </w:trPr>
        <w:tc>
          <w:tcPr>
            <w:tcW w:w="4140" w:type="dxa"/>
            <w:vAlign w:val="bottom"/>
          </w:tcPr>
          <w:p>
            <w:pPr>
              <w:spacing w:after="0" w:line="148" w:lineRule="exact"/>
              <w:rPr>
                <w:sz w:val="20"/>
                <w:szCs w:val="20"/>
                <w:color w:val="auto"/>
              </w:rPr>
            </w:pPr>
            <w:r>
              <w:rPr>
                <w:rFonts w:ascii="Arial" w:cs="Arial" w:eastAsia="Arial" w:hAnsi="Arial"/>
                <w:sz w:val="13"/>
                <w:szCs w:val="13"/>
                <w:color w:val="auto"/>
              </w:rPr>
              <w:t>Balance, December 31, 2022</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jc w:val="both"/>
        <w:ind w:left="500"/>
        <w:spacing w:after="0" w:line="254"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(see Note 9 – Income Taxes for impacts of the Tax Act) and include a $114 million gain, net of tax, related to our hedge of our investment in euro-denominated foreign operations (See Note 20 – Financial Instruments).</w:t>
      </w:r>
    </w:p>
    <w:p>
      <w:pPr>
        <w:spacing w:after="0" w:line="2" w:lineRule="exact"/>
        <w:rPr>
          <w:sz w:val="20"/>
          <w:szCs w:val="20"/>
          <w:color w:val="auto"/>
        </w:rPr>
      </w:pPr>
    </w:p>
    <w:p>
      <w:pPr>
        <w:ind w:left="820" w:right="20" w:hanging="326"/>
        <w:spacing w:after="0" w:line="261" w:lineRule="auto"/>
        <w:tabs>
          <w:tab w:leader="none" w:pos="813" w:val="left"/>
        </w:tabs>
        <w:numPr>
          <w:ilvl w:val="1"/>
          <w:numId w:val="56"/>
        </w:numPr>
        <w:rPr>
          <w:rFonts w:ascii="Arial" w:cs="Arial" w:eastAsia="Arial" w:hAnsi="Arial"/>
          <w:sz w:val="9"/>
          <w:szCs w:val="9"/>
          <w:color w:val="auto"/>
        </w:rPr>
      </w:pPr>
      <w:r>
        <w:rPr>
          <w:rFonts w:ascii="Arial" w:cs="Arial" w:eastAsia="Arial" w:hAnsi="Arial"/>
          <w:sz w:val="14"/>
          <w:szCs w:val="14"/>
          <w:color w:val="auto"/>
        </w:rPr>
        <w:t>For the years ended December 31, 2021 and 2020, the amounts were reclassified from accumulated other comprehensive income (loss) into restructuring and other related charges.</w:t>
      </w:r>
    </w:p>
    <w:p>
      <w:pPr>
        <w:jc w:val="both"/>
        <w:ind w:left="820" w:hanging="326"/>
        <w:spacing w:after="0"/>
        <w:tabs>
          <w:tab w:leader="none" w:pos="813" w:val="left"/>
        </w:tabs>
        <w:numPr>
          <w:ilvl w:val="1"/>
          <w:numId w:val="56"/>
        </w:numPr>
        <w:rPr>
          <w:rFonts w:ascii="Arial" w:cs="Arial" w:eastAsia="Arial" w:hAnsi="Arial"/>
          <w:sz w:val="19"/>
          <w:szCs w:val="19"/>
          <w:color w:val="auto"/>
          <w:vertAlign w:val="superscript"/>
        </w:rPr>
      </w:pPr>
      <w:r>
        <w:rPr>
          <w:rFonts w:ascii="Arial" w:cs="Arial" w:eastAsia="Arial" w:hAnsi="Arial"/>
          <w:sz w:val="14"/>
          <w:szCs w:val="14"/>
          <w:color w:val="auto"/>
        </w:rPr>
        <w:t>For the years ended December 31, 2022, 2021 and 2020, the amounts reclassified from accumulated other comprehensive income (loss) into corporate interest expense were $9 million ($7 million, net of tax), $17 million ($12 million, net of tax) and $9 million ($6 million, net of tax), respectively. For the years ended December 31, 2021 and 2020, the amounts reclassified from accumulated other comprehensive income (loss) into vehicle interest expense were $2 million ($2 million, net of tax).</w:t>
      </w:r>
    </w:p>
    <w:p>
      <w:pPr>
        <w:spacing w:after="0" w:line="148" w:lineRule="exact"/>
        <w:rPr>
          <w:rFonts w:ascii="Arial" w:cs="Arial" w:eastAsia="Arial" w:hAnsi="Arial"/>
          <w:sz w:val="19"/>
          <w:szCs w:val="19"/>
          <w:color w:val="auto"/>
          <w:vertAlign w:val="superscript"/>
        </w:rPr>
      </w:pPr>
    </w:p>
    <w:p>
      <w:pPr>
        <w:ind w:left="820" w:right="20" w:hanging="326"/>
        <w:spacing w:after="0" w:line="284" w:lineRule="auto"/>
        <w:tabs>
          <w:tab w:leader="none" w:pos="807" w:val="left"/>
        </w:tabs>
        <w:numPr>
          <w:ilvl w:val="1"/>
          <w:numId w:val="56"/>
        </w:numPr>
        <w:rPr>
          <w:rFonts w:ascii="Arial" w:cs="Arial" w:eastAsia="Arial" w:hAnsi="Arial"/>
          <w:sz w:val="9"/>
          <w:szCs w:val="9"/>
          <w:color w:val="auto"/>
        </w:rPr>
      </w:pPr>
      <w:r>
        <w:rPr>
          <w:rFonts w:ascii="Arial" w:cs="Arial" w:eastAsia="Arial" w:hAnsi="Arial"/>
          <w:sz w:val="14"/>
          <w:szCs w:val="14"/>
          <w:color w:val="auto"/>
        </w:rPr>
        <w:t>For the years ended December 31, 2022, 2021 and 2020, amounts reclassified from accumulated other comprehensive income (loss) into selling, general and administrative expenses were $5 million ($3 million, net of tax), $9 million ($7 million, net of tax) and $9 million ($6 million, net of tax), respectively.</w:t>
      </w:r>
    </w:p>
    <w:p>
      <w:pPr>
        <w:spacing w:after="0" w:line="189" w:lineRule="exact"/>
        <w:rPr>
          <w:rFonts w:ascii="Arial" w:cs="Arial" w:eastAsia="Arial" w:hAnsi="Arial"/>
          <w:sz w:val="9"/>
          <w:szCs w:val="9"/>
          <w:color w:val="auto"/>
        </w:rPr>
      </w:pPr>
    </w:p>
    <w:p>
      <w:pPr>
        <w:jc w:val="both"/>
        <w:ind w:left="500" w:right="8380" w:hanging="442"/>
        <w:spacing w:after="0" w:line="563" w:lineRule="auto"/>
        <w:tabs>
          <w:tab w:leader="none" w:pos="514"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 Party Transactions </w:t>
      </w:r>
      <w:r>
        <w:rPr>
          <w:rFonts w:ascii="Arial" w:cs="Arial" w:eastAsia="Arial" w:hAnsi="Arial"/>
          <w:sz w:val="17"/>
          <w:szCs w:val="17"/>
          <w:b w:val="1"/>
          <w:bCs w:val="1"/>
          <w:i w:val="1"/>
          <w:iCs w:val="1"/>
          <w:color w:val="auto"/>
        </w:rPr>
        <w:t>SRS Mobility Ventures, LLC</w:t>
      </w:r>
    </w:p>
    <w:p>
      <w:pPr>
        <w:ind w:left="500"/>
        <w:spacing w:after="0" w:line="287" w:lineRule="auto"/>
        <w:rPr>
          <w:rFonts w:ascii="Arial" w:cs="Arial" w:eastAsia="Arial" w:hAnsi="Arial"/>
          <w:sz w:val="17"/>
          <w:szCs w:val="17"/>
          <w:b w:val="1"/>
          <w:bCs w:val="1"/>
          <w:color w:val="auto"/>
        </w:rPr>
      </w:pPr>
      <w:r>
        <w:rPr>
          <w:rFonts w:ascii="Arial" w:cs="Arial" w:eastAsia="Arial" w:hAnsi="Arial"/>
          <w:sz w:val="18"/>
          <w:szCs w:val="18"/>
          <w:color w:val="auto"/>
        </w:rPr>
        <w:t>In 2021, SRS Mobility Ventures, LLC acquired a 33 1/3% Class A Membership Interest in one of our subsidiaries at fair value of $37.5 million. SRS Mobility Ventures, LLC is an affiliate of our largest shareholder, SRS Investment Management, LLC.</w:t>
      </w:r>
    </w:p>
    <w:p>
      <w:pPr>
        <w:spacing w:after="0" w:line="179" w:lineRule="exact"/>
        <w:rPr>
          <w:rFonts w:ascii="Arial" w:cs="Arial" w:eastAsia="Arial" w:hAnsi="Arial"/>
          <w:sz w:val="17"/>
          <w:szCs w:val="17"/>
          <w:b w:val="1"/>
          <w:bCs w:val="1"/>
          <w:color w:val="auto"/>
        </w:rPr>
      </w:pPr>
    </w:p>
    <w:p>
      <w:pPr>
        <w:jc w:val="both"/>
        <w:ind w:left="50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On September 1, 2022, through the issuance of Class B Preferred Voting Membership Interests, SRS Mobility Ventures, LLC increased their ownership in this subsidiary to 51% at a fair value of $62 million. As a result, we deconsolidated our former subsidiary, Avis Mobility Ventures LLC (“AMV”), from our financial statements and now record our proportional share of the former subsidiary’s income or loss within other (income) expense, net in our Consolidated Statements of Operations as we do not have the ability to direct the significant activities of the former subsidiary and are therefore no longer primary beneficiary of the VIE.</w:t>
      </w:r>
    </w:p>
    <w:p>
      <w:pPr>
        <w:spacing w:after="0" w:line="206" w:lineRule="exact"/>
        <w:rPr>
          <w:rFonts w:ascii="Arial" w:cs="Arial" w:eastAsia="Arial" w:hAnsi="Arial"/>
          <w:sz w:val="17"/>
          <w:szCs w:val="17"/>
          <w:b w:val="1"/>
          <w:bCs w:val="1"/>
          <w:color w:val="auto"/>
        </w:rPr>
      </w:pPr>
    </w:p>
    <w:p>
      <w:pPr>
        <w:jc w:val="both"/>
        <w:ind w:left="50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In accordance with ASC Topic 810-10-40, we must deconsolidate a subsidiary as of the date we cease to have a controlling interest in that subsidiary and recognize the gain or loss in net income at that time. The fair value of our retained investment was determined utilizing a discounted cash flow methodology based on various assumptions, including projections of future cash flows, which include forecast of future revenue and EBITDA. Upon deconsolidation, our former subsidiary had a net asset carrying amount of $49 million resulting in a gain of $10 million, which is reported within other (income) expense, net during the year ended December 31, 2022.</w:t>
      </w:r>
    </w:p>
    <w:p>
      <w:pPr>
        <w:spacing w:after="0" w:line="206" w:lineRule="exact"/>
        <w:rPr>
          <w:rFonts w:ascii="Arial" w:cs="Arial" w:eastAsia="Arial" w:hAnsi="Arial"/>
          <w:sz w:val="17"/>
          <w:szCs w:val="17"/>
          <w:b w:val="1"/>
          <w:bCs w:val="1"/>
          <w:color w:val="auto"/>
        </w:rPr>
      </w:pPr>
    </w:p>
    <w:p>
      <w:pPr>
        <w:ind w:left="500"/>
        <w:spacing w:after="0" w:line="287" w:lineRule="auto"/>
        <w:rPr>
          <w:rFonts w:ascii="Arial" w:cs="Arial" w:eastAsia="Arial" w:hAnsi="Arial"/>
          <w:sz w:val="17"/>
          <w:szCs w:val="17"/>
          <w:b w:val="1"/>
          <w:bCs w:val="1"/>
          <w:color w:val="auto"/>
        </w:rPr>
      </w:pPr>
      <w:r>
        <w:rPr>
          <w:rFonts w:ascii="Arial" w:cs="Arial" w:eastAsia="Arial" w:hAnsi="Arial"/>
          <w:sz w:val="18"/>
          <w:szCs w:val="18"/>
          <w:color w:val="auto"/>
        </w:rPr>
        <w:t>We provide vehicles and related fleet services to AMV, as well as certain administrative services to support their operations. For the year ended December 31, 2022, we recognized $7 million of income related to</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these services within other (income) expense, net. At December 31, 2022, we had receivables from AMV of $6 million and a net investment in vehicle finance leases of $36 million. The carrying amount of our equity investment was approximately $49 million at December 31, 2022 and is recorded within other non-current assets in our Consolidated Balance Sheet. For the year ended December 31, 2022, we recorded losses of $10 million within other (income) expense, net related to our equity investment.</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SRS Investment Management LLC</w:t>
      </w:r>
    </w:p>
    <w:p>
      <w:pPr>
        <w:spacing w:after="0" w:line="156"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On December 23, 2022, we also entered into an amended and restated cooperation agreement with SRS Investment Management LLC and certain of its affiliates.</w:t>
      </w:r>
    </w:p>
    <w:p>
      <w:pPr>
        <w:spacing w:after="0" w:line="180" w:lineRule="exact"/>
        <w:rPr>
          <w:sz w:val="20"/>
          <w:szCs w:val="20"/>
          <w:color w:val="auto"/>
        </w:rPr>
      </w:pPr>
    </w:p>
    <w:p>
      <w:pPr>
        <w:ind w:left="500" w:hanging="44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2" w:lineRule="exact"/>
        <w:rPr>
          <w:rFonts w:ascii="Arial" w:cs="Arial" w:eastAsia="Arial" w:hAnsi="Arial"/>
          <w:sz w:val="18"/>
          <w:szCs w:val="18"/>
          <w:b w:val="1"/>
          <w:bCs w:val="1"/>
          <w:color w:val="auto"/>
        </w:rPr>
      </w:pPr>
    </w:p>
    <w:p>
      <w:pPr>
        <w:jc w:val="both"/>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Our Amended and Restated Equity and Incentive Plan provides for the grant of options, stock appreciation rights, restricted stock, restricted stock units (“RSUs”) and other stock- or cash-based awards to employees, directors and other individuals who perform services for us and our subsidiaries. The maximum number of shares reserved for grant of awards under the plan is 22.5 million, with approximately 4.1 million shares available as of December 31, 2022. We typically settle stock-based awards with treasury shares.</w:t>
      </w:r>
    </w:p>
    <w:p>
      <w:pPr>
        <w:spacing w:after="0" w:line="122" w:lineRule="exact"/>
        <w:rPr>
          <w:rFonts w:ascii="Arial" w:cs="Arial" w:eastAsia="Arial" w:hAnsi="Arial"/>
          <w:sz w:val="18"/>
          <w:szCs w:val="18"/>
          <w:b w:val="1"/>
          <w:bCs w:val="1"/>
          <w:color w:val="auto"/>
        </w:rPr>
      </w:pPr>
    </w:p>
    <w:p>
      <w:pPr>
        <w:jc w:val="both"/>
        <w:ind w:left="5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Time-based awards generally vest ratably over a three-year period following the date of grant, and performance- or market-based awards generally vest three years following the date of grant based on the attainment of performance- or market-based goals, all of which are subject to a service condition.</w:t>
      </w:r>
    </w:p>
    <w:p>
      <w:pPr>
        <w:spacing w:after="0" w:line="11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Unit Awards</w:t>
      </w:r>
    </w:p>
    <w:p>
      <w:pPr>
        <w:spacing w:after="0" w:line="169" w:lineRule="exact"/>
        <w:rPr>
          <w:rFonts w:ascii="Arial" w:cs="Arial" w:eastAsia="Arial" w:hAnsi="Arial"/>
          <w:sz w:val="18"/>
          <w:szCs w:val="18"/>
          <w:b w:val="1"/>
          <w:bCs w:val="1"/>
          <w:color w:val="auto"/>
        </w:rPr>
      </w:pPr>
    </w:p>
    <w:p>
      <w:pPr>
        <w:jc w:val="both"/>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Stock unit awards entitle the holder to receive shares of common stock upon vesting on a one-to-one basis. Certain performance-based RSUs vest based upon the level of performance attained, but vesting can increase (typically by up to 20%) if certain relative total shareholder return goals are achieved. Market-based RSUs generally vest based on the level of total shareholder return or absolute stock price attainment.</w:t>
      </w:r>
    </w:p>
    <w:p>
      <w:pPr>
        <w:spacing w:after="0" w:line="122" w:lineRule="exact"/>
        <w:rPr>
          <w:rFonts w:ascii="Arial" w:cs="Arial" w:eastAsia="Arial" w:hAnsi="Arial"/>
          <w:sz w:val="18"/>
          <w:szCs w:val="18"/>
          <w:b w:val="1"/>
          <w:bCs w:val="1"/>
          <w:color w:val="auto"/>
        </w:rPr>
      </w:pPr>
    </w:p>
    <w:p>
      <w:pPr>
        <w:jc w:val="both"/>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June 2020, we granted market-based RSUs that vest based on absolute stock price attainment. The grant date fair value of this award is estimated using a Monte Carlo simulation model. The weighted average assumptions used in the model are outlined in the table below. During the years ended December 31, 2022 and 2021, we did not issue any stock unit awards containing a market condition.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ind w:left="520"/>
              <w:spacing w:after="0"/>
              <w:rPr>
                <w:sz w:val="20"/>
                <w:szCs w:val="20"/>
                <w:color w:val="auto"/>
              </w:rPr>
            </w:pPr>
            <w:r>
              <w:rPr>
                <w:rFonts w:ascii="Arial" w:cs="Arial" w:eastAsia="Arial" w:hAnsi="Arial"/>
                <w:sz w:val="18"/>
                <w:szCs w:val="18"/>
                <w:color w:val="auto"/>
              </w:rPr>
              <w:t>Expected volatility of stock price</w:t>
            </w:r>
          </w:p>
        </w:tc>
        <w:tc>
          <w:tcPr>
            <w:tcW w:w="6980" w:type="dxa"/>
            <w:vAlign w:val="bottom"/>
          </w:tcPr>
          <w:p>
            <w:pPr>
              <w:jc w:val="center"/>
              <w:ind w:left="3250"/>
              <w:spacing w:after="0"/>
              <w:rPr>
                <w:sz w:val="20"/>
                <w:szCs w:val="20"/>
                <w:color w:val="auto"/>
              </w:rPr>
            </w:pPr>
            <w:r>
              <w:rPr>
                <w:rFonts w:ascii="Arial" w:cs="Arial" w:eastAsia="Arial" w:hAnsi="Arial"/>
                <w:sz w:val="18"/>
                <w:szCs w:val="18"/>
                <w:color w:val="auto"/>
                <w:w w:val="99"/>
              </w:rPr>
              <w:t>91%</w:t>
            </w:r>
          </w:p>
        </w:tc>
      </w:tr>
      <w:tr>
        <w:trPr>
          <w:trHeight w:val="229"/>
        </w:trPr>
        <w:tc>
          <w:tcPr>
            <w:tcW w:w="4260" w:type="dxa"/>
            <w:vAlign w:val="bottom"/>
          </w:tcPr>
          <w:p>
            <w:pPr>
              <w:ind w:left="520"/>
              <w:spacing w:after="0"/>
              <w:rPr>
                <w:sz w:val="20"/>
                <w:szCs w:val="20"/>
                <w:color w:val="auto"/>
              </w:rPr>
            </w:pPr>
            <w:r>
              <w:rPr>
                <w:rFonts w:ascii="Arial" w:cs="Arial" w:eastAsia="Arial" w:hAnsi="Arial"/>
                <w:sz w:val="18"/>
                <w:szCs w:val="18"/>
                <w:color w:val="auto"/>
              </w:rPr>
              <w:t>Risk-free interest rate</w:t>
            </w:r>
          </w:p>
        </w:tc>
        <w:tc>
          <w:tcPr>
            <w:tcW w:w="6980" w:type="dxa"/>
            <w:vAlign w:val="bottom"/>
          </w:tcPr>
          <w:p>
            <w:pPr>
              <w:jc w:val="center"/>
              <w:ind w:left="3230"/>
              <w:spacing w:after="0"/>
              <w:rPr>
                <w:sz w:val="20"/>
                <w:szCs w:val="20"/>
                <w:color w:val="auto"/>
              </w:rPr>
            </w:pPr>
            <w:r>
              <w:rPr>
                <w:rFonts w:ascii="Arial" w:cs="Arial" w:eastAsia="Arial" w:hAnsi="Arial"/>
                <w:sz w:val="18"/>
                <w:szCs w:val="18"/>
                <w:color w:val="auto"/>
                <w:w w:val="97"/>
              </w:rPr>
              <w:t>0.18%</w:t>
            </w:r>
          </w:p>
        </w:tc>
      </w:tr>
      <w:tr>
        <w:trPr>
          <w:trHeight w:val="230"/>
        </w:trPr>
        <w:tc>
          <w:tcPr>
            <w:tcW w:w="4260" w:type="dxa"/>
            <w:vAlign w:val="bottom"/>
          </w:tcPr>
          <w:p>
            <w:pPr>
              <w:ind w:left="520"/>
              <w:spacing w:after="0"/>
              <w:rPr>
                <w:sz w:val="20"/>
                <w:szCs w:val="20"/>
                <w:color w:val="auto"/>
              </w:rPr>
            </w:pPr>
            <w:r>
              <w:rPr>
                <w:rFonts w:ascii="Arial" w:cs="Arial" w:eastAsia="Arial" w:hAnsi="Arial"/>
                <w:sz w:val="18"/>
                <w:szCs w:val="18"/>
                <w:color w:val="auto"/>
              </w:rPr>
              <w:t>Valuation period</w:t>
            </w:r>
          </w:p>
        </w:tc>
        <w:tc>
          <w:tcPr>
            <w:tcW w:w="6980" w:type="dxa"/>
            <w:vAlign w:val="bottom"/>
          </w:tcPr>
          <w:p>
            <w:pPr>
              <w:ind w:left="4860"/>
              <w:spacing w:after="0"/>
              <w:rPr>
                <w:sz w:val="20"/>
                <w:szCs w:val="20"/>
                <w:color w:val="auto"/>
              </w:rPr>
            </w:pPr>
            <w:r>
              <w:rPr>
                <w:rFonts w:ascii="Arial" w:cs="Arial" w:eastAsia="Arial" w:hAnsi="Arial"/>
                <w:sz w:val="18"/>
                <w:szCs w:val="18"/>
                <w:color w:val="auto"/>
              </w:rPr>
              <w:t>3 years</w:t>
            </w:r>
          </w:p>
        </w:tc>
      </w:tr>
      <w:tr>
        <w:trPr>
          <w:trHeight w:val="239"/>
        </w:trPr>
        <w:tc>
          <w:tcPr>
            <w:tcW w:w="4260" w:type="dxa"/>
            <w:vAlign w:val="bottom"/>
          </w:tcPr>
          <w:p>
            <w:pPr>
              <w:ind w:left="520"/>
              <w:spacing w:after="0"/>
              <w:rPr>
                <w:sz w:val="20"/>
                <w:szCs w:val="20"/>
                <w:color w:val="auto"/>
              </w:rPr>
            </w:pPr>
            <w:r>
              <w:rPr>
                <w:rFonts w:ascii="Arial" w:cs="Arial" w:eastAsia="Arial" w:hAnsi="Arial"/>
                <w:sz w:val="18"/>
                <w:szCs w:val="18"/>
                <w:color w:val="auto"/>
              </w:rPr>
              <w:t>Dividend yield</w:t>
            </w:r>
          </w:p>
        </w:tc>
        <w:tc>
          <w:tcPr>
            <w:tcW w:w="6980" w:type="dxa"/>
            <w:vAlign w:val="bottom"/>
          </w:tcPr>
          <w:p>
            <w:pPr>
              <w:jc w:val="center"/>
              <w:ind w:left="3230"/>
              <w:spacing w:after="0"/>
              <w:rPr>
                <w:sz w:val="20"/>
                <w:szCs w:val="20"/>
                <w:color w:val="auto"/>
              </w:rPr>
            </w:pPr>
            <w:r>
              <w:rPr>
                <w:rFonts w:ascii="Arial" w:cs="Arial" w:eastAsia="Arial" w:hAnsi="Arial"/>
                <w:sz w:val="18"/>
                <w:szCs w:val="18"/>
                <w:color w:val="auto"/>
                <w:w w:val="99"/>
              </w:rPr>
              <w:t>—%</w:t>
            </w:r>
          </w:p>
        </w:tc>
      </w:tr>
      <w:tr>
        <w:trPr>
          <w:trHeight w:val="904"/>
        </w:trPr>
        <w:tc>
          <w:tcPr>
            <w:tcW w:w="4260" w:type="dxa"/>
            <w:vAlign w:val="bottom"/>
          </w:tcPr>
          <w:p>
            <w:pPr>
              <w:spacing w:after="0"/>
              <w:rPr>
                <w:sz w:val="24"/>
                <w:szCs w:val="24"/>
                <w:color w:val="auto"/>
              </w:rPr>
            </w:pPr>
          </w:p>
        </w:tc>
        <w:tc>
          <w:tcPr>
            <w:tcW w:w="6980" w:type="dxa"/>
            <w:vAlign w:val="bottom"/>
          </w:tcPr>
          <w:p>
            <w:pPr>
              <w:ind w:left="1180"/>
              <w:spacing w:after="0"/>
              <w:rPr>
                <w:sz w:val="20"/>
                <w:szCs w:val="20"/>
                <w:color w:val="auto"/>
              </w:rPr>
            </w:pPr>
            <w:r>
              <w:rPr>
                <w:rFonts w:ascii="Arial" w:cs="Arial" w:eastAsia="Arial" w:hAnsi="Arial"/>
                <w:sz w:val="18"/>
                <w:szCs w:val="18"/>
                <w:color w:val="auto"/>
              </w:rPr>
              <w:t>F-41</w:t>
            </w:r>
          </w:p>
        </w:tc>
      </w:tr>
      <w:tr>
        <w:trPr>
          <w:trHeight w:val="111"/>
        </w:trPr>
        <w:tc>
          <w:tcPr>
            <w:tcW w:w="4260" w:type="dxa"/>
            <w:vAlign w:val="bottom"/>
            <w:tcBorders>
              <w:bottom w:val="single" w:sz="8" w:color="9A9A9A"/>
            </w:tcBorders>
          </w:tcPr>
          <w:p>
            <w:pPr>
              <w:spacing w:after="0"/>
              <w:rPr>
                <w:sz w:val="9"/>
                <w:szCs w:val="9"/>
                <w:color w:val="auto"/>
              </w:rPr>
            </w:pPr>
          </w:p>
        </w:tc>
        <w:tc>
          <w:tcPr>
            <w:tcW w:w="6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Annual activity related to stock units consisted of (in thousands of shares):</w:t>
      </w:r>
    </w:p>
    <w:p>
      <w:pPr>
        <w:spacing w:after="0" w:line="4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4"/>
                <w:szCs w:val="14"/>
                <w:color w:val="auto"/>
              </w:rPr>
            </w:pPr>
          </w:p>
        </w:tc>
        <w:tc>
          <w:tcPr>
            <w:tcW w:w="11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Average</w:t>
            </w:r>
          </w:p>
        </w:tc>
        <w:tc>
          <w:tcPr>
            <w:tcW w:w="14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Grant Date</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Contractual Term</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Intrinsic Value (in</w:t>
            </w:r>
          </w:p>
        </w:tc>
        <w:tc>
          <w:tcPr>
            <w:tcW w:w="0" w:type="dxa"/>
            <w:vAlign w:val="bottom"/>
          </w:tcPr>
          <w:p>
            <w:pPr>
              <w:spacing w:after="0"/>
              <w:rPr>
                <w:sz w:val="1"/>
                <w:szCs w:val="1"/>
                <w:color w:val="auto"/>
              </w:rPr>
            </w:pPr>
          </w:p>
        </w:tc>
      </w:tr>
      <w:tr>
        <w:trPr>
          <w:trHeight w:val="189"/>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Time-based RSUs</w:t>
            </w:r>
          </w:p>
        </w:tc>
        <w:tc>
          <w:tcPr>
            <w:tcW w:w="1200" w:type="dxa"/>
            <w:vAlign w:val="bottom"/>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1100" w:type="dxa"/>
            <w:vAlign w:val="bottom"/>
          </w:tcPr>
          <w:p>
            <w:pPr>
              <w:jc w:val="center"/>
              <w:ind w:right="108"/>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180"/>
        </w:trPr>
        <w:tc>
          <w:tcPr>
            <w:tcW w:w="4720" w:type="dxa"/>
            <w:vAlign w:val="bottom"/>
            <w:vMerge w:val="continue"/>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20" w:type="dxa"/>
            <w:vAlign w:val="bottom"/>
          </w:tcPr>
          <w:p>
            <w:pPr>
              <w:ind w:left="180"/>
              <w:spacing w:after="0"/>
              <w:rPr>
                <w:sz w:val="20"/>
                <w:szCs w:val="20"/>
                <w:color w:val="auto"/>
              </w:rPr>
            </w:pPr>
            <w:r>
              <w:rPr>
                <w:rFonts w:ascii="Arial" w:cs="Arial" w:eastAsia="Arial" w:hAnsi="Arial"/>
                <w:sz w:val="14"/>
                <w:szCs w:val="14"/>
                <w:color w:val="auto"/>
              </w:rPr>
              <w:t>Outstanding at January 1, 2022</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671</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39.39</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20" w:type="dxa"/>
            <w:vAlign w:val="bottom"/>
          </w:tcPr>
          <w:p>
            <w:pPr>
              <w:ind w:left="38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172.34</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20" w:type="dxa"/>
            <w:vAlign w:val="bottom"/>
          </w:tcPr>
          <w:p>
            <w:pPr>
              <w:ind w:left="380"/>
              <w:spacing w:after="0" w:line="205"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37.35</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20" w:type="dxa"/>
            <w:vAlign w:val="bottom"/>
          </w:tcPr>
          <w:p>
            <w:pPr>
              <w:ind w:left="380"/>
              <w:spacing w:after="0"/>
              <w:rPr>
                <w:sz w:val="20"/>
                <w:szCs w:val="20"/>
                <w:color w:val="auto"/>
              </w:rPr>
            </w:pPr>
            <w:r>
              <w:rPr>
                <w:rFonts w:ascii="Arial" w:cs="Arial" w:eastAsia="Arial" w:hAnsi="Arial"/>
                <w:sz w:val="14"/>
                <w:szCs w:val="14"/>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61.80</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720" w:type="dxa"/>
            <w:vAlign w:val="bottom"/>
          </w:tcPr>
          <w:p>
            <w:pPr>
              <w:ind w:left="180"/>
              <w:spacing w:after="0" w:line="200" w:lineRule="exact"/>
              <w:rPr>
                <w:sz w:val="20"/>
                <w:szCs w:val="20"/>
                <w:color w:val="auto"/>
              </w:rPr>
            </w:pPr>
            <w:r>
              <w:rPr>
                <w:rFonts w:ascii="Arial" w:cs="Arial" w:eastAsia="Arial" w:hAnsi="Arial"/>
                <w:sz w:val="14"/>
                <w:szCs w:val="14"/>
                <w:color w:val="auto"/>
              </w:rPr>
              <w:t xml:space="preserve">Outstanding and expected to vest at December 31, 2022 </w:t>
            </w:r>
            <w:r>
              <w:rPr>
                <w:rFonts w:ascii="Arial" w:cs="Arial" w:eastAsia="Arial" w:hAnsi="Arial"/>
                <w:sz w:val="18"/>
                <w:szCs w:val="18"/>
                <w:color w:val="auto"/>
                <w:vertAlign w:val="superscript"/>
              </w:rPr>
              <w:t>(c)</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451</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92.06</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Performance-based and market-based RSUs</w:t>
            </w: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72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720" w:type="dxa"/>
            <w:vAlign w:val="bottom"/>
          </w:tcPr>
          <w:p>
            <w:pPr>
              <w:ind w:left="180"/>
              <w:spacing w:after="0"/>
              <w:rPr>
                <w:sz w:val="20"/>
                <w:szCs w:val="20"/>
                <w:color w:val="auto"/>
              </w:rPr>
            </w:pPr>
            <w:r>
              <w:rPr>
                <w:rFonts w:ascii="Arial" w:cs="Arial" w:eastAsia="Arial" w:hAnsi="Arial"/>
                <w:sz w:val="14"/>
                <w:szCs w:val="14"/>
                <w:color w:val="auto"/>
              </w:rPr>
              <w:t>Outstanding at January 1, 2022</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886</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35.40</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20" w:type="dxa"/>
            <w:vAlign w:val="bottom"/>
          </w:tcPr>
          <w:p>
            <w:pPr>
              <w:ind w:left="38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193.48</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20" w:type="dxa"/>
            <w:vAlign w:val="bottom"/>
          </w:tcPr>
          <w:p>
            <w:pPr>
              <w:ind w:left="380"/>
              <w:spacing w:after="0" w:line="205"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34.24</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20" w:type="dxa"/>
            <w:vAlign w:val="bottom"/>
          </w:tcPr>
          <w:p>
            <w:pPr>
              <w:ind w:left="380"/>
              <w:spacing w:after="0"/>
              <w:rPr>
                <w:sz w:val="20"/>
                <w:szCs w:val="20"/>
                <w:color w:val="auto"/>
              </w:rPr>
            </w:pPr>
            <w:r>
              <w:rPr>
                <w:rFonts w:ascii="Arial" w:cs="Arial" w:eastAsia="Arial" w:hAnsi="Arial"/>
                <w:sz w:val="14"/>
                <w:szCs w:val="14"/>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49.75</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720" w:type="dxa"/>
            <w:vAlign w:val="bottom"/>
          </w:tcPr>
          <w:p>
            <w:pPr>
              <w:ind w:left="180"/>
              <w:spacing w:after="0"/>
              <w:rPr>
                <w:sz w:val="20"/>
                <w:szCs w:val="20"/>
                <w:color w:val="auto"/>
              </w:rPr>
            </w:pPr>
            <w:r>
              <w:rPr>
                <w:rFonts w:ascii="Arial" w:cs="Arial" w:eastAsia="Arial" w:hAnsi="Arial"/>
                <w:sz w:val="14"/>
                <w:szCs w:val="14"/>
                <w:color w:val="auto"/>
              </w:rPr>
              <w:t>Outstanding at December 31, 2022</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691</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57.56</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1"/>
        </w:trPr>
        <w:tc>
          <w:tcPr>
            <w:tcW w:w="4720" w:type="dxa"/>
            <w:vAlign w:val="bottom"/>
            <w:vMerge w:val="restart"/>
          </w:tcPr>
          <w:p>
            <w:pPr>
              <w:ind w:left="180"/>
              <w:spacing w:after="0"/>
              <w:rPr>
                <w:sz w:val="20"/>
                <w:szCs w:val="20"/>
                <w:color w:val="auto"/>
              </w:rPr>
            </w:pPr>
            <w:r>
              <w:rPr>
                <w:rFonts w:ascii="Arial" w:cs="Arial" w:eastAsia="Arial" w:hAnsi="Arial"/>
                <w:sz w:val="14"/>
                <w:szCs w:val="14"/>
                <w:color w:val="auto"/>
              </w:rPr>
              <w:t xml:space="preserve">Outstanding and expected to vest at December 31, 2022 </w:t>
            </w:r>
            <w:r>
              <w:rPr>
                <w:rFonts w:ascii="Arial" w:cs="Arial" w:eastAsia="Arial" w:hAnsi="Arial"/>
                <w:sz w:val="18"/>
                <w:szCs w:val="18"/>
                <w:color w:val="auto"/>
                <w:vertAlign w:val="superscript"/>
              </w:rPr>
              <w:t>(c)</w:t>
            </w: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55.99</w:t>
            </w:r>
          </w:p>
        </w:tc>
        <w:tc>
          <w:tcPr>
            <w:tcW w:w="100" w:type="dxa"/>
            <w:vAlign w:val="bottom"/>
          </w:tcPr>
          <w:p>
            <w:pPr>
              <w:spacing w:after="0" w:line="20" w:lineRule="exact"/>
              <w:rPr>
                <w:sz w:val="1"/>
                <w:szCs w:val="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line="20" w:lineRule="exact"/>
              <w:rPr>
                <w:sz w:val="1"/>
                <w:szCs w:val="1"/>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45"/>
        </w:trPr>
        <w:tc>
          <w:tcPr>
            <w:tcW w:w="4720" w:type="dxa"/>
            <w:vAlign w:val="bottom"/>
            <w:vMerge w:val="continue"/>
          </w:tcPr>
          <w:p>
            <w:pPr>
              <w:spacing w:after="0"/>
              <w:rPr>
                <w:sz w:val="21"/>
                <w:szCs w:val="21"/>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683</w:t>
            </w:r>
          </w:p>
        </w:tc>
        <w:tc>
          <w:tcPr>
            <w:tcW w:w="300" w:type="dxa"/>
            <w:vAlign w:val="bottom"/>
            <w:gridSpan w:val="2"/>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jc w:val="both"/>
        <w:ind w:left="820" w:hanging="326"/>
        <w:spacing w:after="0" w:line="261" w:lineRule="auto"/>
        <w:tabs>
          <w:tab w:leader="none" w:pos="813" w:val="left"/>
        </w:tabs>
        <w:numPr>
          <w:ilvl w:val="0"/>
          <w:numId w:val="59"/>
        </w:numPr>
        <w:rPr>
          <w:rFonts w:ascii="Arial" w:cs="Arial" w:eastAsia="Arial" w:hAnsi="Arial"/>
          <w:sz w:val="9"/>
          <w:szCs w:val="9"/>
          <w:color w:val="auto"/>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which are discussed separately below. The weighted-average fair value of time-based RSUs, and performance-based and market-based RSUs granted in 2021 was $65.23 and $62.27, respectively, and the weighted-average fair value of time-based RSUs and performance-based RSUs granted in 2020 was $23.14 and $21.06, respectively.</w:t>
      </w:r>
    </w:p>
    <w:p>
      <w:pPr>
        <w:spacing w:after="0" w:line="1" w:lineRule="exact"/>
        <w:rPr>
          <w:rFonts w:ascii="Arial" w:cs="Arial" w:eastAsia="Arial" w:hAnsi="Arial"/>
          <w:sz w:val="9"/>
          <w:szCs w:val="9"/>
          <w:color w:val="auto"/>
        </w:rPr>
      </w:pPr>
    </w:p>
    <w:p>
      <w:pPr>
        <w:ind w:left="820" w:hanging="326"/>
        <w:spacing w:after="0" w:line="187" w:lineRule="auto"/>
        <w:tabs>
          <w:tab w:leader="none" w:pos="82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The total fair value of RSUs vested during 2022, 2021 and 2020 was $22 million, $17 million and $19 million, respectively.</w:t>
      </w:r>
    </w:p>
    <w:p>
      <w:pPr>
        <w:ind w:left="820" w:hanging="326"/>
        <w:spacing w:after="0" w:line="284" w:lineRule="auto"/>
        <w:tabs>
          <w:tab w:leader="none" w:pos="807" w:val="left"/>
        </w:tabs>
        <w:numPr>
          <w:ilvl w:val="0"/>
          <w:numId w:val="59"/>
        </w:numPr>
        <w:rPr>
          <w:rFonts w:ascii="Arial" w:cs="Arial" w:eastAsia="Arial" w:hAnsi="Arial"/>
          <w:sz w:val="9"/>
          <w:szCs w:val="9"/>
          <w:color w:val="auto"/>
        </w:rPr>
      </w:pPr>
      <w:r>
        <w:rPr>
          <w:rFonts w:ascii="Arial" w:cs="Arial" w:eastAsia="Arial" w:hAnsi="Arial"/>
          <w:sz w:val="14"/>
          <w:szCs w:val="14"/>
          <w:color w:val="auto"/>
        </w:rPr>
        <w:t>Aggregate unrecognized compensation expense related to time-based RSUs and performance-based and market-based RSUs amounted to $49 million and will be recognized over a weighted average vesting period of 1.0 year.</w:t>
      </w:r>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Non-employee Directors Deferred Compensation Plan</w:t>
      </w:r>
    </w:p>
    <w:p>
      <w:pPr>
        <w:spacing w:after="0" w:line="21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We grant stock awards on an annual basis to non-employee directors representing between 50% and 100% of a director’s annual compensation and such awards could be deferred under the Non-employee Directors Deferred Compensation Plan. During 2022, 2021 and 2020, we granted 2,500, 8,800 and 34,000 awards, respectively, to non-employee directors.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Stock-Compensation Expense</w:t>
      </w:r>
    </w:p>
    <w:p>
      <w:pPr>
        <w:spacing w:after="0" w:line="210"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During 2022, 2021 and 2020, we recorded stock-based compensation expense of $25 million ($17 million, net of tax), $30 million ($21 million, net of tax) and $9 million ($7 million, net of tax), respectively.</w:t>
      </w:r>
    </w:p>
    <w:p>
      <w:pPr>
        <w:spacing w:after="0" w:line="180" w:lineRule="exact"/>
        <w:rPr>
          <w:sz w:val="20"/>
          <w:szCs w:val="20"/>
          <w:color w:val="auto"/>
        </w:rPr>
      </w:pPr>
    </w:p>
    <w:p>
      <w:pPr>
        <w:ind w:left="500" w:hanging="442"/>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7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Defined Contribution Savings Plans</w:t>
      </w:r>
    </w:p>
    <w:p>
      <w:pPr>
        <w:spacing w:after="0" w:line="169" w:lineRule="exact"/>
        <w:rPr>
          <w:rFonts w:ascii="Arial" w:cs="Arial" w:eastAsia="Arial" w:hAnsi="Arial"/>
          <w:sz w:val="18"/>
          <w:szCs w:val="18"/>
          <w:b w:val="1"/>
          <w:bCs w:val="1"/>
          <w:color w:val="auto"/>
        </w:rPr>
      </w:pPr>
    </w:p>
    <w:p>
      <w:pPr>
        <w:jc w:val="both"/>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We sponsor several defined contribution savings plans in the United States and certain foreign subsidiaries that provide certain of our eligible employees an opportunity to accumulate funds for retirement. We match portions of the contributions of participating employees on the basis specified by the plans. Our contributions to these plans were $26 million, $22 million and $23 million during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169"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sponsor defined benefit pension plans in the United States and in certain foreign subsidiaries with some plans offering participation in the plans at the employees’ option. Under these plans, benefits are based on an employee’s years of credited service and a percentage of final average compensation. However, the majority of the plans are closed to new employees and participants are no longer accruing benefits.</w:t>
      </w:r>
    </w:p>
    <w:p>
      <w:pPr>
        <w:spacing w:after="0" w:line="12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The funded status of the defined benefit pension plans is recognized on the Consolidated Balance Sheets and the gains or losses and prior service costs or credits that arise during the period, but are not recognized as components of net periodic benefit cost, are recognized as a component of accumulated other comprehensive loss, net of tax.</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net periodic (benefit) cost consisted of the following:</w:t>
      </w:r>
    </w:p>
    <w:p>
      <w:pPr>
        <w:spacing w:after="0" w:line="212"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7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60" w:type="dxa"/>
            <w:vAlign w:val="bottom"/>
            <w:vMerge w:val="restart"/>
          </w:tcPr>
          <w:p>
            <w:pPr>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23"/>
                <w:szCs w:val="23"/>
                <w:color w:val="auto"/>
                <w:vertAlign w:val="superscript"/>
              </w:rPr>
              <w:t>(a)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5"/>
        </w:trPr>
        <w:tc>
          <w:tcPr>
            <w:tcW w:w="5760" w:type="dxa"/>
            <w:vAlign w:val="bottom"/>
            <w:vMerge w:val="continue"/>
          </w:tcPr>
          <w:p>
            <w:pPr>
              <w:spacing w:after="0"/>
              <w:rPr>
                <w:sz w:val="18"/>
                <w:szCs w:val="18"/>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760" w:type="dxa"/>
            <w:vAlign w:val="bottom"/>
          </w:tcPr>
          <w:p>
            <w:pPr>
              <w:spacing w:after="0" w:line="230" w:lineRule="exact"/>
              <w:rPr>
                <w:sz w:val="20"/>
                <w:szCs w:val="20"/>
                <w:color w:val="auto"/>
              </w:rPr>
            </w:pPr>
            <w:r>
              <w:rPr>
                <w:rFonts w:ascii="Arial" w:cs="Arial" w:eastAsia="Arial" w:hAnsi="Arial"/>
                <w:sz w:val="18"/>
                <w:szCs w:val="18"/>
                <w:color w:val="auto"/>
              </w:rPr>
              <w:t xml:space="preserve">Interest cost </w:t>
            </w:r>
            <w:r>
              <w:rPr>
                <w:rFonts w:ascii="Arial" w:cs="Arial" w:eastAsia="Arial" w:hAnsi="Arial"/>
                <w:sz w:val="23"/>
                <w:szCs w:val="23"/>
                <w:color w:val="auto"/>
                <w:vertAlign w:val="superscript"/>
              </w:rPr>
              <w:t>(b)</w:t>
            </w: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760" w:type="dxa"/>
            <w:vAlign w:val="bottom"/>
          </w:tcPr>
          <w:p>
            <w:pPr>
              <w:spacing w:after="0" w:line="230" w:lineRule="exact"/>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23"/>
                <w:szCs w:val="23"/>
                <w:color w:val="auto"/>
                <w:vertAlign w:val="superscript"/>
              </w:rPr>
              <w:t>(b)</w:t>
            </w: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5760" w:type="dxa"/>
            <w:vAlign w:val="bottom"/>
          </w:tcPr>
          <w:p>
            <w:pPr>
              <w:spacing w:after="0" w:line="237" w:lineRule="exact"/>
              <w:rPr>
                <w:sz w:val="20"/>
                <w:szCs w:val="20"/>
                <w:color w:val="auto"/>
              </w:rPr>
            </w:pPr>
            <w:r>
              <w:rPr>
                <w:rFonts w:ascii="Arial" w:cs="Arial" w:eastAsia="Arial" w:hAnsi="Arial"/>
                <w:sz w:val="18"/>
                <w:szCs w:val="18"/>
                <w:color w:val="auto"/>
              </w:rPr>
              <w:t xml:space="preserve">Amortization of unrecognized amounts </w:t>
            </w:r>
            <w:r>
              <w:rPr>
                <w:rFonts w:ascii="Arial" w:cs="Arial" w:eastAsia="Arial" w:hAnsi="Arial"/>
                <w:sz w:val="23"/>
                <w:szCs w:val="23"/>
                <w:color w:val="auto"/>
                <w:vertAlign w:val="superscript"/>
              </w:rPr>
              <w:t>(b)</w:t>
            </w:r>
          </w:p>
        </w:tc>
        <w:tc>
          <w:tcPr>
            <w:tcW w:w="9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820" w:hanging="326"/>
        <w:spacing w:after="0" w:line="261" w:lineRule="auto"/>
        <w:tabs>
          <w:tab w:leader="none" w:pos="813" w:val="left"/>
        </w:tabs>
        <w:numPr>
          <w:ilvl w:val="0"/>
          <w:numId w:val="61"/>
        </w:numPr>
        <w:rPr>
          <w:rFonts w:ascii="Arial" w:cs="Arial" w:eastAsia="Arial" w:hAnsi="Arial"/>
          <w:sz w:val="9"/>
          <w:szCs w:val="9"/>
          <w:color w:val="auto"/>
        </w:rPr>
      </w:pPr>
      <w:r>
        <w:rPr>
          <w:rFonts w:ascii="Arial" w:cs="Arial" w:eastAsia="Arial" w:hAnsi="Arial"/>
          <w:sz w:val="14"/>
          <w:szCs w:val="14"/>
          <w:color w:val="auto"/>
        </w:rPr>
        <w:t>For the years ended December 31, 2022, 2021, and 2020, $4 million was included in operating expenses, in each period, and $1 million, $2 million and $1 million was included in selling, general and administrative expenses, respectively.</w:t>
      </w:r>
    </w:p>
    <w:p>
      <w:pPr>
        <w:ind w:left="820" w:hanging="326"/>
        <w:spacing w:after="0" w:line="193" w:lineRule="auto"/>
        <w:tabs>
          <w:tab w:leader="none" w:pos="820" w:val="left"/>
        </w:tabs>
        <w:numPr>
          <w:ilvl w:val="0"/>
          <w:numId w:val="61"/>
        </w:numPr>
        <w:rPr>
          <w:rFonts w:ascii="Arial" w:cs="Arial" w:eastAsia="Arial" w:hAnsi="Arial"/>
          <w:sz w:val="19"/>
          <w:szCs w:val="19"/>
          <w:color w:val="auto"/>
          <w:vertAlign w:val="superscript"/>
        </w:rPr>
      </w:pPr>
      <w:r>
        <w:rPr>
          <w:rFonts w:ascii="Arial" w:cs="Arial" w:eastAsia="Arial" w:hAnsi="Arial"/>
          <w:sz w:val="14"/>
          <w:szCs w:val="14"/>
          <w:color w:val="auto"/>
        </w:rPr>
        <w:t>Included in selling, general and administrative expenses.</w:t>
      </w:r>
    </w:p>
    <w:p>
      <w:pPr>
        <w:spacing w:after="0" w:line="200" w:lineRule="exact"/>
        <w:rPr>
          <w:sz w:val="20"/>
          <w:szCs w:val="20"/>
          <w:color w:val="auto"/>
        </w:rPr>
      </w:pPr>
    </w:p>
    <w:p>
      <w:pPr>
        <w:spacing w:after="0" w:line="3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use a measurement date of December 31 for our pension plans. The funded status of the pension plans were as follows:</w:t>
      </w:r>
    </w:p>
    <w:p>
      <w:pPr>
        <w:spacing w:after="0" w:line="50"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7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Change in Benefit Obligation</w:t>
            </w: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183"/>
        </w:trPr>
        <w:tc>
          <w:tcPr>
            <w:tcW w:w="7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10"/>
              <w:spacing w:after="0" w:line="182"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color w:val="auto"/>
              </w:rPr>
              <w:t>Benefit obligation at end of prior year</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7280" w:type="dxa"/>
            <w:vAlign w:val="bottom"/>
            <w:gridSpan w:val="3"/>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rPr>
              <w:t>Service cost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728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rPr>
              <w:t>Actuarial (gain) loss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rPr>
              <w:t>Plan amendments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rPr>
              <w:t>Currency translation adjustment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5"/>
        </w:trPr>
        <w:tc>
          <w:tcPr>
            <w:tcW w:w="7280" w:type="dxa"/>
            <w:vAlign w:val="bottom"/>
            <w:gridSpan w:val="3"/>
          </w:tcPr>
          <w:p>
            <w:pPr>
              <w:spacing w:after="0"/>
              <w:rPr>
                <w:sz w:val="20"/>
                <w:szCs w:val="20"/>
                <w:color w:val="auto"/>
              </w:rPr>
            </w:pPr>
            <w:r>
              <w:rPr>
                <w:rFonts w:ascii="Arial" w:cs="Arial" w:eastAsia="Arial" w:hAnsi="Arial"/>
                <w:sz w:val="18"/>
                <w:szCs w:val="18"/>
                <w:color w:val="auto"/>
              </w:rPr>
              <w:t>Net benefits paid</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7280" w:type="dxa"/>
            <w:vAlign w:val="bottom"/>
            <w:gridSpan w:val="3"/>
          </w:tcPr>
          <w:p>
            <w:pPr>
              <w:spacing w:after="0"/>
              <w:rPr>
                <w:sz w:val="20"/>
                <w:szCs w:val="20"/>
                <w:color w:val="auto"/>
              </w:rPr>
            </w:pPr>
            <w:r>
              <w:rPr>
                <w:rFonts w:ascii="Arial" w:cs="Arial" w:eastAsia="Arial" w:hAnsi="Arial"/>
                <w:sz w:val="18"/>
                <w:szCs w:val="18"/>
                <w:color w:val="auto"/>
              </w:rPr>
              <w:t>Benefit obligation at end of current year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331"/>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Change in Plan Assets</w:t>
            </w:r>
          </w:p>
        </w:tc>
        <w:tc>
          <w:tcPr>
            <w:tcW w:w="534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280" w:type="dxa"/>
            <w:vAlign w:val="bottom"/>
            <w:gridSpan w:val="3"/>
          </w:tcPr>
          <w:p>
            <w:pPr>
              <w:spacing w:after="0"/>
              <w:rPr>
                <w:sz w:val="20"/>
                <w:szCs w:val="20"/>
                <w:color w:val="auto"/>
              </w:rPr>
            </w:pPr>
            <w:r>
              <w:rPr>
                <w:rFonts w:ascii="Arial" w:cs="Arial" w:eastAsia="Arial" w:hAnsi="Arial"/>
                <w:sz w:val="18"/>
                <w:szCs w:val="18"/>
                <w:color w:val="auto"/>
              </w:rPr>
              <w:t>Fair value of assets at end of prior year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rPr>
              <w:t>Actual return on plan assets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7280" w:type="dxa"/>
            <w:vAlign w:val="bottom"/>
            <w:gridSpan w:val="3"/>
          </w:tcPr>
          <w:p>
            <w:pPr>
              <w:spacing w:after="0"/>
              <w:rPr>
                <w:sz w:val="20"/>
                <w:szCs w:val="20"/>
                <w:color w:val="auto"/>
              </w:rPr>
            </w:pPr>
            <w:r>
              <w:rPr>
                <w:rFonts w:ascii="Arial" w:cs="Arial" w:eastAsia="Arial" w:hAnsi="Arial"/>
                <w:sz w:val="18"/>
                <w:szCs w:val="18"/>
                <w:color w:val="auto"/>
              </w:rPr>
              <w:t>Employer contributions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rPr>
              <w:t>Currency translation adjustment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5"/>
        </w:trPr>
        <w:tc>
          <w:tcPr>
            <w:tcW w:w="7280" w:type="dxa"/>
            <w:vAlign w:val="bottom"/>
            <w:gridSpan w:val="3"/>
          </w:tcPr>
          <w:p>
            <w:pPr>
              <w:spacing w:after="0"/>
              <w:rPr>
                <w:sz w:val="20"/>
                <w:szCs w:val="20"/>
                <w:color w:val="auto"/>
              </w:rPr>
            </w:pPr>
            <w:r>
              <w:rPr>
                <w:rFonts w:ascii="Arial" w:cs="Arial" w:eastAsia="Arial" w:hAnsi="Arial"/>
                <w:sz w:val="18"/>
                <w:szCs w:val="18"/>
                <w:color w:val="auto"/>
              </w:rPr>
              <w:t>Net benefits paid</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7280" w:type="dxa"/>
            <w:vAlign w:val="bottom"/>
            <w:gridSpan w:val="3"/>
          </w:tcPr>
          <w:p>
            <w:pPr>
              <w:spacing w:after="0"/>
              <w:rPr>
                <w:sz w:val="20"/>
                <w:szCs w:val="20"/>
                <w:color w:val="auto"/>
              </w:rPr>
            </w:pPr>
            <w:r>
              <w:rPr>
                <w:rFonts w:ascii="Arial" w:cs="Arial" w:eastAsia="Arial" w:hAnsi="Arial"/>
                <w:sz w:val="18"/>
                <w:szCs w:val="18"/>
                <w:color w:val="auto"/>
              </w:rPr>
              <w:t>Fair value of assets at end of current year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7300" w:type="dxa"/>
            <w:vAlign w:val="bottom"/>
            <w:gridSpan w:val="3"/>
          </w:tcPr>
          <w:p>
            <w:pPr>
              <w:spacing w:after="0"/>
              <w:rPr>
                <w:sz w:val="20"/>
                <w:szCs w:val="20"/>
                <w:color w:val="auto"/>
              </w:rPr>
            </w:pPr>
            <w:r>
              <w:rPr>
                <w:rFonts w:ascii="Arial" w:cs="Arial" w:eastAsia="Arial" w:hAnsi="Arial"/>
                <w:sz w:val="18"/>
                <w:szCs w:val="18"/>
                <w:color w:val="auto"/>
              </w:rPr>
              <w:t>Amounts recognized in the statement of financial position consist of the following:</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Status</w:t>
            </w:r>
          </w:p>
        </w:tc>
        <w:tc>
          <w:tcPr>
            <w:tcW w:w="3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41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390"/>
              <w:spacing w:after="0" w:line="15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vMerge w:val="restart"/>
          </w:tcPr>
          <w:p>
            <w:pPr>
              <w:spacing w:after="0"/>
              <w:rPr>
                <w:sz w:val="2"/>
                <w:szCs w:val="2"/>
                <w:color w:val="auto"/>
              </w:rPr>
            </w:pPr>
          </w:p>
        </w:tc>
        <w:tc>
          <w:tcPr>
            <w:tcW w:w="7280" w:type="dxa"/>
            <w:vAlign w:val="bottom"/>
            <w:gridSpan w:val="2"/>
            <w:vMerge w:val="restart"/>
          </w:tcPr>
          <w:p>
            <w:pPr>
              <w:ind w:left="160"/>
              <w:spacing w:after="0"/>
              <w:rPr>
                <w:sz w:val="20"/>
                <w:szCs w:val="20"/>
                <w:color w:val="auto"/>
              </w:rPr>
            </w:pPr>
            <w:r>
              <w:rPr>
                <w:rFonts w:ascii="Arial" w:cs="Arial" w:eastAsia="Arial" w:hAnsi="Arial"/>
                <w:sz w:val="18"/>
                <w:szCs w:val="18"/>
                <w:color w:val="auto"/>
              </w:rPr>
              <w:t>Classification of net balance sheet assets (liabilities):</w:t>
            </w: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2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ind w:left="160"/>
              <w:spacing w:after="0"/>
              <w:rPr>
                <w:sz w:val="20"/>
                <w:szCs w:val="20"/>
                <w:color w:val="auto"/>
              </w:rPr>
            </w:pPr>
            <w:r>
              <w:rPr>
                <w:rFonts w:ascii="Arial" w:cs="Arial" w:eastAsia="Arial" w:hAnsi="Arial"/>
                <w:sz w:val="18"/>
                <w:szCs w:val="18"/>
                <w:color w:val="auto"/>
              </w:rPr>
              <w:t>Non-current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tcPr>
          <w:p>
            <w:pPr>
              <w:ind w:left="16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280" w:type="dxa"/>
            <w:vAlign w:val="bottom"/>
            <w:gridSpan w:val="2"/>
          </w:tcPr>
          <w:p>
            <w:pPr>
              <w:ind w:left="160"/>
              <w:spacing w:after="0"/>
              <w:rPr>
                <w:sz w:val="20"/>
                <w:szCs w:val="20"/>
                <w:color w:val="auto"/>
              </w:rPr>
            </w:pPr>
            <w:r>
              <w:rPr>
                <w:rFonts w:ascii="Arial" w:cs="Arial" w:eastAsia="Arial" w:hAnsi="Arial"/>
                <w:sz w:val="18"/>
                <w:szCs w:val="18"/>
                <w:color w:val="auto"/>
              </w:rPr>
              <w:t>Non-current liabilities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ind w:left="160"/>
              <w:spacing w:after="0"/>
              <w:rPr>
                <w:sz w:val="20"/>
                <w:szCs w:val="20"/>
                <w:color w:val="auto"/>
              </w:rPr>
            </w:pPr>
            <w:r>
              <w:rPr>
                <w:rFonts w:ascii="Arial" w:cs="Arial" w:eastAsia="Arial" w:hAnsi="Arial"/>
                <w:sz w:val="18"/>
                <w:szCs w:val="18"/>
                <w:color w:val="auto"/>
              </w:rPr>
              <w:t>Net funded status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00" w:right="840"/>
        <w:spacing w:after="0" w:line="273" w:lineRule="auto"/>
        <w:rPr>
          <w:sz w:val="20"/>
          <w:szCs w:val="20"/>
          <w:color w:val="auto"/>
        </w:rPr>
      </w:pPr>
      <w:r>
        <w:rPr>
          <w:rFonts w:ascii="Arial" w:cs="Arial" w:eastAsia="Arial" w:hAnsi="Arial"/>
          <w:sz w:val="18"/>
          <w:szCs w:val="18"/>
          <w:color w:val="auto"/>
        </w:rPr>
        <w:t>The following assumptions were used to determine pension obligations and pension costs for the principal plans in which our employees participated:</w:t>
      </w:r>
    </w:p>
    <w:p>
      <w:pPr>
        <w:spacing w:after="0" w:line="2"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U.S. Pension Benefit Plans</w:t>
            </w:r>
          </w:p>
        </w:tc>
        <w:tc>
          <w:tcPr>
            <w:tcW w:w="384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w w:val="98"/>
              </w:rPr>
              <w:t>For the Year Ended December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04"/>
        </w:trPr>
        <w:tc>
          <w:tcPr>
            <w:tcW w:w="5340" w:type="dxa"/>
            <w:vAlign w:val="bottom"/>
          </w:tcPr>
          <w:p>
            <w:pPr>
              <w:spacing w:after="0" w:line="204" w:lineRule="exact"/>
              <w:rPr>
                <w:sz w:val="20"/>
                <w:szCs w:val="20"/>
                <w:color w:val="auto"/>
              </w:rPr>
            </w:pPr>
            <w:r>
              <w:rPr>
                <w:rFonts w:ascii="Arial" w:cs="Arial" w:eastAsia="Arial" w:hAnsi="Arial"/>
                <w:sz w:val="18"/>
                <w:szCs w:val="18"/>
                <w:color w:val="auto"/>
              </w:rPr>
              <w:t>Discount rate:</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80"/>
              <w:spacing w:after="0"/>
              <w:rPr>
                <w:sz w:val="20"/>
                <w:szCs w:val="20"/>
                <w:color w:val="auto"/>
              </w:rPr>
            </w:pPr>
            <w:r>
              <w:rPr>
                <w:rFonts w:ascii="Arial" w:cs="Arial" w:eastAsia="Arial" w:hAnsi="Arial"/>
                <w:sz w:val="18"/>
                <w:szCs w:val="18"/>
                <w:color w:val="auto"/>
              </w:rPr>
              <w:t>Net periodic benefit cost</w:t>
            </w:r>
          </w:p>
        </w:tc>
        <w:tc>
          <w:tcPr>
            <w:tcW w:w="1540" w:type="dxa"/>
            <w:vAlign w:val="bottom"/>
          </w:tcPr>
          <w:p>
            <w:pPr>
              <w:jc w:val="right"/>
              <w:spacing w:after="0"/>
              <w:rPr>
                <w:sz w:val="20"/>
                <w:szCs w:val="20"/>
                <w:color w:val="auto"/>
              </w:rPr>
            </w:pPr>
            <w:r>
              <w:rPr>
                <w:rFonts w:ascii="Arial" w:cs="Arial" w:eastAsia="Arial" w:hAnsi="Arial"/>
                <w:sz w:val="18"/>
                <w:szCs w:val="18"/>
                <w:color w:val="auto"/>
              </w:rPr>
              <w:t>2.67 %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2.25 %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3.10 %</w:t>
            </w:r>
          </w:p>
        </w:tc>
        <w:tc>
          <w:tcPr>
            <w:tcW w:w="0" w:type="dxa"/>
            <w:vAlign w:val="bottom"/>
          </w:tcPr>
          <w:p>
            <w:pPr>
              <w:spacing w:after="0"/>
              <w:rPr>
                <w:sz w:val="1"/>
                <w:szCs w:val="1"/>
                <w:color w:val="auto"/>
              </w:rPr>
            </w:pPr>
          </w:p>
        </w:tc>
      </w:tr>
      <w:tr>
        <w:trPr>
          <w:trHeight w:val="229"/>
        </w:trPr>
        <w:tc>
          <w:tcPr>
            <w:tcW w:w="5340" w:type="dxa"/>
            <w:vAlign w:val="bottom"/>
          </w:tcPr>
          <w:p>
            <w:pPr>
              <w:ind w:left="180"/>
              <w:spacing w:after="0"/>
              <w:rPr>
                <w:sz w:val="20"/>
                <w:szCs w:val="20"/>
                <w:color w:val="auto"/>
              </w:rPr>
            </w:pPr>
            <w:r>
              <w:rPr>
                <w:rFonts w:ascii="Arial" w:cs="Arial" w:eastAsia="Arial" w:hAnsi="Arial"/>
                <w:sz w:val="18"/>
                <w:szCs w:val="18"/>
                <w:color w:val="auto"/>
              </w:rPr>
              <w:t>Benefit obligation</w:t>
            </w:r>
          </w:p>
        </w:tc>
        <w:tc>
          <w:tcPr>
            <w:tcW w:w="1540" w:type="dxa"/>
            <w:vAlign w:val="bottom"/>
          </w:tcPr>
          <w:p>
            <w:pPr>
              <w:jc w:val="right"/>
              <w:spacing w:after="0"/>
              <w:rPr>
                <w:sz w:val="20"/>
                <w:szCs w:val="20"/>
                <w:color w:val="auto"/>
              </w:rPr>
            </w:pPr>
            <w:r>
              <w:rPr>
                <w:rFonts w:ascii="Arial" w:cs="Arial" w:eastAsia="Arial" w:hAnsi="Arial"/>
                <w:sz w:val="18"/>
                <w:szCs w:val="18"/>
                <w:color w:val="auto"/>
              </w:rPr>
              <w:t>5.18 %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2.67 %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39"/>
        </w:trPr>
        <w:tc>
          <w:tcPr>
            <w:tcW w:w="5340" w:type="dxa"/>
            <w:vAlign w:val="bottom"/>
          </w:tcPr>
          <w:p>
            <w:pPr>
              <w:spacing w:after="0"/>
              <w:rPr>
                <w:sz w:val="20"/>
                <w:szCs w:val="20"/>
                <w:color w:val="auto"/>
              </w:rPr>
            </w:pPr>
            <w:r>
              <w:rPr>
                <w:rFonts w:ascii="Arial" w:cs="Arial" w:eastAsia="Arial" w:hAnsi="Arial"/>
                <w:sz w:val="18"/>
                <w:szCs w:val="18"/>
                <w:color w:val="auto"/>
              </w:rPr>
              <w:t>Long-term rate of return on plan assets</w:t>
            </w:r>
          </w:p>
        </w:tc>
        <w:tc>
          <w:tcPr>
            <w:tcW w:w="1540" w:type="dxa"/>
            <w:vAlign w:val="bottom"/>
          </w:tcPr>
          <w:p>
            <w:pPr>
              <w:jc w:val="right"/>
              <w:spacing w:after="0"/>
              <w:rPr>
                <w:sz w:val="20"/>
                <w:szCs w:val="20"/>
                <w:color w:val="auto"/>
              </w:rPr>
            </w:pPr>
            <w:r>
              <w:rPr>
                <w:rFonts w:ascii="Arial" w:cs="Arial" w:eastAsia="Arial" w:hAnsi="Arial"/>
                <w:sz w:val="18"/>
                <w:szCs w:val="18"/>
                <w:color w:val="auto"/>
              </w:rPr>
              <w:t>6.25 %</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6.75 %</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7.00 %</w:t>
            </w:r>
          </w:p>
        </w:tc>
        <w:tc>
          <w:tcPr>
            <w:tcW w:w="0" w:type="dxa"/>
            <w:vAlign w:val="bottom"/>
          </w:tcPr>
          <w:p>
            <w:pPr>
              <w:spacing w:after="0"/>
              <w:rPr>
                <w:sz w:val="1"/>
                <w:szCs w:val="1"/>
                <w:color w:val="auto"/>
              </w:rPr>
            </w:pPr>
          </w:p>
        </w:tc>
      </w:tr>
      <w:tr>
        <w:trPr>
          <w:trHeight w:val="436"/>
        </w:trPr>
        <w:tc>
          <w:tcPr>
            <w:tcW w:w="5340" w:type="dxa"/>
            <w:vAlign w:val="bottom"/>
          </w:tcPr>
          <w:p>
            <w:pPr>
              <w:spacing w:after="0"/>
              <w:rPr>
                <w:sz w:val="20"/>
                <w:szCs w:val="20"/>
                <w:color w:val="auto"/>
              </w:rPr>
            </w:pPr>
            <w:r>
              <w:rPr>
                <w:rFonts w:ascii="Arial" w:cs="Arial" w:eastAsia="Arial" w:hAnsi="Arial"/>
                <w:sz w:val="18"/>
                <w:szCs w:val="18"/>
                <w:b w:val="1"/>
                <w:bCs w:val="1"/>
                <w:color w:val="auto"/>
              </w:rPr>
              <w:t>Non-U.S. Pension Benefit Plans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Discount rate:</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80"/>
              <w:spacing w:after="0"/>
              <w:rPr>
                <w:sz w:val="20"/>
                <w:szCs w:val="20"/>
                <w:color w:val="auto"/>
              </w:rPr>
            </w:pPr>
            <w:r>
              <w:rPr>
                <w:rFonts w:ascii="Arial" w:cs="Arial" w:eastAsia="Arial" w:hAnsi="Arial"/>
                <w:sz w:val="18"/>
                <w:szCs w:val="18"/>
                <w:color w:val="auto"/>
              </w:rPr>
              <w:t>Net periodic benefit cost</w:t>
            </w:r>
          </w:p>
        </w:tc>
        <w:tc>
          <w:tcPr>
            <w:tcW w:w="1540" w:type="dxa"/>
            <w:vAlign w:val="bottom"/>
          </w:tcPr>
          <w:p>
            <w:pPr>
              <w:jc w:val="right"/>
              <w:spacing w:after="0"/>
              <w:rPr>
                <w:sz w:val="20"/>
                <w:szCs w:val="20"/>
                <w:color w:val="auto"/>
              </w:rPr>
            </w:pPr>
            <w:r>
              <w:rPr>
                <w:rFonts w:ascii="Arial" w:cs="Arial" w:eastAsia="Arial" w:hAnsi="Arial"/>
                <w:sz w:val="18"/>
                <w:szCs w:val="18"/>
                <w:color w:val="auto"/>
              </w:rPr>
              <w:t>1.83 %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1.40 %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29"/>
        </w:trPr>
        <w:tc>
          <w:tcPr>
            <w:tcW w:w="5340" w:type="dxa"/>
            <w:vAlign w:val="bottom"/>
          </w:tcPr>
          <w:p>
            <w:pPr>
              <w:ind w:left="180"/>
              <w:spacing w:after="0"/>
              <w:rPr>
                <w:sz w:val="20"/>
                <w:szCs w:val="20"/>
                <w:color w:val="auto"/>
              </w:rPr>
            </w:pPr>
            <w:r>
              <w:rPr>
                <w:rFonts w:ascii="Arial" w:cs="Arial" w:eastAsia="Arial" w:hAnsi="Arial"/>
                <w:sz w:val="18"/>
                <w:szCs w:val="18"/>
                <w:color w:val="auto"/>
              </w:rPr>
              <w:t>Benefit obligation</w:t>
            </w:r>
          </w:p>
        </w:tc>
        <w:tc>
          <w:tcPr>
            <w:tcW w:w="1540" w:type="dxa"/>
            <w:vAlign w:val="bottom"/>
          </w:tcPr>
          <w:p>
            <w:pPr>
              <w:jc w:val="right"/>
              <w:spacing w:after="0"/>
              <w:rPr>
                <w:sz w:val="20"/>
                <w:szCs w:val="20"/>
                <w:color w:val="auto"/>
              </w:rPr>
            </w:pPr>
            <w:r>
              <w:rPr>
                <w:rFonts w:ascii="Arial" w:cs="Arial" w:eastAsia="Arial" w:hAnsi="Arial"/>
                <w:sz w:val="18"/>
                <w:szCs w:val="18"/>
                <w:color w:val="auto"/>
              </w:rPr>
              <w:t>4.79 %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1.83 %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39"/>
        </w:trPr>
        <w:tc>
          <w:tcPr>
            <w:tcW w:w="5340" w:type="dxa"/>
            <w:vAlign w:val="bottom"/>
          </w:tcPr>
          <w:p>
            <w:pPr>
              <w:spacing w:after="0"/>
              <w:rPr>
                <w:sz w:val="20"/>
                <w:szCs w:val="20"/>
                <w:color w:val="auto"/>
              </w:rPr>
            </w:pPr>
            <w:r>
              <w:rPr>
                <w:rFonts w:ascii="Arial" w:cs="Arial" w:eastAsia="Arial" w:hAnsi="Arial"/>
                <w:sz w:val="18"/>
                <w:szCs w:val="18"/>
                <w:color w:val="auto"/>
              </w:rPr>
              <w:t>Long-term rate of return on plan assets</w:t>
            </w:r>
          </w:p>
        </w:tc>
        <w:tc>
          <w:tcPr>
            <w:tcW w:w="1540" w:type="dxa"/>
            <w:vAlign w:val="bottom"/>
          </w:tcPr>
          <w:p>
            <w:pPr>
              <w:jc w:val="right"/>
              <w:spacing w:after="0"/>
              <w:rPr>
                <w:sz w:val="20"/>
                <w:szCs w:val="20"/>
                <w:color w:val="auto"/>
              </w:rPr>
            </w:pPr>
            <w:r>
              <w:rPr>
                <w:rFonts w:ascii="Arial" w:cs="Arial" w:eastAsia="Arial" w:hAnsi="Arial"/>
                <w:sz w:val="18"/>
                <w:szCs w:val="18"/>
                <w:color w:val="auto"/>
              </w:rPr>
              <w:t>4.39 %</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3.71 %</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3.80 %</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To select discount rates for our defined benefit pension plans, we use a modeling process that involves matching the expected cash outflows of such plans, to yield curves constructed from portfolios of AA-rated fixed-income debt instruments. We use the average yields of the hypothetical portfolios as a discount rate benchmark.</w:t>
      </w:r>
    </w:p>
    <w:p>
      <w:pPr>
        <w:spacing w:after="0" w:line="117"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Our expected rate of return on plan assets of 6.25% and 4.39% for the U.S. plans and non-U.S. plans, respectively, used to determine pension obligations and pension costs, are long-term rates based on historic plan asset returns in individual jurisdictions, over varying long-term periods combined with current market expectations and broad asset mix considerations.</w:t>
      </w:r>
    </w:p>
    <w:p>
      <w:pPr>
        <w:spacing w:after="0" w:line="103" w:lineRule="exact"/>
        <w:rPr>
          <w:sz w:val="20"/>
          <w:szCs w:val="20"/>
          <w:color w:val="auto"/>
        </w:rPr>
      </w:pPr>
    </w:p>
    <w:p>
      <w:pPr>
        <w:jc w:val="both"/>
        <w:ind w:left="500"/>
        <w:spacing w:after="0" w:line="242" w:lineRule="auto"/>
        <w:rPr>
          <w:sz w:val="20"/>
          <w:szCs w:val="20"/>
          <w:color w:val="auto"/>
        </w:rPr>
      </w:pPr>
      <w:r>
        <w:rPr>
          <w:rFonts w:ascii="Arial" w:cs="Arial" w:eastAsia="Arial" w:hAnsi="Arial"/>
          <w:sz w:val="18"/>
          <w:szCs w:val="18"/>
          <w:color w:val="auto"/>
        </w:rPr>
        <w:t>As of December 31, 2022 and 2021, plans with projected benefit obligations in excess of plan assets had projected benefit obligations of $ 332 million and $ 453 million, respectively, and plan assets of $235 million and $297 million, respectively. As of December 31, 2022 and 2021, plans with accumulated benefit obligations in excess of plan assets had accumulated benefit obligations of $329 million and $453 million, respectively, and plan assets of $235 million and $303 million, respectively. The accumulated benefit obligation for all plans was $571 million and $872 million as of December 31, 2022 and 2021, respectively. We expect to contribute approximately $1 million to the plans in 2023.</w:t>
      </w:r>
    </w:p>
    <w:p>
      <w:pPr>
        <w:spacing w:after="0" w:line="138"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Our defined benefit pension plans’ assets are invested primarily in mutual funds and may change in value due to various risks, such as interest rate and credit risk and overall market volatility. Due to the level of risk associated with investment securities, it is reasonably possible that changes in the values of the pension plans’ investment securities will occur in the near term and that such changes would materially affect the amounts reported in our financial statements.</w:t>
      </w:r>
    </w:p>
    <w:p>
      <w:pPr>
        <w:spacing w:after="0" w:line="122"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defined benefit pension plans’ investment goals and objectives are managed by us or Company-appointed and member-appointed trustees with consultation from independent investment advisors. While the objectives may vary slightly by country and jurisdiction, collectively we seek to produce returns on pension plan investments, which are based on levels of liquidity and investment risk that we believe are prudent and reasonable, given prevailing capital market conditions. The pension plans’ assets are managed in the long-term interests of the participants and the beneficiaries of the plans. A suitable strategic asset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allocation benchmark is determined for each plan to maintain a diversified portfolio, taking into account government requirements, if any, regarding unnecessary investment risk and protection of pension plans’ assets. We believe that diversification of the pension plans’ assets is an important investment strategy to provide reasonable assurance that no single security or class of securities will have a disproportionate impact on the pension plans. As such, we allocate assets among traditional equity, fixed income (government issued securities, corporate bonds and short-term cash investments) and other investment strategies.</w:t>
      </w:r>
    </w:p>
    <w:p>
      <w:pPr>
        <w:spacing w:after="0" w:line="125"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equity component’s purpose is to provide a total return that will help preserve the purchasing power of the assets. The pension plans hold various mutual funds that invest in equity securities and are diversified among funds that invest in large cap, small cap, growth, value and international stocks as well as funds that are intended to “track” an index, such as the S&amp;P 500. The equity investments in the portfolios will represent a greater assumption of market volatility and risk as well as provide higher anticipated total return over the long term. The equity component is expected to approximate 35%-55% of the plans’ assets.</w:t>
      </w:r>
    </w:p>
    <w:p>
      <w:pPr>
        <w:spacing w:after="0" w:line="125"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purpose of the fixed income component is to provide a deflation hedge, to reduce the overall volatility of the pension plans’ assets in relation to the liability and to produce current income. The pension plans hold mutual funds that invest in securities issued by governments, government agencies and corporations. The fixed income component is expected to approximate 35%-55% of the plans’ assets.</w:t>
      </w:r>
    </w:p>
    <w:p>
      <w:pPr>
        <w:spacing w:after="0" w:line="122"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purpose of the alternative investment component is to provide diversification and risk reduction through less correlated investment strategies with the goal of enhanced returns and downside protection. Alternative strategies will not be used if they are designed solely to enhance return and/or employ significant leverage. Diversification of asset categories, investment styles and managers is central to managing investment risk. The alternative investment component is expected to approximate 5%-15% of the plans’ assets.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defined benefit pension plans’ assets measured at fair value:</w:t>
      </w:r>
    </w:p>
    <w:p>
      <w:pPr>
        <w:spacing w:after="0" w:line="212" w:lineRule="exact"/>
        <w:rPr>
          <w:sz w:val="20"/>
          <w:szCs w:val="20"/>
          <w:color w:val="auto"/>
        </w:rPr>
      </w:pPr>
    </w:p>
    <w:tbl>
      <w:tblPr>
        <w:tblLayout w:type="fixed"/>
        <w:tblInd w:w="500" w:type="dxa"/>
        <w:tblCellMar>
          <w:top w:w="0" w:type="dxa"/>
          <w:left w:w="0" w:type="dxa"/>
          <w:bottom w:w="0" w:type="dxa"/>
          <w:right w:w="0" w:type="dxa"/>
        </w:tblCellMar>
      </w:tblPr>
      <w:tr>
        <w:trPr>
          <w:trHeight w:val="235"/>
        </w:trPr>
        <w:tc>
          <w:tcPr>
            <w:tcW w:w="5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 Class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As of December 31, 2022</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8"/>
        </w:trPr>
        <w:tc>
          <w:tcPr>
            <w:tcW w:w="5080" w:type="dxa"/>
            <w:vAlign w:val="bottom"/>
          </w:tcPr>
          <w:p>
            <w:pPr>
              <w:ind w:left="20"/>
              <w:spacing w:after="0"/>
              <w:rPr>
                <w:sz w:val="20"/>
                <w:szCs w:val="20"/>
                <w:color w:val="auto"/>
              </w:rPr>
            </w:pPr>
            <w:r>
              <w:rPr>
                <w:rFonts w:ascii="Arial" w:cs="Arial" w:eastAsia="Arial" w:hAnsi="Arial"/>
                <w:sz w:val="18"/>
                <w:szCs w:val="18"/>
                <w:color w:val="auto"/>
              </w:rPr>
              <w:t>Cash equivalents and short-term investments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U.S. equities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Non-U.S. equities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5"/>
        </w:trPr>
        <w:tc>
          <w:tcPr>
            <w:tcW w:w="50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50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5"/>
        </w:trPr>
        <w:tc>
          <w:tcPr>
            <w:tcW w:w="5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660" w:type="dxa"/>
            <w:vAlign w:val="bottom"/>
            <w:gridSpan w:val="7"/>
          </w:tcPr>
          <w:p>
            <w:pPr>
              <w:spacing w:after="0"/>
              <w:rPr>
                <w:sz w:val="20"/>
                <w:szCs w:val="20"/>
                <w:color w:val="auto"/>
              </w:rPr>
            </w:pPr>
            <w:r>
              <w:rPr>
                <w:rFonts w:ascii="Arial" w:cs="Arial" w:eastAsia="Arial" w:hAnsi="Arial"/>
                <w:sz w:val="14"/>
                <w:szCs w:val="14"/>
                <w:color w:val="auto"/>
              </w:rPr>
              <w:t>For the year ended December 31, 2022, we purchased and classified $54 million of investments as Level 3.</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Asset Class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8"/>
        </w:trPr>
        <w:tc>
          <w:tcPr>
            <w:tcW w:w="5040" w:type="dxa"/>
            <w:vAlign w:val="bottom"/>
          </w:tcPr>
          <w:p>
            <w:pPr>
              <w:spacing w:after="0"/>
              <w:rPr>
                <w:sz w:val="20"/>
                <w:szCs w:val="20"/>
                <w:color w:val="auto"/>
              </w:rPr>
            </w:pPr>
            <w:r>
              <w:rPr>
                <w:rFonts w:ascii="Arial" w:cs="Arial" w:eastAsia="Arial" w:hAnsi="Arial"/>
                <w:sz w:val="18"/>
                <w:szCs w:val="18"/>
                <w:color w:val="auto"/>
              </w:rPr>
              <w:t>Cash equivalents and short-term investments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U.S. equities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Non-U.S. equities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Government bonds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5"/>
        </w:trPr>
        <w:tc>
          <w:tcPr>
            <w:tcW w:w="504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3"/>
        </w:trPr>
        <w:tc>
          <w:tcPr>
            <w:tcW w:w="504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For the year ended December 31, 2021, we purchased and classified $46 million of investments as Level 3.</w:t>
      </w:r>
    </w:p>
    <w:p>
      <w:pPr>
        <w:spacing w:after="0" w:line="153"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We estimate that future benefit payments from plan assets will be $30 million, $31 million, $32 million, $33 million, $34 million and $183 million for 2023, 2024, 2025, 2026, 2027 and 2028 to 2032,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Multiemployer Plans</w:t>
      </w:r>
    </w:p>
    <w:p>
      <w:pPr>
        <w:spacing w:after="0" w:line="169" w:lineRule="exact"/>
        <w:rPr>
          <w:sz w:val="20"/>
          <w:szCs w:val="20"/>
          <w:color w:val="auto"/>
        </w:rPr>
      </w:pPr>
    </w:p>
    <w:p>
      <w:pPr>
        <w:jc w:val="both"/>
        <w:ind w:left="500"/>
        <w:spacing w:after="0" w:line="260" w:lineRule="auto"/>
        <w:rPr>
          <w:sz w:val="20"/>
          <w:szCs w:val="20"/>
          <w:color w:val="auto"/>
        </w:rPr>
      </w:pPr>
      <w:r>
        <w:rPr>
          <w:rFonts w:ascii="Arial" w:cs="Arial" w:eastAsia="Arial" w:hAnsi="Arial"/>
          <w:sz w:val="18"/>
          <w:szCs w:val="18"/>
          <w:color w:val="auto"/>
        </w:rPr>
        <w:t>We contribute to a number of multiemployer plans under the terms of collective-bargaining agreements that cover a portion of our employees. The risks of participating in these multiemployer plans are different from single-employer plans in the following aspects:</w:t>
      </w:r>
    </w:p>
    <w:p>
      <w:pPr>
        <w:spacing w:after="0" w:line="2"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(i) assets contributed to the multiemployer plan by one employer may be used to provide benefits to employees of other participating employers; (ii) if a participating employer stops contributing to the plan, the unfunded obligations of the plan may be borne by the remaining participating employers; (iii) if we elect to stop participating in a multiemployer plan, we may be required to contribute to such plan an amount based on the under-funded status of the plan; and (iv) we have no involvement in the management of the multiemployer plans’ investments. For the year ended December 31, 2022, we contributed $8 million and for the years ended December 31, 2021 and 2020, we contributed $7 million, in each period, to multiemployer plans.</w:t>
      </w:r>
    </w:p>
    <w:p>
      <w:pPr>
        <w:spacing w:after="0" w:line="211" w:lineRule="exact"/>
        <w:rPr>
          <w:sz w:val="20"/>
          <w:szCs w:val="20"/>
          <w:color w:val="auto"/>
        </w:rPr>
      </w:pPr>
    </w:p>
    <w:p>
      <w:pPr>
        <w:ind w:left="500" w:right="8880" w:hanging="442"/>
        <w:spacing w:after="0" w:line="464" w:lineRule="auto"/>
        <w:tabs>
          <w:tab w:leader="none" w:pos="514"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 Risk Management</w:t>
      </w:r>
    </w:p>
    <w:p>
      <w:pPr>
        <w:jc w:val="both"/>
        <w:ind w:left="500"/>
        <w:spacing w:after="0" w:line="255" w:lineRule="auto"/>
        <w:rPr>
          <w:rFonts w:ascii="Arial" w:cs="Arial" w:eastAsia="Arial" w:hAnsi="Arial"/>
          <w:sz w:val="17"/>
          <w:szCs w:val="17"/>
          <w:b w:val="1"/>
          <w:bCs w:val="1"/>
          <w:color w:val="auto"/>
        </w:rPr>
      </w:pPr>
      <w:r>
        <w:rPr>
          <w:rFonts w:ascii="Arial" w:cs="Arial" w:eastAsia="Arial" w:hAnsi="Arial"/>
          <w:sz w:val="18"/>
          <w:szCs w:val="18"/>
          <w:i w:val="1"/>
          <w:iCs w:val="1"/>
          <w:color w:val="auto"/>
        </w:rPr>
        <w:t>Currency Risk</w:t>
      </w:r>
      <w:r>
        <w:rPr>
          <w:rFonts w:ascii="Arial" w:cs="Arial" w:eastAsia="Arial" w:hAnsi="Arial"/>
          <w:sz w:val="18"/>
          <w:szCs w:val="18"/>
          <w:color w:val="auto"/>
        </w:rPr>
        <w:t>. We use currency exchange contracts to manage our exposure to changes in currency exchange rates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non-U.S.-dollar denominated receivables and forecasted royalties, forecasted earnings of non-U.S. subsidiaries and forecasted non-U.S.-dollar denominated acquisitions. We primarily hedge a portion of our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We have designated our euro-denominated notes as a hedge of our investment in euro-denominated foreign operations.</w:t>
      </w:r>
    </w:p>
    <w:p>
      <w:pPr>
        <w:spacing w:after="0" w:line="130" w:lineRule="exact"/>
        <w:rPr>
          <w:rFonts w:ascii="Arial" w:cs="Arial" w:eastAsia="Arial" w:hAnsi="Arial"/>
          <w:sz w:val="17"/>
          <w:szCs w:val="17"/>
          <w:b w:val="1"/>
          <w:bCs w:val="1"/>
          <w:color w:val="auto"/>
        </w:rPr>
      </w:pPr>
    </w:p>
    <w:p>
      <w:pPr>
        <w:ind w:left="500"/>
        <w:spacing w:after="0" w:line="287" w:lineRule="auto"/>
        <w:rPr>
          <w:rFonts w:ascii="Arial" w:cs="Arial" w:eastAsia="Arial" w:hAnsi="Arial"/>
          <w:sz w:val="17"/>
          <w:szCs w:val="17"/>
          <w:b w:val="1"/>
          <w:bCs w:val="1"/>
          <w:color w:val="auto"/>
        </w:rPr>
      </w:pPr>
      <w:r>
        <w:rPr>
          <w:rFonts w:ascii="Arial" w:cs="Arial" w:eastAsia="Arial" w:hAnsi="Arial"/>
          <w:sz w:val="18"/>
          <w:szCs w:val="18"/>
          <w:color w:val="auto"/>
        </w:rPr>
        <w:t>The estimated net amount of existing gains or losses we expect to reclassify from accumulated other comprehensive income (loss) to earnings for cash flow and net investment hedges over the next 12 months is not material.</w:t>
      </w:r>
    </w:p>
    <w:p>
      <w:pPr>
        <w:spacing w:after="0" w:line="98" w:lineRule="exact"/>
        <w:rPr>
          <w:rFonts w:ascii="Arial" w:cs="Arial" w:eastAsia="Arial" w:hAnsi="Arial"/>
          <w:sz w:val="17"/>
          <w:szCs w:val="17"/>
          <w:b w:val="1"/>
          <w:bCs w:val="1"/>
          <w:color w:val="auto"/>
        </w:rPr>
      </w:pPr>
    </w:p>
    <w:p>
      <w:pPr>
        <w:jc w:val="both"/>
        <w:ind w:left="500"/>
        <w:spacing w:after="0" w:line="255" w:lineRule="auto"/>
        <w:rPr>
          <w:rFonts w:ascii="Arial" w:cs="Arial" w:eastAsia="Arial" w:hAnsi="Arial"/>
          <w:sz w:val="17"/>
          <w:szCs w:val="17"/>
          <w:b w:val="1"/>
          <w:bCs w:val="1"/>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use various hedging strategies including interest rate swaps and interest rate caps to create what we deem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We use interest rate swaps and interest rate caps to manage the risk related to our floating rate corporate debt and our floating rate vehicle-backed debt. We record the changes in the fair value of our cash flow hedges to other comprehensive income (loss), net of tax, and subsequently reclassify these amounts into earnings in the period during which the hedged transaction affects earnings and is presented in the same income statement line item as the earnings effect of the hedged item. We record the gains or losses related to freestanding derivatives, which are not designated as a hedge for accounting purposes, currently in earnings and are presented in the same line of the income statement expected for the hedged item. We estimate that approximately $16 million of gain currently recorded in accumulated other comprehensive income (loss) will be recognized in earnings over the next 12 months.</w:t>
      </w:r>
    </w:p>
    <w:p>
      <w:pPr>
        <w:spacing w:after="0" w:line="126" w:lineRule="exact"/>
        <w:rPr>
          <w:rFonts w:ascii="Arial" w:cs="Arial" w:eastAsia="Arial" w:hAnsi="Arial"/>
          <w:sz w:val="17"/>
          <w:szCs w:val="17"/>
          <w:b w:val="1"/>
          <w:bCs w:val="1"/>
          <w:color w:val="auto"/>
        </w:rPr>
      </w:pPr>
    </w:p>
    <w:p>
      <w:pPr>
        <w:jc w:val="both"/>
        <w:ind w:left="500"/>
        <w:spacing w:after="0" w:line="268" w:lineRule="auto"/>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We periodically enter into derivative commodity contracts to manage our exposure to changes in the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gasoline. These instruments were designated as freestanding derivatives and the changes in fair value are recorded in earnings and are presented in the same line of the income statement expected for the hedged item.</w:t>
      </w:r>
    </w:p>
    <w:p>
      <w:pPr>
        <w:spacing w:after="0" w:line="116" w:lineRule="exact"/>
        <w:rPr>
          <w:rFonts w:ascii="Arial" w:cs="Arial" w:eastAsia="Arial" w:hAnsi="Arial"/>
          <w:sz w:val="17"/>
          <w:szCs w:val="17"/>
          <w:b w:val="1"/>
          <w:bCs w:val="1"/>
          <w:color w:val="auto"/>
        </w:rPr>
      </w:pPr>
    </w:p>
    <w:p>
      <w:pPr>
        <w:jc w:val="both"/>
        <w:ind w:left="500"/>
        <w:spacing w:after="0" w:line="259" w:lineRule="auto"/>
        <w:rPr>
          <w:rFonts w:ascii="Arial" w:cs="Arial" w:eastAsia="Arial" w:hAnsi="Arial"/>
          <w:sz w:val="17"/>
          <w:szCs w:val="17"/>
          <w:b w:val="1"/>
          <w:bCs w:val="1"/>
          <w:color w:val="auto"/>
        </w:rPr>
      </w:pPr>
      <w:r>
        <w:rPr>
          <w:rFonts w:ascii="Arial" w:cs="Arial" w:eastAsia="Arial" w:hAnsi="Arial"/>
          <w:sz w:val="18"/>
          <w:szCs w:val="18"/>
          <w:i w:val="1"/>
          <w:iCs w:val="1"/>
          <w:color w:val="auto"/>
        </w:rPr>
        <w:t>Credit Risk and Exposure</w:t>
      </w:r>
      <w:r>
        <w:rPr>
          <w:rFonts w:ascii="Arial" w:cs="Arial" w:eastAsia="Arial" w:hAnsi="Arial"/>
          <w:sz w:val="18"/>
          <w:szCs w:val="18"/>
          <w:color w:val="auto"/>
        </w:rPr>
        <w:t>. We are exposed to counterparty credit risks in the event of nonperformance by counterparties to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and sales transactions. We manage such risk by evaluating the financial position and creditworthiness of such counterparties and by requiring collateral in certain instances in which financing is provided. We mitigate counterparty credit risk associated with our derivative contracts by monitoring the amount for which we are at risk with each counterparty, periodically evaluating counterparty creditworthiness and financial position, and where possible, dispersing our risk among multiple counterparties.</w:t>
      </w:r>
    </w:p>
    <w:p>
      <w:pPr>
        <w:spacing w:after="0" w:line="125" w:lineRule="exact"/>
        <w:rPr>
          <w:rFonts w:ascii="Arial" w:cs="Arial" w:eastAsia="Arial" w:hAnsi="Arial"/>
          <w:sz w:val="17"/>
          <w:szCs w:val="17"/>
          <w:b w:val="1"/>
          <w:bCs w:val="1"/>
          <w:color w:val="auto"/>
        </w:rPr>
      </w:pPr>
    </w:p>
    <w:p>
      <w:pPr>
        <w:jc w:val="both"/>
        <w:ind w:left="500"/>
        <w:spacing w:after="0" w:line="268" w:lineRule="auto"/>
        <w:rPr>
          <w:rFonts w:ascii="Arial" w:cs="Arial" w:eastAsia="Arial" w:hAnsi="Arial"/>
          <w:sz w:val="17"/>
          <w:szCs w:val="17"/>
          <w:b w:val="1"/>
          <w:bCs w:val="1"/>
          <w:color w:val="auto"/>
        </w:rPr>
      </w:pPr>
      <w:r>
        <w:rPr>
          <w:rFonts w:ascii="Arial" w:cs="Arial" w:eastAsia="Arial" w:hAnsi="Arial"/>
          <w:sz w:val="18"/>
          <w:szCs w:val="18"/>
          <w:color w:val="auto"/>
        </w:rPr>
        <w:t>There were no significant concentrations of credit risk with any individual counterparty or groups of counterparties at December 31, 2022 or 2021, other than (i) risks related to our repurchase and guaranteed depreciation agreements with domestic and foreign car manufacturers, and primarily with respect to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receivables for program cars that were disposed but for which we have not yet received payment from the manufacturers (see Note 2 – Summary of Significant Accounting Policies), (ii) receivables from Realogy and Wyndham related to certain contingent, income tax and other corporate liabilities assumed by Realogy and Wyndham in connection with their disposition and (iii) risks related to leases which have been assumed by Realogy but of which we are a guarantor. Concentrations of credit risk associated with trade receivables are considered minimal due to our diverse customer base. We do not normally require collateral or other security to support credit sales.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69" w:lineRule="exact"/>
        <w:rPr>
          <w:sz w:val="20"/>
          <w:szCs w:val="20"/>
          <w:color w:val="auto"/>
        </w:rPr>
      </w:pPr>
    </w:p>
    <w:p>
      <w:pPr>
        <w:jc w:val="both"/>
        <w:ind w:left="500" w:right="20"/>
        <w:spacing w:after="0" w:line="287" w:lineRule="auto"/>
        <w:rPr>
          <w:sz w:val="20"/>
          <w:szCs w:val="20"/>
          <w:color w:val="auto"/>
        </w:rPr>
      </w:pPr>
      <w:r>
        <w:rPr>
          <w:rFonts w:ascii="Arial" w:cs="Arial" w:eastAsia="Arial" w:hAnsi="Arial"/>
          <w:sz w:val="18"/>
          <w:szCs w:val="18"/>
          <w:color w:val="auto"/>
        </w:rPr>
        <w:t>As described above, derivative assets and liabilities consist principally of currency exchange contracts, interest rate swaps, interest rate caps and commodity contracts. We held derivative instruments with absolute notional values as follows:</w:t>
      </w:r>
    </w:p>
    <w:p>
      <w:pPr>
        <w:spacing w:after="0" w:line="139"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200" w:type="dxa"/>
            <w:vAlign w:val="bottom"/>
            <w:vMerge w:val="restart"/>
          </w:tcPr>
          <w:p>
            <w:pPr>
              <w:spacing w:after="0"/>
              <w:rPr>
                <w:sz w:val="20"/>
                <w:szCs w:val="20"/>
                <w:color w:val="auto"/>
              </w:rPr>
            </w:pPr>
            <w:r>
              <w:rPr>
                <w:rFonts w:ascii="Arial" w:cs="Arial" w:eastAsia="Arial" w:hAnsi="Arial"/>
                <w:sz w:val="18"/>
                <w:szCs w:val="18"/>
                <w:color w:val="auto"/>
              </w:rPr>
              <w:t>Foreign exchange contracts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7200" w:type="dxa"/>
            <w:vAlign w:val="bottom"/>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29"/>
        </w:trPr>
        <w:tc>
          <w:tcPr>
            <w:tcW w:w="7200" w:type="dxa"/>
            <w:vAlign w:val="bottom"/>
          </w:tcPr>
          <w:p>
            <w:pPr>
              <w:spacing w:after="0"/>
              <w:rPr>
                <w:sz w:val="20"/>
                <w:szCs w:val="20"/>
                <w:color w:val="auto"/>
              </w:rPr>
            </w:pPr>
            <w:r>
              <w:rPr>
                <w:rFonts w:ascii="Arial" w:cs="Arial" w:eastAsia="Arial" w:hAnsi="Arial"/>
                <w:sz w:val="18"/>
                <w:szCs w:val="18"/>
                <w:color w:val="auto"/>
              </w:rPr>
              <w:t xml:space="preserve">Interest rate caps </w:t>
            </w:r>
            <w:r>
              <w:rPr>
                <w:rFonts w:ascii="Arial" w:cs="Arial" w:eastAsia="Arial" w:hAnsi="Arial"/>
                <w:sz w:val="10"/>
                <w:szCs w:val="10"/>
                <w:color w:val="auto"/>
              </w:rPr>
              <w:t>(a)</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11,900</w:t>
            </w:r>
          </w:p>
        </w:tc>
        <w:tc>
          <w:tcPr>
            <w:tcW w:w="0" w:type="dxa"/>
            <w:vAlign w:val="bottom"/>
          </w:tcPr>
          <w:p>
            <w:pPr>
              <w:spacing w:after="0"/>
              <w:rPr>
                <w:sz w:val="1"/>
                <w:szCs w:val="1"/>
                <w:color w:val="auto"/>
              </w:rPr>
            </w:pPr>
          </w:p>
        </w:tc>
      </w:tr>
      <w:tr>
        <w:trPr>
          <w:trHeight w:val="239"/>
        </w:trPr>
        <w:tc>
          <w:tcPr>
            <w:tcW w:w="7200" w:type="dxa"/>
            <w:vAlign w:val="bottom"/>
          </w:tcPr>
          <w:p>
            <w:pPr>
              <w:spacing w:after="0"/>
              <w:rPr>
                <w:sz w:val="20"/>
                <w:szCs w:val="20"/>
                <w:color w:val="auto"/>
              </w:rPr>
            </w:pPr>
            <w:r>
              <w:rPr>
                <w:rFonts w:ascii="Arial" w:cs="Arial" w:eastAsia="Arial" w:hAnsi="Arial"/>
                <w:sz w:val="18"/>
                <w:szCs w:val="18"/>
                <w:color w:val="auto"/>
              </w:rPr>
              <w:t>Interest rate swaps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24" w:lineRule="exact"/>
        <w:rPr>
          <w:sz w:val="20"/>
          <w:szCs w:val="20"/>
          <w:color w:val="auto"/>
        </w:rPr>
      </w:pPr>
    </w:p>
    <w:p>
      <w:pPr>
        <w:jc w:val="both"/>
        <w:ind w:left="820" w:hanging="326"/>
        <w:spacing w:after="0" w:line="231" w:lineRule="auto"/>
        <w:tabs>
          <w:tab w:leader="none" w:pos="813"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Represents $9.8 billion of interest rate caps sold, partially offset by approximately $4.4 billion of interest rate caps purchased at December 31, 2022 and $7.2 billion of interest rate caps sold, partially offset by approximately $4.7 billion of interest rate caps purchased at December 31, 2021. These amounts exclude $6.2 billion and $3.0 billion of interest rate caps purchased by our Avis Budget Rental Car Funding subsidiary at December 31, 2022 and 2021, respectively.</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Fair values (Level 2) of derivative instruments are as follows:</w:t>
      </w:r>
    </w:p>
    <w:p>
      <w:pPr>
        <w:spacing w:after="0" w:line="216"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5"/>
          </w:tcPr>
          <w:p>
            <w:pPr>
              <w:ind w:left="220"/>
              <w:spacing w:after="0"/>
              <w:rPr>
                <w:sz w:val="20"/>
                <w:szCs w:val="20"/>
                <w:color w:val="auto"/>
              </w:rPr>
            </w:pPr>
            <w:r>
              <w:rPr>
                <w:rFonts w:ascii="Arial" w:cs="Arial" w:eastAsia="Arial" w:hAnsi="Arial"/>
                <w:sz w:val="16"/>
                <w:szCs w:val="16"/>
                <w:b w:val="1"/>
                <w:bCs w:val="1"/>
                <w:color w:val="auto"/>
              </w:rPr>
              <w:t>As of December 31, 2022</w:t>
            </w:r>
          </w:p>
        </w:tc>
        <w:tc>
          <w:tcPr>
            <w:tcW w:w="160" w:type="dxa"/>
            <w:vAlign w:val="bottom"/>
          </w:tcPr>
          <w:p>
            <w:pPr>
              <w:spacing w:after="0"/>
              <w:rPr>
                <w:sz w:val="18"/>
                <w:szCs w:val="18"/>
                <w:color w:val="auto"/>
              </w:rPr>
            </w:pPr>
          </w:p>
        </w:tc>
        <w:tc>
          <w:tcPr>
            <w:tcW w:w="2520" w:type="dxa"/>
            <w:vAlign w:val="bottom"/>
            <w:gridSpan w:val="4"/>
          </w:tcPr>
          <w:p>
            <w:pPr>
              <w:ind w:left="220"/>
              <w:spacing w:after="0"/>
              <w:rPr>
                <w:sz w:val="20"/>
                <w:szCs w:val="20"/>
                <w:color w:val="auto"/>
              </w:rPr>
            </w:pPr>
            <w:r>
              <w:rPr>
                <w:rFonts w:ascii="Arial" w:cs="Arial" w:eastAsia="Arial" w:hAnsi="Arial"/>
                <w:sz w:val="16"/>
                <w:szCs w:val="16"/>
                <w:b w:val="1"/>
                <w:bCs w:val="1"/>
                <w:color w:val="auto"/>
              </w:rPr>
              <w:t>As of December 31, 2021</w:t>
            </w:r>
          </w:p>
        </w:tc>
        <w:tc>
          <w:tcPr>
            <w:tcW w:w="0" w:type="dxa"/>
            <w:vAlign w:val="bottom"/>
          </w:tcPr>
          <w:p>
            <w:pPr>
              <w:spacing w:after="0"/>
              <w:rPr>
                <w:sz w:val="1"/>
                <w:szCs w:val="1"/>
                <w:color w:val="auto"/>
              </w:rPr>
            </w:pPr>
          </w:p>
        </w:tc>
      </w:tr>
      <w:tr>
        <w:trPr>
          <w:trHeight w:val="155"/>
        </w:trPr>
        <w:tc>
          <w:tcPr>
            <w:tcW w:w="46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79"/>
              <w:spacing w:after="0" w:line="155" w:lineRule="exact"/>
              <w:rPr>
                <w:sz w:val="20"/>
                <w:szCs w:val="20"/>
                <w:color w:val="auto"/>
              </w:rPr>
            </w:pPr>
            <w:r>
              <w:rPr>
                <w:rFonts w:ascii="Arial" w:cs="Arial" w:eastAsia="Arial" w:hAnsi="Arial"/>
                <w:sz w:val="16"/>
                <w:szCs w:val="16"/>
                <w:b w:val="1"/>
                <w:bCs w:val="1"/>
                <w:color w:val="auto"/>
                <w:w w:val="98"/>
              </w:rPr>
              <w:t>Fair Value,</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79"/>
              <w:spacing w:after="0" w:line="155" w:lineRule="exact"/>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240"/>
              <w:spacing w:after="0" w:line="162" w:lineRule="exact"/>
              <w:rPr>
                <w:sz w:val="20"/>
                <w:szCs w:val="20"/>
                <w:color w:val="auto"/>
              </w:rPr>
            </w:pPr>
            <w:r>
              <w:rPr>
                <w:rFonts w:ascii="Arial" w:cs="Arial" w:eastAsia="Arial" w:hAnsi="Arial"/>
                <w:sz w:val="16"/>
                <w:szCs w:val="16"/>
                <w:b w:val="1"/>
                <w:bCs w:val="1"/>
                <w:color w:val="auto"/>
              </w:rPr>
              <w:t>Asset</w:t>
            </w:r>
          </w:p>
        </w:tc>
        <w:tc>
          <w:tcPr>
            <w:tcW w:w="160" w:type="dxa"/>
            <w:vAlign w:val="bottom"/>
          </w:tcPr>
          <w:p>
            <w:pPr>
              <w:spacing w:after="0"/>
              <w:rPr>
                <w:sz w:val="14"/>
                <w:szCs w:val="14"/>
                <w:color w:val="auto"/>
              </w:rPr>
            </w:pPr>
          </w:p>
        </w:tc>
        <w:tc>
          <w:tcPr>
            <w:tcW w:w="12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Liability</w:t>
            </w:r>
          </w:p>
        </w:tc>
        <w:tc>
          <w:tcPr>
            <w:tcW w:w="160" w:type="dxa"/>
            <w:vAlign w:val="bottom"/>
          </w:tcPr>
          <w:p>
            <w:pPr>
              <w:spacing w:after="0"/>
              <w:rPr>
                <w:sz w:val="14"/>
                <w:szCs w:val="14"/>
                <w:color w:val="auto"/>
              </w:rPr>
            </w:pPr>
          </w:p>
        </w:tc>
        <w:tc>
          <w:tcPr>
            <w:tcW w:w="1240" w:type="dxa"/>
            <w:vAlign w:val="bottom"/>
            <w:gridSpan w:val="2"/>
          </w:tcPr>
          <w:p>
            <w:pPr>
              <w:ind w:left="240"/>
              <w:spacing w:after="0" w:line="162" w:lineRule="exact"/>
              <w:rPr>
                <w:sz w:val="20"/>
                <w:szCs w:val="20"/>
                <w:color w:val="auto"/>
              </w:rPr>
            </w:pPr>
            <w:r>
              <w:rPr>
                <w:rFonts w:ascii="Arial" w:cs="Arial" w:eastAsia="Arial" w:hAnsi="Arial"/>
                <w:sz w:val="16"/>
                <w:szCs w:val="16"/>
                <w:b w:val="1"/>
                <w:bCs w:val="1"/>
                <w:color w:val="auto"/>
              </w:rPr>
              <w:t>Asset</w:t>
            </w:r>
          </w:p>
        </w:tc>
        <w:tc>
          <w:tcPr>
            <w:tcW w:w="160" w:type="dxa"/>
            <w:vAlign w:val="bottom"/>
          </w:tcPr>
          <w:p>
            <w:pPr>
              <w:spacing w:after="0"/>
              <w:rPr>
                <w:sz w:val="14"/>
                <w:szCs w:val="14"/>
                <w:color w:val="auto"/>
              </w:rPr>
            </w:pPr>
          </w:p>
        </w:tc>
        <w:tc>
          <w:tcPr>
            <w:tcW w:w="112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Liability</w:t>
            </w:r>
          </w:p>
        </w:tc>
        <w:tc>
          <w:tcPr>
            <w:tcW w:w="0" w:type="dxa"/>
            <w:vAlign w:val="bottom"/>
          </w:tcPr>
          <w:p>
            <w:pPr>
              <w:spacing w:after="0"/>
              <w:rPr>
                <w:sz w:val="1"/>
                <w:szCs w:val="1"/>
                <w:color w:val="auto"/>
              </w:rPr>
            </w:pPr>
          </w:p>
        </w:tc>
      </w:tr>
      <w:tr>
        <w:trPr>
          <w:trHeight w:val="216"/>
        </w:trPr>
        <w:tc>
          <w:tcPr>
            <w:tcW w:w="468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Derivatives</w:t>
            </w:r>
          </w:p>
        </w:tc>
        <w:tc>
          <w:tcPr>
            <w:tcW w:w="0" w:type="dxa"/>
            <w:vAlign w:val="bottom"/>
          </w:tcPr>
          <w:p>
            <w:pPr>
              <w:spacing w:after="0"/>
              <w:rPr>
                <w:sz w:val="1"/>
                <w:szCs w:val="1"/>
                <w:color w:val="auto"/>
              </w:rPr>
            </w:pPr>
          </w:p>
        </w:tc>
      </w:tr>
      <w:tr>
        <w:trPr>
          <w:trHeight w:val="195"/>
        </w:trPr>
        <w:tc>
          <w:tcPr>
            <w:tcW w:w="468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4680" w:type="dxa"/>
            <w:vAlign w:val="bottom"/>
          </w:tcPr>
          <w:p>
            <w:pPr>
              <w:ind w:left="200"/>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4680" w:type="dxa"/>
            <w:vAlign w:val="bottom"/>
          </w:tcPr>
          <w:p>
            <w:pPr>
              <w:ind w:left="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500" w:right="20"/>
        <w:spacing w:after="0" w:line="252"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us; however, certain amounts related to the derivatives held by Avis Budget Rental Car Funding are included within accumulated other comprehensive income (loss), as discussed in Note 16 – Stockholders' Equity.</w:t>
      </w:r>
    </w:p>
    <w:p>
      <w:pPr>
        <w:ind w:left="820" w:hanging="326"/>
        <w:spacing w:after="0"/>
        <w:tabs>
          <w:tab w:leader="none" w:pos="820" w:val="left"/>
        </w:tabs>
        <w:numPr>
          <w:ilvl w:val="0"/>
          <w:numId w:val="64"/>
        </w:numPr>
        <w:rPr>
          <w:rFonts w:ascii="Arial" w:cs="Arial" w:eastAsia="Arial" w:hAnsi="Arial"/>
          <w:sz w:val="9"/>
          <w:szCs w:val="9"/>
          <w:color w:val="auto"/>
        </w:rPr>
      </w:pPr>
      <w:r>
        <w:rPr>
          <w:rFonts w:ascii="Arial" w:cs="Arial" w:eastAsia="Arial" w:hAnsi="Arial"/>
          <w:sz w:val="14"/>
          <w:szCs w:val="14"/>
          <w:color w:val="auto"/>
        </w:rPr>
        <w:t>Included in other non-current assets or other non-current liabilities.</w:t>
      </w:r>
    </w:p>
    <w:p>
      <w:pPr>
        <w:spacing w:after="0" w:line="14" w:lineRule="exact"/>
        <w:rPr>
          <w:rFonts w:ascii="Arial" w:cs="Arial" w:eastAsia="Arial" w:hAnsi="Arial"/>
          <w:sz w:val="9"/>
          <w:szCs w:val="9"/>
          <w:color w:val="auto"/>
        </w:rPr>
      </w:pPr>
    </w:p>
    <w:p>
      <w:pPr>
        <w:ind w:left="820" w:hanging="326"/>
        <w:spacing w:after="0" w:line="192" w:lineRule="auto"/>
        <w:tabs>
          <w:tab w:leader="none" w:pos="820"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Included in other current assets or other current liabilities.</w:t>
      </w:r>
    </w:p>
    <w:p>
      <w:pPr>
        <w:ind w:left="800" w:hanging="306"/>
        <w:spacing w:after="0" w:line="193" w:lineRule="auto"/>
        <w:tabs>
          <w:tab w:leader="none" w:pos="800"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Included in assets under vehicle programs or liabilities under vehicle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our Consolidated Financial Statements are as follows:</w:t>
      </w:r>
    </w:p>
    <w:p>
      <w:pPr>
        <w:spacing w:after="0" w:line="54" w:lineRule="exact"/>
        <w:rPr>
          <w:sz w:val="20"/>
          <w:szCs w:val="20"/>
          <w:color w:val="auto"/>
        </w:rPr>
      </w:pPr>
    </w:p>
    <w:p>
      <w:pPr>
        <w:ind w:left="7640"/>
        <w:spacing w:after="0"/>
        <w:rPr>
          <w:sz w:val="20"/>
          <w:szCs w:val="20"/>
          <w:color w:val="auto"/>
        </w:rPr>
      </w:pPr>
      <w:r>
        <w:rPr>
          <w:rFonts w:ascii="Arial" w:cs="Arial" w:eastAsia="Arial" w:hAnsi="Arial"/>
          <w:sz w:val="16"/>
          <w:szCs w:val="16"/>
          <w:b w:val="1"/>
          <w:bCs w:val="1"/>
          <w:color w:val="auto"/>
        </w:rPr>
        <w:t>Year Ended December 31,</w:t>
      </w:r>
    </w:p>
    <w:p>
      <w:pPr>
        <w:spacing w:after="0" w:line="33" w:lineRule="exact"/>
        <w:rPr>
          <w:sz w:val="20"/>
          <w:szCs w:val="20"/>
          <w:color w:val="auto"/>
        </w:rPr>
      </w:pPr>
    </w:p>
    <w:tbl>
      <w:tblPr>
        <w:tblLayout w:type="fixed"/>
        <w:tblInd w:w="520" w:type="dxa"/>
        <w:tblCellMar>
          <w:top w:w="0" w:type="dxa"/>
          <w:left w:w="0" w:type="dxa"/>
          <w:bottom w:w="0" w:type="dxa"/>
          <w:right w:w="0" w:type="dxa"/>
        </w:tblCellMar>
      </w:tblPr>
      <w:tr>
        <w:trPr>
          <w:trHeight w:val="209"/>
        </w:trPr>
        <w:tc>
          <w:tcPr>
            <w:tcW w:w="608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Financial instruments designated as hedging instruments </w:t>
            </w:r>
            <w:r>
              <w:rPr>
                <w:rFonts w:ascii="Arial" w:cs="Arial" w:eastAsia="Arial" w:hAnsi="Arial"/>
                <w:sz w:val="21"/>
                <w:szCs w:val="21"/>
                <w:color w:val="auto"/>
                <w:vertAlign w:val="superscript"/>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5"/>
        </w:trPr>
        <w:tc>
          <w:tcPr>
            <w:tcW w:w="608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6"/>
        </w:trPr>
        <w:tc>
          <w:tcPr>
            <w:tcW w:w="608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6080" w:type="dxa"/>
            <w:vAlign w:val="bottom"/>
          </w:tcPr>
          <w:p>
            <w:pPr>
              <w:spacing w:after="0" w:line="216" w:lineRule="exact"/>
              <w:rPr>
                <w:sz w:val="20"/>
                <w:szCs w:val="20"/>
                <w:color w:val="auto"/>
              </w:rPr>
            </w:pPr>
            <w:r>
              <w:rPr>
                <w:rFonts w:ascii="Arial" w:cs="Arial" w:eastAsia="Arial" w:hAnsi="Arial"/>
                <w:sz w:val="16"/>
                <w:szCs w:val="16"/>
                <w:b w:val="1"/>
                <w:bCs w:val="1"/>
                <w:color w:val="auto"/>
              </w:rPr>
              <w:t xml:space="preserve">Financial instruments not designated as hedging instruments </w:t>
            </w:r>
            <w:r>
              <w:rPr>
                <w:rFonts w:ascii="Arial" w:cs="Arial" w:eastAsia="Arial" w:hAnsi="Arial"/>
                <w:sz w:val="21"/>
                <w:szCs w:val="21"/>
                <w:color w:val="auto"/>
                <w:vertAlign w:val="superscript"/>
              </w:rPr>
              <w:t>(d)</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608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(f)</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080" w:type="dxa"/>
            <w:vAlign w:val="bottom"/>
          </w:tcPr>
          <w:p>
            <w:pPr>
              <w:ind w:left="200"/>
              <w:spacing w:after="0" w:line="217"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(g)</w:t>
            </w:r>
          </w:p>
        </w:tc>
        <w:tc>
          <w:tcPr>
            <w:tcW w:w="8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6"/>
                <w:szCs w:val="16"/>
                <w:color w:val="auto"/>
              </w:rPr>
              <w:t>Total</w:t>
            </w: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13" w:lineRule="auto"/>
        <w:tabs>
          <w:tab w:leader="none" w:pos="820" w:val="left"/>
        </w:tabs>
        <w:numPr>
          <w:ilvl w:val="0"/>
          <w:numId w:val="65"/>
        </w:numPr>
        <w:rPr>
          <w:rFonts w:ascii="Arial" w:cs="Arial" w:eastAsia="Arial" w:hAnsi="Arial"/>
          <w:sz w:val="19"/>
          <w:szCs w:val="19"/>
          <w:color w:val="auto"/>
          <w:vertAlign w:val="superscript"/>
        </w:rPr>
      </w:pPr>
      <w:r>
        <w:rPr>
          <w:rFonts w:ascii="Arial" w:cs="Arial" w:eastAsia="Arial" w:hAnsi="Arial"/>
          <w:sz w:val="14"/>
          <w:szCs w:val="14"/>
          <w:color w:val="auto"/>
        </w:rPr>
        <w:t>Recognized, net of tax, as a component of accumulated other comprehensive income (loss) within stockholders’ equity.</w:t>
      </w:r>
    </w:p>
    <w:p>
      <w:pPr>
        <w:ind w:left="820" w:hanging="326"/>
        <w:spacing w:after="0" w:line="261" w:lineRule="auto"/>
        <w:tabs>
          <w:tab w:leader="none" w:pos="813" w:val="left"/>
        </w:tabs>
        <w:numPr>
          <w:ilvl w:val="0"/>
          <w:numId w:val="65"/>
        </w:numPr>
        <w:rPr>
          <w:rFonts w:ascii="Arial" w:cs="Arial" w:eastAsia="Arial" w:hAnsi="Arial"/>
          <w:sz w:val="9"/>
          <w:szCs w:val="9"/>
          <w:color w:val="auto"/>
        </w:rPr>
      </w:pPr>
      <w:r>
        <w:rPr>
          <w:rFonts w:ascii="Arial" w:cs="Arial" w:eastAsia="Arial" w:hAnsi="Arial"/>
          <w:sz w:val="14"/>
          <w:szCs w:val="14"/>
          <w:color w:val="auto"/>
        </w:rPr>
        <w:t>Classified as a net unrealized gain (loss) on cash flow hedges in accumulated other comprehensive income (loss). Refer to Note 16 – Stockholders' Equity for amounts reclassified from accumulated other comprehensive income (loss) into earnings.</w:t>
      </w:r>
    </w:p>
    <w:p>
      <w:pPr>
        <w:ind w:left="800" w:hanging="306"/>
        <w:spacing w:after="0" w:line="192" w:lineRule="auto"/>
        <w:tabs>
          <w:tab w:leader="none" w:pos="800" w:val="left"/>
        </w:tabs>
        <w:numPr>
          <w:ilvl w:val="0"/>
          <w:numId w:val="65"/>
        </w:numPr>
        <w:rPr>
          <w:rFonts w:ascii="Arial" w:cs="Arial" w:eastAsia="Arial" w:hAnsi="Arial"/>
          <w:sz w:val="19"/>
          <w:szCs w:val="19"/>
          <w:color w:val="auto"/>
          <w:vertAlign w:val="superscript"/>
        </w:rPr>
      </w:pPr>
      <w:r>
        <w:rPr>
          <w:rFonts w:ascii="Arial" w:cs="Arial" w:eastAsia="Arial" w:hAnsi="Arial"/>
          <w:sz w:val="14"/>
          <w:szCs w:val="14"/>
          <w:color w:val="auto"/>
        </w:rPr>
        <w:t>Classified as a net investment hedge within currency translation adjustment in accumulated other comprehensive income (loss).</w:t>
      </w:r>
    </w:p>
    <w:p>
      <w:pPr>
        <w:ind w:left="820" w:hanging="326"/>
        <w:spacing w:after="0" w:line="192" w:lineRule="auto"/>
        <w:tabs>
          <w:tab w:leader="none" w:pos="820" w:val="left"/>
        </w:tabs>
        <w:numPr>
          <w:ilvl w:val="0"/>
          <w:numId w:val="65"/>
        </w:numPr>
        <w:rPr>
          <w:rFonts w:ascii="Arial" w:cs="Arial" w:eastAsia="Arial" w:hAnsi="Arial"/>
          <w:sz w:val="19"/>
          <w:szCs w:val="19"/>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jc w:val="both"/>
        <w:ind w:left="820" w:hanging="326"/>
        <w:spacing w:after="0" w:line="227" w:lineRule="auto"/>
        <w:tabs>
          <w:tab w:leader="none" w:pos="813" w:val="left"/>
        </w:tabs>
        <w:numPr>
          <w:ilvl w:val="0"/>
          <w:numId w:val="65"/>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2022, included a $39 million gain in interest expense and a $3 million loss in operating expenses. For the year ended December 31, 2021, included a $2 million loss in interest expense and a $1 million loss in operating expenses. For the year ended December 31, 2020, included a $3 million loss in interest expense and a $2 million loss in operating expenses.</w:t>
      </w:r>
    </w:p>
    <w:p>
      <w:pPr>
        <w:spacing w:after="0" w:line="1" w:lineRule="exact"/>
        <w:rPr>
          <w:rFonts w:ascii="Arial" w:cs="Arial" w:eastAsia="Arial" w:hAnsi="Arial"/>
          <w:sz w:val="19"/>
          <w:szCs w:val="19"/>
          <w:color w:val="auto"/>
          <w:vertAlign w:val="superscript"/>
        </w:rPr>
      </w:pPr>
    </w:p>
    <w:p>
      <w:pPr>
        <w:ind w:left="820" w:hanging="326"/>
        <w:spacing w:after="0" w:line="192" w:lineRule="auto"/>
        <w:tabs>
          <w:tab w:leader="none" w:pos="820" w:val="left"/>
        </w:tabs>
        <w:numPr>
          <w:ilvl w:val="0"/>
          <w:numId w:val="65"/>
        </w:numPr>
        <w:rPr>
          <w:rFonts w:ascii="Arial" w:cs="Arial" w:eastAsia="Arial" w:hAnsi="Arial"/>
          <w:sz w:val="19"/>
          <w:szCs w:val="19"/>
          <w:color w:val="auto"/>
          <w:vertAlign w:val="superscript"/>
        </w:rPr>
      </w:pPr>
      <w:r>
        <w:rPr>
          <w:rFonts w:ascii="Arial" w:cs="Arial" w:eastAsia="Arial" w:hAnsi="Arial"/>
          <w:sz w:val="14"/>
          <w:szCs w:val="14"/>
          <w:color w:val="auto"/>
        </w:rPr>
        <w:t>Primarily included in vehicle interest, net.</w:t>
      </w:r>
    </w:p>
    <w:p>
      <w:pPr>
        <w:ind w:left="820" w:hanging="326"/>
        <w:spacing w:after="0" w:line="193" w:lineRule="auto"/>
        <w:tabs>
          <w:tab w:leader="none" w:pos="820" w:val="left"/>
        </w:tabs>
        <w:numPr>
          <w:ilvl w:val="0"/>
          <w:numId w:val="65"/>
        </w:numPr>
        <w:rPr>
          <w:rFonts w:ascii="Arial" w:cs="Arial" w:eastAsia="Arial" w:hAnsi="Arial"/>
          <w:sz w:val="19"/>
          <w:szCs w:val="19"/>
          <w:color w:val="auto"/>
          <w:vertAlign w:val="superscript"/>
        </w:rPr>
      </w:pPr>
      <w:r>
        <w:rPr>
          <w:rFonts w:ascii="Arial" w:cs="Arial" w:eastAsia="Arial" w:hAnsi="Arial"/>
          <w:sz w:val="14"/>
          <w:szCs w:val="14"/>
          <w:color w:val="auto"/>
        </w:rPr>
        <w:t>Included in operating expenses.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Instruments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are as follows:</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ind w:left="200"/>
              <w:spacing w:after="0"/>
              <w:rPr>
                <w:sz w:val="20"/>
                <w:szCs w:val="20"/>
                <w:color w:val="auto"/>
              </w:rPr>
            </w:pPr>
            <w:r>
              <w:rPr>
                <w:rFonts w:ascii="Arial" w:cs="Arial" w:eastAsia="Arial" w:hAnsi="Arial"/>
                <w:sz w:val="16"/>
                <w:szCs w:val="16"/>
                <w:b w:val="1"/>
                <w:bCs w:val="1"/>
                <w:color w:val="auto"/>
              </w:rPr>
              <w:t>As of December 31, 2022</w:t>
            </w:r>
          </w:p>
        </w:tc>
        <w:tc>
          <w:tcPr>
            <w:tcW w:w="220" w:type="dxa"/>
            <w:vAlign w:val="bottom"/>
          </w:tcPr>
          <w:p>
            <w:pPr>
              <w:spacing w:after="0"/>
              <w:rPr>
                <w:sz w:val="18"/>
                <w:szCs w:val="18"/>
                <w:color w:val="auto"/>
              </w:rPr>
            </w:pPr>
          </w:p>
        </w:tc>
        <w:tc>
          <w:tcPr>
            <w:tcW w:w="248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As of December 31, 2021</w:t>
            </w: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rPr>
              <w:t>Carrying</w:t>
            </w: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179"/>
              <w:spacing w:after="0" w:line="155" w:lineRule="exact"/>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179"/>
              <w:spacing w:after="0" w:line="155" w:lineRule="exact"/>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216"/>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auto"/>
              </w:rPr>
              <w:t>Corporate debt</w:t>
            </w: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95"/>
        </w:trPr>
        <w:tc>
          <w:tcPr>
            <w:tcW w:w="46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20" w:type="dxa"/>
            <w:vAlign w:val="bottom"/>
          </w:tcPr>
          <w:p>
            <w:pPr>
              <w:ind w:left="160"/>
              <w:spacing w:after="0"/>
              <w:rPr>
                <w:sz w:val="20"/>
                <w:szCs w:val="20"/>
                <w:color w:val="auto"/>
              </w:rPr>
            </w:pPr>
            <w:r>
              <w:rPr>
                <w:rFonts w:ascii="Arial" w:cs="Arial" w:eastAsia="Arial" w:hAnsi="Arial"/>
                <w:sz w:val="16"/>
                <w:szCs w:val="16"/>
                <w:color w:val="auto"/>
              </w:rPr>
              <w:t>Short-term debt and current portion of long-term debt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4,153</w:t>
            </w:r>
          </w:p>
        </w:tc>
        <w:tc>
          <w:tcPr>
            <w:tcW w:w="0" w:type="dxa"/>
            <w:vAlign w:val="bottom"/>
          </w:tcPr>
          <w:p>
            <w:pPr>
              <w:spacing w:after="0"/>
              <w:rPr>
                <w:sz w:val="1"/>
                <w:szCs w:val="1"/>
                <w:color w:val="auto"/>
              </w:rPr>
            </w:pPr>
          </w:p>
        </w:tc>
      </w:tr>
      <w:tr>
        <w:trPr>
          <w:trHeight w:val="433"/>
        </w:trPr>
        <w:tc>
          <w:tcPr>
            <w:tcW w:w="462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20" w:type="dxa"/>
            <w:vAlign w:val="bottom"/>
          </w:tcPr>
          <w:p>
            <w:pPr>
              <w:ind w:left="160"/>
              <w:spacing w:after="0"/>
              <w:rPr>
                <w:sz w:val="20"/>
                <w:szCs w:val="20"/>
                <w:color w:val="auto"/>
              </w:rPr>
            </w:pPr>
            <w:r>
              <w:rPr>
                <w:rFonts w:ascii="Arial" w:cs="Arial" w:eastAsia="Arial" w:hAnsi="Arial"/>
                <w:sz w:val="16"/>
                <w:szCs w:val="16"/>
                <w:color w:val="auto"/>
              </w:rPr>
              <w:t>Vehicle-backed debt due to Avis Budget Rental Car Funding</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11,275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10,848</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8,848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9,009</w:t>
            </w:r>
          </w:p>
        </w:tc>
        <w:tc>
          <w:tcPr>
            <w:tcW w:w="0" w:type="dxa"/>
            <w:vAlign w:val="bottom"/>
          </w:tcPr>
          <w:p>
            <w:pPr>
              <w:spacing w:after="0"/>
              <w:rPr>
                <w:sz w:val="1"/>
                <w:szCs w:val="1"/>
                <w:color w:val="auto"/>
              </w:rPr>
            </w:pPr>
          </w:p>
        </w:tc>
      </w:tr>
      <w:tr>
        <w:trPr>
          <w:trHeight w:val="207"/>
        </w:trPr>
        <w:tc>
          <w:tcPr>
            <w:tcW w:w="4620" w:type="dxa"/>
            <w:vAlign w:val="bottom"/>
          </w:tcPr>
          <w:p>
            <w:pPr>
              <w:ind w:left="160"/>
              <w:spacing w:after="0"/>
              <w:rPr>
                <w:sz w:val="20"/>
                <w:szCs w:val="20"/>
                <w:color w:val="auto"/>
              </w:rPr>
            </w:pPr>
            <w:r>
              <w:rPr>
                <w:rFonts w:ascii="Arial" w:cs="Arial" w:eastAsia="Arial" w:hAnsi="Arial"/>
                <w:sz w:val="16"/>
                <w:szCs w:val="16"/>
                <w:color w:val="auto"/>
              </w:rPr>
              <w:t>Vehicle-backed debt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2,559</w:t>
            </w:r>
          </w:p>
        </w:tc>
        <w:tc>
          <w:tcPr>
            <w:tcW w:w="0" w:type="dxa"/>
            <w:vAlign w:val="bottom"/>
          </w:tcPr>
          <w:p>
            <w:pPr>
              <w:spacing w:after="0"/>
              <w:rPr>
                <w:sz w:val="1"/>
                <w:szCs w:val="1"/>
                <w:color w:val="auto"/>
              </w:rPr>
            </w:pPr>
          </w:p>
        </w:tc>
      </w:tr>
      <w:tr>
        <w:trPr>
          <w:trHeight w:val="282"/>
        </w:trPr>
        <w:tc>
          <w:tcPr>
            <w:tcW w:w="4620" w:type="dxa"/>
            <w:vAlign w:val="bottom"/>
          </w:tcPr>
          <w:p>
            <w:pPr>
              <w:ind w:left="16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___________</w:t>
      </w:r>
    </w:p>
    <w:p>
      <w:pPr>
        <w:ind w:left="820" w:hanging="326"/>
        <w:spacing w:after="0" w:line="224" w:lineRule="auto"/>
        <w:tabs>
          <w:tab w:leader="none" w:pos="820" w:val="left"/>
        </w:tabs>
        <w:numPr>
          <w:ilvl w:val="1"/>
          <w:numId w:val="66"/>
        </w:numPr>
        <w:rPr>
          <w:rFonts w:ascii="Arial" w:cs="Arial" w:eastAsia="Arial" w:hAnsi="Arial"/>
          <w:sz w:val="19"/>
          <w:szCs w:val="19"/>
          <w:color w:val="auto"/>
          <w:vertAlign w:val="superscript"/>
        </w:rPr>
      </w:pPr>
      <w:r>
        <w:rPr>
          <w:rFonts w:ascii="Arial" w:cs="Arial" w:eastAsia="Arial" w:hAnsi="Arial"/>
          <w:sz w:val="14"/>
          <w:szCs w:val="14"/>
          <w:color w:val="auto"/>
        </w:rPr>
        <w:t>Derivatives in liability position.</w:t>
      </w:r>
    </w:p>
    <w:p>
      <w:pPr>
        <w:spacing w:after="0" w:line="219" w:lineRule="exact"/>
        <w:rPr>
          <w:rFonts w:ascii="Arial" w:cs="Arial" w:eastAsia="Arial" w:hAnsi="Arial"/>
          <w:sz w:val="19"/>
          <w:szCs w:val="19"/>
          <w:color w:val="auto"/>
          <w:vertAlign w:val="superscript"/>
        </w:rPr>
      </w:pPr>
    </w:p>
    <w:p>
      <w:pPr>
        <w:ind w:left="500" w:hanging="442"/>
        <w:spacing w:after="0"/>
        <w:tabs>
          <w:tab w:leader="none" w:pos="5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71" w:lineRule="exact"/>
        <w:rPr>
          <w:rFonts w:ascii="Arial" w:cs="Arial" w:eastAsia="Arial" w:hAnsi="Arial"/>
          <w:sz w:val="18"/>
          <w:szCs w:val="18"/>
          <w:b w:val="1"/>
          <w:bCs w:val="1"/>
          <w:color w:val="auto"/>
        </w:rPr>
      </w:pPr>
    </w:p>
    <w:p>
      <w:pPr>
        <w:jc w:val="both"/>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Our chief operating decision-maker assesses performance and allocates resources based upon the separate financial information of our operating segments. In identifying our reportable segments, we also consider the nature of services provided by our operating segments, the geographical areas in which the segments operate and other relevant factors. We aggregate certain of our operating segments into our reportable segments.</w:t>
      </w:r>
    </w:p>
    <w:p>
      <w:pPr>
        <w:spacing w:after="0" w:line="122" w:lineRule="exact"/>
        <w:rPr>
          <w:rFonts w:ascii="Arial" w:cs="Arial" w:eastAsia="Arial" w:hAnsi="Arial"/>
          <w:sz w:val="18"/>
          <w:szCs w:val="18"/>
          <w:b w:val="1"/>
          <w:bCs w:val="1"/>
          <w:color w:val="auto"/>
        </w:rPr>
      </w:pPr>
    </w:p>
    <w:p>
      <w:pPr>
        <w:jc w:val="both"/>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our reportable segments based upon revenues and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and other legal matters, net, which includes amounts recorded in excess of $5 million related to class action lawsuits; non-operational charges related to shareholder activist activity, which include third party advisory, legal and other professional fees; COVID-19 charges, net; other (income)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expense, net; and income taxes.</w:t>
      </w:r>
    </w:p>
    <w:p>
      <w:pPr>
        <w:spacing w:after="0" w:line="171"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We revised our definition of Adjusted EBITDA to exclude other (income) expense, net. We did not revise prior years' Adjusted EBITDA because there were no other charges similar in nature. 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Our presentation of Adjusted EBITDA may not be comparable to similarly-titled measures used by other companies.</w:t>
      </w:r>
    </w:p>
    <w:p>
      <w:pPr>
        <w:spacing w:after="0" w:line="371" w:lineRule="exact"/>
        <w:rPr>
          <w:sz w:val="20"/>
          <w:szCs w:val="20"/>
          <w:color w:val="auto"/>
        </w:rPr>
      </w:pPr>
    </w:p>
    <w:tbl>
      <w:tblPr>
        <w:tblLayout w:type="fixed"/>
        <w:tblInd w:w="500" w:type="dxa"/>
        <w:tblCellMar>
          <w:top w:w="0" w:type="dxa"/>
          <w:left w:w="0" w:type="dxa"/>
          <w:bottom w:w="0" w:type="dxa"/>
          <w:right w:w="0" w:type="dxa"/>
        </w:tblCellMar>
      </w:tblPr>
      <w:tr>
        <w:trPr>
          <w:trHeight w:val="247"/>
        </w:trPr>
        <w:tc>
          <w:tcPr>
            <w:tcW w:w="4040" w:type="dxa"/>
            <w:vAlign w:val="bottom"/>
          </w:tcPr>
          <w:p>
            <w:pPr>
              <w:spacing w:after="0"/>
              <w:rPr>
                <w:sz w:val="20"/>
                <w:szCs w:val="20"/>
                <w:color w:val="auto"/>
              </w:rPr>
            </w:pPr>
            <w:r>
              <w:rPr>
                <w:rFonts w:ascii="Arial" w:cs="Arial" w:eastAsia="Arial" w:hAnsi="Arial"/>
                <w:sz w:val="18"/>
                <w:szCs w:val="18"/>
                <w:b w:val="1"/>
                <w:bCs w:val="1"/>
                <w:color w:val="auto"/>
              </w:rPr>
              <w:t>Year Ended December 31, 2022</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Americas</w:t>
            </w:r>
          </w:p>
        </w:tc>
        <w:tc>
          <w:tcPr>
            <w:tcW w:w="160" w:type="dxa"/>
            <w:vAlign w:val="bottom"/>
          </w:tcPr>
          <w:p>
            <w:pPr>
              <w:spacing w:after="0"/>
              <w:rPr>
                <w:sz w:val="16"/>
                <w:szCs w:val="16"/>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International</w:t>
            </w:r>
          </w:p>
        </w:tc>
        <w:tc>
          <w:tcPr>
            <w:tcW w:w="160" w:type="dxa"/>
            <w:vAlign w:val="bottom"/>
          </w:tcPr>
          <w:p>
            <w:pPr>
              <w:spacing w:after="0"/>
              <w:rPr>
                <w:sz w:val="16"/>
                <w:szCs w:val="16"/>
                <w:color w:val="auto"/>
              </w:rPr>
            </w:pPr>
          </w:p>
        </w:tc>
        <w:tc>
          <w:tcPr>
            <w:tcW w:w="1700" w:type="dxa"/>
            <w:vAlign w:val="bottom"/>
            <w:gridSpan w:val="3"/>
          </w:tcPr>
          <w:p>
            <w:pPr>
              <w:jc w:val="center"/>
              <w:ind w:right="510"/>
              <w:spacing w:after="0" w:line="190" w:lineRule="exact"/>
              <w:rPr>
                <w:sz w:val="20"/>
                <w:szCs w:val="20"/>
                <w:color w:val="auto"/>
              </w:rPr>
            </w:pPr>
            <w:r>
              <w:rPr>
                <w:rFonts w:ascii="Arial" w:cs="Arial" w:eastAsia="Arial" w:hAnsi="Arial"/>
                <w:sz w:val="18"/>
                <w:szCs w:val="18"/>
                <w:b w:val="1"/>
                <w:bCs w:val="1"/>
                <w:color w:val="auto"/>
                <w:w w:val="99"/>
              </w:rPr>
              <w:t>Corporate</w:t>
            </w:r>
          </w:p>
        </w:tc>
        <w:tc>
          <w:tcPr>
            <w:tcW w:w="11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04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w w:val="98"/>
              </w:rPr>
              <w:t xml:space="preserve">and Other </w:t>
            </w:r>
            <w:r>
              <w:rPr>
                <w:rFonts w:ascii="Arial" w:cs="Arial" w:eastAsia="Arial" w:hAnsi="Arial"/>
                <w:sz w:val="9"/>
                <w:szCs w:val="9"/>
                <w:b w:val="1"/>
                <w:bCs w:val="1"/>
                <w:color w:val="auto"/>
                <w:w w:val="98"/>
              </w:rPr>
              <w:t>(a)</w:t>
            </w: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040" w:type="dxa"/>
            <w:vAlign w:val="bottom"/>
            <w:vMerge w:val="continue"/>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11,994</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Vehicle interest,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Non-vehicle depreciation and amortization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81"/>
        </w:trPr>
        <w:tc>
          <w:tcPr>
            <w:tcW w:w="4040" w:type="dxa"/>
            <w:vAlign w:val="bottom"/>
          </w:tcPr>
          <w:p>
            <w:pPr>
              <w:ind w:left="20"/>
              <w:spacing w:after="0" w:line="181" w:lineRule="exact"/>
              <w:rPr>
                <w:sz w:val="20"/>
                <w:szCs w:val="20"/>
                <w:color w:val="auto"/>
              </w:rPr>
            </w:pPr>
            <w:r>
              <w:rPr>
                <w:rFonts w:ascii="Arial" w:cs="Arial" w:eastAsia="Arial" w:hAnsi="Arial"/>
                <w:sz w:val="18"/>
                <w:szCs w:val="18"/>
                <w:color w:val="auto"/>
              </w:rPr>
              <w:t>Assets exclusive of assets under vehicle</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5,798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2,402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8,499</w:t>
            </w:r>
          </w:p>
        </w:tc>
        <w:tc>
          <w:tcPr>
            <w:tcW w:w="0" w:type="dxa"/>
            <w:vAlign w:val="bottom"/>
          </w:tcPr>
          <w:p>
            <w:pPr>
              <w:spacing w:after="0"/>
              <w:rPr>
                <w:sz w:val="1"/>
                <w:szCs w:val="1"/>
                <w:color w:val="auto"/>
              </w:rPr>
            </w:pPr>
          </w:p>
        </w:tc>
      </w:tr>
      <w:tr>
        <w:trPr>
          <w:trHeight w:val="238"/>
        </w:trPr>
        <w:tc>
          <w:tcPr>
            <w:tcW w:w="4040" w:type="dxa"/>
            <w:vAlign w:val="bottom"/>
          </w:tcPr>
          <w:p>
            <w:pPr>
              <w:ind w:left="180"/>
              <w:spacing w:after="0"/>
              <w:rPr>
                <w:sz w:val="20"/>
                <w:szCs w:val="20"/>
                <w:color w:val="auto"/>
              </w:rPr>
            </w:pPr>
            <w:r>
              <w:rPr>
                <w:rFonts w:ascii="Arial" w:cs="Arial" w:eastAsia="Arial" w:hAnsi="Arial"/>
                <w:sz w:val="18"/>
                <w:szCs w:val="18"/>
                <w:color w:val="auto"/>
              </w:rPr>
              <w:t>programs</w:t>
            </w:r>
          </w:p>
        </w:tc>
        <w:tc>
          <w:tcPr>
            <w:tcW w:w="2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17,428</w:t>
            </w: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Arial" w:cs="Arial" w:eastAsia="Arial" w:hAnsi="Arial"/>
                <w:sz w:val="18"/>
                <w:szCs w:val="18"/>
                <w:color w:val="auto"/>
              </w:rPr>
              <w:t>Capital expenditures (excluding vehicles)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30" w:lineRule="exact"/>
        <w:rPr>
          <w:sz w:val="20"/>
          <w:szCs w:val="20"/>
          <w:color w:val="auto"/>
        </w:rPr>
      </w:pPr>
    </w:p>
    <w:p>
      <w:pPr>
        <w:ind w:left="500"/>
        <w:spacing w:after="0"/>
        <w:tabs>
          <w:tab w:leader="none" w:pos="780" w:val="left"/>
        </w:tabs>
        <w:rPr>
          <w:sz w:val="20"/>
          <w:szCs w:val="20"/>
          <w:color w:val="auto"/>
        </w:rPr>
      </w:pPr>
      <w:r>
        <w:rPr>
          <w:rFonts w:ascii="Arial" w:cs="Arial" w:eastAsia="Arial" w:hAnsi="Arial"/>
          <w:sz w:val="14"/>
          <w:szCs w:val="14"/>
          <w:color w:val="auto"/>
        </w:rPr>
        <w:t>(a)</w:t>
        <w:tab/>
        <w:t>Primarily represents unallocated corporate expenses and receivables from our former subsidiaries</w:t>
      </w:r>
      <w:r>
        <w:rPr>
          <w:rFonts w:ascii="Arial" w:cs="Arial" w:eastAsia="Arial" w:hAnsi="Arial"/>
          <w:sz w:val="16"/>
          <w:szCs w:val="16"/>
          <w:color w:val="auto"/>
        </w:rPr>
        <w:t>.</w:t>
      </w:r>
    </w:p>
    <w:p>
      <w:pPr>
        <w:spacing w:after="0" w:line="146" w:lineRule="exact"/>
        <w:rPr>
          <w:sz w:val="20"/>
          <w:szCs w:val="20"/>
          <w:color w:val="auto"/>
        </w:rPr>
      </w:pPr>
    </w:p>
    <w:tbl>
      <w:tblPr>
        <w:tblLayout w:type="fixed"/>
        <w:tblInd w:w="500" w:type="dxa"/>
        <w:tblCellMar>
          <w:top w:w="0" w:type="dxa"/>
          <w:left w:w="0" w:type="dxa"/>
          <w:bottom w:w="0" w:type="dxa"/>
          <w:right w:w="0" w:type="dxa"/>
        </w:tblCellMar>
      </w:tblPr>
      <w:tr>
        <w:trPr>
          <w:trHeight w:val="247"/>
        </w:trPr>
        <w:tc>
          <w:tcPr>
            <w:tcW w:w="4040" w:type="dxa"/>
            <w:vAlign w:val="bottom"/>
          </w:tcPr>
          <w:p>
            <w:pPr>
              <w:spacing w:after="0"/>
              <w:rPr>
                <w:sz w:val="20"/>
                <w:szCs w:val="20"/>
                <w:color w:val="auto"/>
              </w:rPr>
            </w:pPr>
            <w:r>
              <w:rPr>
                <w:rFonts w:ascii="Arial" w:cs="Arial" w:eastAsia="Arial" w:hAnsi="Arial"/>
                <w:sz w:val="18"/>
                <w:szCs w:val="18"/>
                <w:b w:val="1"/>
                <w:bCs w:val="1"/>
                <w:color w:val="auto"/>
              </w:rPr>
              <w:t>Year Ended December 31, 2021</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Americas</w:t>
            </w:r>
          </w:p>
        </w:tc>
        <w:tc>
          <w:tcPr>
            <w:tcW w:w="160" w:type="dxa"/>
            <w:vAlign w:val="bottom"/>
          </w:tcPr>
          <w:p>
            <w:pPr>
              <w:spacing w:after="0"/>
              <w:rPr>
                <w:sz w:val="16"/>
                <w:szCs w:val="16"/>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International</w:t>
            </w:r>
          </w:p>
        </w:tc>
        <w:tc>
          <w:tcPr>
            <w:tcW w:w="160" w:type="dxa"/>
            <w:vAlign w:val="bottom"/>
          </w:tcPr>
          <w:p>
            <w:pPr>
              <w:spacing w:after="0"/>
              <w:rPr>
                <w:sz w:val="16"/>
                <w:szCs w:val="16"/>
                <w:color w:val="auto"/>
              </w:rPr>
            </w:pPr>
          </w:p>
        </w:tc>
        <w:tc>
          <w:tcPr>
            <w:tcW w:w="1700" w:type="dxa"/>
            <w:vAlign w:val="bottom"/>
            <w:gridSpan w:val="3"/>
          </w:tcPr>
          <w:p>
            <w:pPr>
              <w:jc w:val="center"/>
              <w:ind w:right="510"/>
              <w:spacing w:after="0" w:line="190" w:lineRule="exact"/>
              <w:rPr>
                <w:sz w:val="20"/>
                <w:szCs w:val="20"/>
                <w:color w:val="auto"/>
              </w:rPr>
            </w:pPr>
            <w:r>
              <w:rPr>
                <w:rFonts w:ascii="Arial" w:cs="Arial" w:eastAsia="Arial" w:hAnsi="Arial"/>
                <w:sz w:val="18"/>
                <w:szCs w:val="18"/>
                <w:b w:val="1"/>
                <w:bCs w:val="1"/>
                <w:color w:val="auto"/>
                <w:w w:val="99"/>
              </w:rPr>
              <w:t>Corporate</w:t>
            </w:r>
          </w:p>
        </w:tc>
        <w:tc>
          <w:tcPr>
            <w:tcW w:w="11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04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w w:val="98"/>
              </w:rPr>
              <w:t xml:space="preserve">and Other </w:t>
            </w:r>
            <w:r>
              <w:rPr>
                <w:rFonts w:ascii="Arial" w:cs="Arial" w:eastAsia="Arial" w:hAnsi="Arial"/>
                <w:sz w:val="9"/>
                <w:szCs w:val="9"/>
                <w:b w:val="1"/>
                <w:bCs w:val="1"/>
                <w:color w:val="auto"/>
                <w:w w:val="98"/>
              </w:rPr>
              <w:t>(a)</w:t>
            </w: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040" w:type="dxa"/>
            <w:vAlign w:val="bottom"/>
            <w:vMerge w:val="continue"/>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Vehicle interest,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Non-vehicle depreciation and amortization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181"/>
        </w:trPr>
        <w:tc>
          <w:tcPr>
            <w:tcW w:w="4040" w:type="dxa"/>
            <w:vAlign w:val="bottom"/>
          </w:tcPr>
          <w:p>
            <w:pPr>
              <w:ind w:left="20"/>
              <w:spacing w:after="0" w:line="181" w:lineRule="exact"/>
              <w:rPr>
                <w:sz w:val="20"/>
                <w:szCs w:val="20"/>
                <w:color w:val="auto"/>
              </w:rPr>
            </w:pPr>
            <w:r>
              <w:rPr>
                <w:rFonts w:ascii="Arial" w:cs="Arial" w:eastAsia="Arial" w:hAnsi="Arial"/>
                <w:sz w:val="18"/>
                <w:szCs w:val="18"/>
                <w:color w:val="auto"/>
              </w:rPr>
              <w:t>Assets exclusive of assets under vehicle</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2,716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8,581</w:t>
            </w:r>
          </w:p>
        </w:tc>
        <w:tc>
          <w:tcPr>
            <w:tcW w:w="0" w:type="dxa"/>
            <w:vAlign w:val="bottom"/>
          </w:tcPr>
          <w:p>
            <w:pPr>
              <w:spacing w:after="0"/>
              <w:rPr>
                <w:sz w:val="1"/>
                <w:szCs w:val="1"/>
                <w:color w:val="auto"/>
              </w:rPr>
            </w:pPr>
          </w:p>
        </w:tc>
      </w:tr>
      <w:tr>
        <w:trPr>
          <w:trHeight w:val="238"/>
        </w:trPr>
        <w:tc>
          <w:tcPr>
            <w:tcW w:w="4040" w:type="dxa"/>
            <w:vAlign w:val="bottom"/>
          </w:tcPr>
          <w:p>
            <w:pPr>
              <w:ind w:left="180"/>
              <w:spacing w:after="0"/>
              <w:rPr>
                <w:sz w:val="20"/>
                <w:szCs w:val="20"/>
                <w:color w:val="auto"/>
              </w:rPr>
            </w:pPr>
            <w:r>
              <w:rPr>
                <w:rFonts w:ascii="Arial" w:cs="Arial" w:eastAsia="Arial" w:hAnsi="Arial"/>
                <w:sz w:val="18"/>
                <w:szCs w:val="18"/>
                <w:color w:val="auto"/>
              </w:rPr>
              <w:t>programs</w:t>
            </w:r>
          </w:p>
        </w:tc>
        <w:tc>
          <w:tcPr>
            <w:tcW w:w="2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14,019</w:t>
            </w: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Arial" w:cs="Arial" w:eastAsia="Arial" w:hAnsi="Arial"/>
                <w:sz w:val="18"/>
                <w:szCs w:val="18"/>
                <w:color w:val="auto"/>
              </w:rPr>
              <w:t>Capital expenditures (excluding vehicles)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29" w:lineRule="auto"/>
        <w:tabs>
          <w:tab w:leader="none" w:pos="820" w:val="left"/>
        </w:tabs>
        <w:numPr>
          <w:ilvl w:val="0"/>
          <w:numId w:val="68"/>
        </w:numPr>
        <w:rPr>
          <w:rFonts w:ascii="Arial" w:cs="Arial" w:eastAsia="Arial" w:hAnsi="Arial"/>
          <w:sz w:val="19"/>
          <w:szCs w:val="19"/>
          <w:color w:val="auto"/>
          <w:vertAlign w:val="superscript"/>
        </w:rPr>
      </w:pPr>
      <w:r>
        <w:rPr>
          <w:rFonts w:ascii="Arial" w:cs="Arial" w:eastAsia="Arial" w:hAnsi="Arial"/>
          <w:sz w:val="14"/>
          <w:szCs w:val="14"/>
          <w:color w:val="auto"/>
        </w:rPr>
        <w:t>Primarily represents unallocated corporate expenses and receivables from our former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4540" w:type="dxa"/>
            <w:vAlign w:val="bottom"/>
            <w:gridSpan w:val="2"/>
          </w:tcPr>
          <w:p>
            <w:pPr>
              <w:ind w:left="500"/>
              <w:spacing w:after="0"/>
              <w:rPr>
                <w:sz w:val="20"/>
                <w:szCs w:val="20"/>
                <w:color w:val="auto"/>
              </w:rPr>
            </w:pPr>
            <w:r>
              <w:rPr>
                <w:rFonts w:ascii="Arial" w:cs="Arial" w:eastAsia="Arial" w:hAnsi="Arial"/>
                <w:sz w:val="18"/>
                <w:szCs w:val="18"/>
                <w:b w:val="1"/>
                <w:bCs w:val="1"/>
                <w:color w:val="auto"/>
              </w:rPr>
              <w:t>Year Ended December 31, 2020</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4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Americas</w:t>
            </w:r>
          </w:p>
        </w:tc>
        <w:tc>
          <w:tcPr>
            <w:tcW w:w="160" w:type="dxa"/>
            <w:vAlign w:val="bottom"/>
          </w:tcPr>
          <w:p>
            <w:pPr>
              <w:spacing w:after="0"/>
              <w:rPr>
                <w:sz w:val="16"/>
                <w:szCs w:val="16"/>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International</w:t>
            </w:r>
          </w:p>
        </w:tc>
        <w:tc>
          <w:tcPr>
            <w:tcW w:w="160" w:type="dxa"/>
            <w:vAlign w:val="bottom"/>
          </w:tcPr>
          <w:p>
            <w:pPr>
              <w:spacing w:after="0"/>
              <w:rPr>
                <w:sz w:val="16"/>
                <w:szCs w:val="16"/>
                <w:color w:val="auto"/>
              </w:rPr>
            </w:pPr>
          </w:p>
        </w:tc>
        <w:tc>
          <w:tcPr>
            <w:tcW w:w="1700" w:type="dxa"/>
            <w:vAlign w:val="bottom"/>
            <w:gridSpan w:val="3"/>
          </w:tcPr>
          <w:p>
            <w:pPr>
              <w:jc w:val="center"/>
              <w:ind w:right="510"/>
              <w:spacing w:after="0" w:line="190" w:lineRule="exact"/>
              <w:rPr>
                <w:sz w:val="20"/>
                <w:szCs w:val="20"/>
                <w:color w:val="auto"/>
              </w:rPr>
            </w:pPr>
            <w:r>
              <w:rPr>
                <w:rFonts w:ascii="Arial" w:cs="Arial" w:eastAsia="Arial" w:hAnsi="Arial"/>
                <w:sz w:val="18"/>
                <w:szCs w:val="18"/>
                <w:b w:val="1"/>
                <w:bCs w:val="1"/>
                <w:color w:val="auto"/>
                <w:w w:val="99"/>
              </w:rPr>
              <w:t>Corporate</w:t>
            </w:r>
          </w:p>
        </w:tc>
        <w:tc>
          <w:tcPr>
            <w:tcW w:w="11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540" w:type="dxa"/>
            <w:vAlign w:val="bottom"/>
            <w:gridSpan w:val="2"/>
            <w:vMerge w:val="restart"/>
          </w:tcPr>
          <w:p>
            <w:pPr>
              <w:ind w:left="52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w w:val="98"/>
              </w:rPr>
              <w:t xml:space="preserve">and Other </w:t>
            </w:r>
            <w:r>
              <w:rPr>
                <w:rFonts w:ascii="Arial" w:cs="Arial" w:eastAsia="Arial" w:hAnsi="Arial"/>
                <w:sz w:val="9"/>
                <w:szCs w:val="9"/>
                <w:b w:val="1"/>
                <w:bCs w:val="1"/>
                <w:color w:val="auto"/>
                <w:w w:val="98"/>
              </w:rPr>
              <w:t>(a)</w:t>
            </w: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540" w:type="dxa"/>
            <w:vAlign w:val="bottom"/>
            <w:gridSpan w:val="2"/>
            <w:vMerge w:val="continue"/>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0" w:type="dxa"/>
            <w:vAlign w:val="bottom"/>
          </w:tcPr>
          <w:p>
            <w:pPr>
              <w:spacing w:after="0"/>
              <w:rPr>
                <w:sz w:val="1"/>
                <w:szCs w:val="1"/>
                <w:color w:val="auto"/>
              </w:rPr>
            </w:pPr>
          </w:p>
        </w:tc>
      </w:tr>
      <w:tr>
        <w:trPr>
          <w:trHeight w:val="229"/>
        </w:trPr>
        <w:tc>
          <w:tcPr>
            <w:tcW w:w="4540" w:type="dxa"/>
            <w:vAlign w:val="bottom"/>
            <w:gridSpan w:val="2"/>
          </w:tcPr>
          <w:p>
            <w:pPr>
              <w:ind w:left="520"/>
              <w:spacing w:after="0"/>
              <w:rPr>
                <w:sz w:val="20"/>
                <w:szCs w:val="20"/>
                <w:color w:val="auto"/>
              </w:rPr>
            </w:pPr>
            <w:r>
              <w:rPr>
                <w:rFonts w:ascii="Arial" w:cs="Arial" w:eastAsia="Arial" w:hAnsi="Arial"/>
                <w:sz w:val="18"/>
                <w:szCs w:val="18"/>
                <w:color w:val="auto"/>
              </w:rPr>
              <w:t>Vehicle depreciation and lease charges,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29"/>
        </w:trPr>
        <w:tc>
          <w:tcPr>
            <w:tcW w:w="4540" w:type="dxa"/>
            <w:vAlign w:val="bottom"/>
            <w:gridSpan w:val="2"/>
          </w:tcPr>
          <w:p>
            <w:pPr>
              <w:ind w:left="520"/>
              <w:spacing w:after="0"/>
              <w:rPr>
                <w:sz w:val="20"/>
                <w:szCs w:val="20"/>
                <w:color w:val="auto"/>
              </w:rPr>
            </w:pPr>
            <w:r>
              <w:rPr>
                <w:rFonts w:ascii="Arial" w:cs="Arial" w:eastAsia="Arial" w:hAnsi="Arial"/>
                <w:sz w:val="18"/>
                <w:szCs w:val="18"/>
                <w:color w:val="auto"/>
              </w:rPr>
              <w:t>Vehicle interest,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4540" w:type="dxa"/>
            <w:vAlign w:val="bottom"/>
            <w:gridSpan w:val="2"/>
          </w:tcPr>
          <w:p>
            <w:pPr>
              <w:ind w:left="52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4540" w:type="dxa"/>
            <w:vAlign w:val="bottom"/>
            <w:gridSpan w:val="2"/>
          </w:tcPr>
          <w:p>
            <w:pPr>
              <w:ind w:left="520"/>
              <w:spacing w:after="0"/>
              <w:rPr>
                <w:sz w:val="20"/>
                <w:szCs w:val="20"/>
                <w:color w:val="auto"/>
              </w:rPr>
            </w:pPr>
            <w:r>
              <w:rPr>
                <w:rFonts w:ascii="Arial" w:cs="Arial" w:eastAsia="Arial" w:hAnsi="Arial"/>
                <w:sz w:val="18"/>
                <w:szCs w:val="18"/>
                <w:color w:val="auto"/>
              </w:rPr>
              <w:t>Non-vehicle depreciation and amortization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181"/>
        </w:trPr>
        <w:tc>
          <w:tcPr>
            <w:tcW w:w="4540" w:type="dxa"/>
            <w:vAlign w:val="bottom"/>
            <w:gridSpan w:val="2"/>
          </w:tcPr>
          <w:p>
            <w:pPr>
              <w:ind w:left="520"/>
              <w:spacing w:after="0" w:line="181" w:lineRule="exact"/>
              <w:rPr>
                <w:sz w:val="20"/>
                <w:szCs w:val="20"/>
                <w:color w:val="auto"/>
              </w:rPr>
            </w:pPr>
            <w:r>
              <w:rPr>
                <w:rFonts w:ascii="Arial" w:cs="Arial" w:eastAsia="Arial" w:hAnsi="Arial"/>
                <w:sz w:val="18"/>
                <w:szCs w:val="18"/>
                <w:color w:val="auto"/>
              </w:rPr>
              <w:t>Assets exclusive of assets under vehicle</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5,510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2,754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8,365</w:t>
            </w:r>
          </w:p>
        </w:tc>
        <w:tc>
          <w:tcPr>
            <w:tcW w:w="0" w:type="dxa"/>
            <w:vAlign w:val="bottom"/>
          </w:tcPr>
          <w:p>
            <w:pPr>
              <w:spacing w:after="0"/>
              <w:rPr>
                <w:sz w:val="1"/>
                <w:szCs w:val="1"/>
                <w:color w:val="auto"/>
              </w:rPr>
            </w:pPr>
          </w:p>
        </w:tc>
      </w:tr>
      <w:tr>
        <w:trPr>
          <w:trHeight w:val="238"/>
        </w:trPr>
        <w:tc>
          <w:tcPr>
            <w:tcW w:w="4540" w:type="dxa"/>
            <w:vAlign w:val="bottom"/>
            <w:gridSpan w:val="2"/>
          </w:tcPr>
          <w:p>
            <w:pPr>
              <w:ind w:left="680"/>
              <w:spacing w:after="0"/>
              <w:rPr>
                <w:sz w:val="20"/>
                <w:szCs w:val="20"/>
                <w:color w:val="auto"/>
              </w:rPr>
            </w:pPr>
            <w:r>
              <w:rPr>
                <w:rFonts w:ascii="Arial" w:cs="Arial" w:eastAsia="Arial" w:hAnsi="Arial"/>
                <w:sz w:val="18"/>
                <w:szCs w:val="18"/>
                <w:color w:val="auto"/>
              </w:rPr>
              <w:t>programs</w:t>
            </w:r>
          </w:p>
        </w:tc>
        <w:tc>
          <w:tcPr>
            <w:tcW w:w="2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520"/>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39"/>
        </w:trPr>
        <w:tc>
          <w:tcPr>
            <w:tcW w:w="4540" w:type="dxa"/>
            <w:vAlign w:val="bottom"/>
            <w:gridSpan w:val="2"/>
          </w:tcPr>
          <w:p>
            <w:pPr>
              <w:ind w:left="520"/>
              <w:spacing w:after="0"/>
              <w:rPr>
                <w:sz w:val="20"/>
                <w:szCs w:val="20"/>
                <w:color w:val="auto"/>
              </w:rPr>
            </w:pPr>
            <w:r>
              <w:rPr>
                <w:rFonts w:ascii="Arial" w:cs="Arial" w:eastAsia="Arial" w:hAnsi="Arial"/>
                <w:sz w:val="18"/>
                <w:szCs w:val="18"/>
                <w:color w:val="auto"/>
              </w:rPr>
              <w:t>Capital expenditures (excluding vehicles)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29" w:lineRule="auto"/>
        <w:tabs>
          <w:tab w:leader="none" w:pos="820"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Primarily represents unallocated corporate expenses and receivables from our former subsidiaries.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Provided below is a reconciliation of Adjusted EBITDA to income (loss) before income taxes.</w:t>
      </w:r>
    </w:p>
    <w:p>
      <w:pPr>
        <w:spacing w:after="0" w:line="50"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7"/>
          </w:tcPr>
          <w:p>
            <w:pPr>
              <w:jc w:val="right"/>
              <w:ind w:right="71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572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8"/>
        </w:trPr>
        <w:tc>
          <w:tcPr>
            <w:tcW w:w="5720" w:type="dxa"/>
            <w:vAlign w:val="bottom"/>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4,133</w:t>
            </w:r>
          </w:p>
        </w:tc>
        <w:tc>
          <w:tcPr>
            <w:tcW w:w="1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Less: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 xml:space="preserve">Non-vehicle related depreciation and amortization </w:t>
            </w:r>
            <w:r>
              <w:rPr>
                <w:rFonts w:ascii="Arial" w:cs="Arial" w:eastAsia="Arial" w:hAnsi="Arial"/>
                <w:sz w:val="9"/>
                <w:szCs w:val="9"/>
                <w:color w:val="auto"/>
              </w:rPr>
              <w:t>(a)</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Interest expense related to corporate debt, net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9"/>
        </w:trPr>
        <w:tc>
          <w:tcPr>
            <w:tcW w:w="572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 xml:space="preserve">COVID-19 charges </w:t>
            </w:r>
            <w:r>
              <w:rPr>
                <w:rFonts w:ascii="Arial" w:cs="Arial" w:eastAsia="Arial" w:hAnsi="Arial"/>
                <w:sz w:val="9"/>
                <w:szCs w:val="9"/>
                <w:color w:val="auto"/>
              </w:rPr>
              <w:t>(b)</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Restructuring and other related charges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 xml:space="preserve">Non-operational charges related to shareholder activist activity </w:t>
            </w:r>
            <w:r>
              <w:rPr>
                <w:rFonts w:ascii="Arial" w:cs="Arial" w:eastAsia="Arial" w:hAnsi="Arial"/>
                <w:sz w:val="9"/>
                <w:szCs w:val="9"/>
                <w:color w:val="auto"/>
              </w:rPr>
              <w:t>(c)</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 xml:space="preserve">Unprecedented personal-injury and other legal matters, net </w:t>
            </w:r>
            <w:r>
              <w:rPr>
                <w:rFonts w:ascii="Arial" w:cs="Arial" w:eastAsia="Arial" w:hAnsi="Arial"/>
                <w:sz w:val="9"/>
                <w:szCs w:val="9"/>
                <w:color w:val="auto"/>
              </w:rPr>
              <w:t>(d)</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Transaction-related costs,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5"/>
        </w:trPr>
        <w:tc>
          <w:tcPr>
            <w:tcW w:w="572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59" w:lineRule="exact"/>
        <w:rPr>
          <w:sz w:val="20"/>
          <w:szCs w:val="20"/>
          <w:color w:val="auto"/>
        </w:rPr>
      </w:pPr>
    </w:p>
    <w:p>
      <w:pPr>
        <w:ind w:left="820" w:hanging="326"/>
        <w:spacing w:after="0" w:line="214" w:lineRule="auto"/>
        <w:tabs>
          <w:tab w:leader="none" w:pos="727" w:val="left"/>
        </w:tabs>
        <w:numPr>
          <w:ilvl w:val="0"/>
          <w:numId w:val="70"/>
        </w:numPr>
        <w:rPr>
          <w:rFonts w:ascii="Arial" w:cs="Arial" w:eastAsia="Arial" w:hAnsi="Arial"/>
          <w:sz w:val="19"/>
          <w:szCs w:val="19"/>
          <w:color w:val="auto"/>
          <w:vertAlign w:val="superscript"/>
        </w:rPr>
      </w:pPr>
      <w:r>
        <w:rPr>
          <w:rFonts w:ascii="Arial" w:cs="Arial" w:eastAsia="Arial" w:hAnsi="Arial"/>
          <w:sz w:val="14"/>
          <w:szCs w:val="14"/>
          <w:color w:val="auto"/>
        </w:rPr>
        <w:t>Includes amortization of intangible assets recognized in purchase accounting of $43 million in 2022, $66 million in 2021 and $66 million in 2020. Includes operating expenses in our Consolidated Statements of Operations related to cloud computing costs of $10 million and $7 million in 2022 and 2021, respectively.</w:t>
      </w:r>
    </w:p>
    <w:p>
      <w:pPr>
        <w:sectPr>
          <w:pgSz w:w="11900" w:h="16838" w:orient="portrait"/>
          <w:cols w:equalWidth="0" w:num="1">
            <w:col w:w="11240"/>
          </w:cols>
          <w:pgMar w:left="320" w:top="108" w:right="339" w:bottom="1440" w:gutter="0" w:footer="0" w:header="0"/>
        </w:sectPr>
      </w:pPr>
    </w:p>
    <w:p>
      <w:pPr>
        <w:ind w:left="760" w:hanging="266"/>
        <w:spacing w:after="0" w:line="222" w:lineRule="auto"/>
        <w:tabs>
          <w:tab w:leader="none" w:pos="760"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The following table presents the unusual, direct and incremental costs due to the COVID-19 pandemic:</w:t>
      </w:r>
    </w:p>
    <w:p>
      <w:pPr>
        <w:spacing w:after="0" w:line="27" w:lineRule="exact"/>
        <w:rPr>
          <w:rFonts w:ascii="Arial" w:cs="Arial" w:eastAsia="Arial" w:hAnsi="Arial"/>
          <w:sz w:val="19"/>
          <w:szCs w:val="19"/>
          <w:color w:val="auto"/>
          <w:vertAlign w:val="superscript"/>
        </w:rPr>
      </w:pPr>
    </w:p>
    <w:p>
      <w:pPr>
        <w:ind w:left="6640"/>
        <w:spacing w:after="0"/>
        <w:rPr>
          <w:rFonts w:ascii="Arial" w:cs="Arial" w:eastAsia="Arial" w:hAnsi="Arial"/>
          <w:sz w:val="19"/>
          <w:szCs w:val="19"/>
          <w:color w:val="auto"/>
          <w:vertAlign w:val="superscript"/>
        </w:rPr>
      </w:pPr>
      <w:r>
        <w:rPr>
          <w:rFonts w:ascii="Arial" w:cs="Arial" w:eastAsia="Arial" w:hAnsi="Arial"/>
          <w:sz w:val="14"/>
          <w:szCs w:val="14"/>
          <w:b w:val="1"/>
          <w:bCs w:val="1"/>
          <w:color w:val="auto"/>
        </w:rPr>
        <w:t>2022</w:t>
      </w:r>
    </w:p>
    <w:p>
      <w:pPr>
        <w:spacing w:after="0" w:line="21" w:lineRule="exact"/>
        <w:rPr>
          <w:sz w:val="20"/>
          <w:szCs w:val="20"/>
          <w:color w:val="auto"/>
        </w:rPr>
      </w:pPr>
    </w:p>
    <w:tbl>
      <w:tblPr>
        <w:tblLayout w:type="fixed"/>
        <w:tblInd w:w="840" w:type="dxa"/>
        <w:tblCellMar>
          <w:top w:w="0" w:type="dxa"/>
          <w:left w:w="0" w:type="dxa"/>
          <w:bottom w:w="0" w:type="dxa"/>
          <w:right w:w="0" w:type="dxa"/>
        </w:tblCellMar>
      </w:tblPr>
      <w:tr>
        <w:trPr>
          <w:trHeight w:val="190"/>
        </w:trPr>
        <w:tc>
          <w:tcPr>
            <w:tcW w:w="5260" w:type="dxa"/>
            <w:vAlign w:val="bottom"/>
          </w:tcPr>
          <w:p>
            <w:pPr>
              <w:spacing w:after="0"/>
              <w:rPr>
                <w:sz w:val="20"/>
                <w:szCs w:val="20"/>
                <w:color w:val="auto"/>
              </w:rPr>
            </w:pPr>
            <w:r>
              <w:rPr>
                <w:rFonts w:ascii="Arial" w:cs="Arial" w:eastAsia="Arial" w:hAnsi="Arial"/>
                <w:sz w:val="14"/>
                <w:szCs w:val="14"/>
                <w:color w:val="auto"/>
              </w:rPr>
              <w:t>Minimum annual guaranteed rent in excess of concession fees, net</w:t>
            </w:r>
          </w:p>
        </w:tc>
        <w:tc>
          <w:tcPr>
            <w:tcW w:w="64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ind w:left="54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2"/>
        </w:trPr>
        <w:tc>
          <w:tcPr>
            <w:tcW w:w="5260" w:type="dxa"/>
            <w:vAlign w:val="bottom"/>
          </w:tcPr>
          <w:p>
            <w:pPr>
              <w:spacing w:after="0"/>
              <w:rPr>
                <w:sz w:val="20"/>
                <w:szCs w:val="20"/>
                <w:color w:val="auto"/>
              </w:rPr>
            </w:pPr>
            <w:r>
              <w:rPr>
                <w:rFonts w:ascii="Arial" w:cs="Arial" w:eastAsia="Arial" w:hAnsi="Arial"/>
                <w:sz w:val="14"/>
                <w:szCs w:val="14"/>
                <w:color w:val="auto"/>
              </w:rPr>
              <w:t>Vehicles damaged in overflow parking lots, net of insurance proceeds</w:t>
            </w:r>
          </w:p>
        </w:tc>
        <w:tc>
          <w:tcPr>
            <w:tcW w:w="640" w:type="dxa"/>
            <w:vAlign w:val="bottom"/>
          </w:tcPr>
          <w:p>
            <w:pPr>
              <w:spacing w:after="0"/>
              <w:rPr>
                <w:sz w:val="17"/>
                <w:szCs w:val="17"/>
                <w:color w:val="auto"/>
              </w:rPr>
            </w:pP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5260" w:type="dxa"/>
            <w:vAlign w:val="bottom"/>
          </w:tcPr>
          <w:p>
            <w:pPr>
              <w:spacing w:after="0"/>
              <w:rPr>
                <w:sz w:val="20"/>
                <w:szCs w:val="20"/>
                <w:color w:val="auto"/>
              </w:rPr>
            </w:pPr>
            <w:r>
              <w:rPr>
                <w:rFonts w:ascii="Arial" w:cs="Arial" w:eastAsia="Arial" w:hAnsi="Arial"/>
                <w:sz w:val="14"/>
                <w:szCs w:val="14"/>
                <w:color w:val="auto"/>
              </w:rPr>
              <w:t>Other charges</w:t>
            </w:r>
          </w:p>
        </w:tc>
        <w:tc>
          <w:tcPr>
            <w:tcW w:w="6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
        </w:trPr>
        <w:tc>
          <w:tcPr>
            <w:tcW w:w="5260" w:type="dxa"/>
            <w:vAlign w:val="bottom"/>
            <w:vMerge w:val="restart"/>
          </w:tcPr>
          <w:p>
            <w:pPr>
              <w:spacing w:after="0"/>
              <w:rPr>
                <w:sz w:val="20"/>
                <w:szCs w:val="20"/>
                <w:color w:val="auto"/>
              </w:rPr>
            </w:pPr>
            <w:r>
              <w:rPr>
                <w:rFonts w:ascii="Arial" w:cs="Arial" w:eastAsia="Arial" w:hAnsi="Arial"/>
                <w:sz w:val="14"/>
                <w:szCs w:val="14"/>
                <w:color w:val="auto"/>
              </w:rPr>
              <w:t>Operating expenses</w:t>
            </w:r>
          </w:p>
        </w:tc>
        <w:tc>
          <w:tcPr>
            <w:tcW w:w="6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5260" w:type="dxa"/>
            <w:vAlign w:val="bottom"/>
            <w:vMerge w:val="continue"/>
          </w:tcPr>
          <w:p>
            <w:pPr>
              <w:spacing w:after="0"/>
              <w:rPr>
                <w:sz w:val="16"/>
                <w:szCs w:val="16"/>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740" w:type="dxa"/>
            <w:vAlign w:val="bottom"/>
          </w:tcPr>
          <w:p>
            <w:pPr>
              <w:ind w:left="54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7"/>
        </w:trPr>
        <w:tc>
          <w:tcPr>
            <w:tcW w:w="526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6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5260" w:type="dxa"/>
            <w:vAlign w:val="bottom"/>
          </w:tcPr>
          <w:p>
            <w:pPr>
              <w:spacing w:after="0"/>
              <w:rPr>
                <w:sz w:val="20"/>
                <w:szCs w:val="20"/>
                <w:color w:val="auto"/>
              </w:rPr>
            </w:pPr>
            <w:r>
              <w:rPr>
                <w:rFonts w:ascii="Arial" w:cs="Arial" w:eastAsia="Arial" w:hAnsi="Arial"/>
                <w:sz w:val="14"/>
                <w:szCs w:val="14"/>
                <w:color w:val="auto"/>
              </w:rPr>
              <w:t>COVID-19 charges, net</w:t>
            </w: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507"/>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743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35" w:lineRule="exact"/>
        <w:rPr>
          <w:sz w:val="20"/>
          <w:szCs w:val="20"/>
          <w:color w:val="auto"/>
        </w:rPr>
      </w:pPr>
    </w:p>
    <w:p>
      <w:pPr>
        <w:ind w:left="1147" w:hanging="1147"/>
        <w:spacing w:after="0"/>
        <w:tabs>
          <w:tab w:leader="none" w:pos="1147" w:val="left"/>
        </w:tabs>
        <w:numPr>
          <w:ilvl w:val="0"/>
          <w:numId w:val="72"/>
        </w:numPr>
        <w:rPr>
          <w:rFonts w:ascii="Arial" w:cs="Arial" w:eastAsia="Arial" w:hAnsi="Arial"/>
          <w:sz w:val="14"/>
          <w:szCs w:val="14"/>
          <w:color w:val="auto"/>
        </w:rPr>
      </w:pPr>
      <w:r>
        <w:rPr>
          <w:rFonts w:ascii="Arial" w:cs="Arial" w:eastAsia="Arial" w:hAnsi="Arial"/>
          <w:sz w:val="14"/>
          <w:szCs w:val="14"/>
          <w:color w:val="auto"/>
        </w:rPr>
        <w:t>(2)</w:t>
      </w:r>
    </w:p>
    <w:p>
      <w:pPr>
        <w:spacing w:after="0" w:line="41" w:lineRule="exact"/>
        <w:rPr>
          <w:rFonts w:ascii="Arial" w:cs="Arial" w:eastAsia="Arial" w:hAnsi="Arial"/>
          <w:sz w:val="14"/>
          <w:szCs w:val="14"/>
          <w:color w:val="auto"/>
        </w:rPr>
      </w:pPr>
    </w:p>
    <w:p>
      <w:pPr>
        <w:ind w:left="1147"/>
        <w:spacing w:after="0"/>
        <w:rPr>
          <w:rFonts w:ascii="Arial" w:cs="Arial" w:eastAsia="Arial" w:hAnsi="Arial"/>
          <w:sz w:val="14"/>
          <w:szCs w:val="14"/>
          <w:color w:val="auto"/>
        </w:rPr>
      </w:pPr>
      <w:r>
        <w:rPr>
          <w:rFonts w:ascii="Arial" w:cs="Arial" w:eastAsia="Arial" w:hAnsi="Arial"/>
          <w:sz w:val="14"/>
          <w:szCs w:val="14"/>
          <w:color w:val="auto"/>
        </w:rPr>
        <w:t>(7)</w:t>
      </w:r>
    </w:p>
    <w:p>
      <w:pPr>
        <w:spacing w:after="0" w:line="41" w:lineRule="exact"/>
        <w:rPr>
          <w:rFonts w:ascii="Arial" w:cs="Arial" w:eastAsia="Arial" w:hAnsi="Arial"/>
          <w:sz w:val="14"/>
          <w:szCs w:val="14"/>
          <w:color w:val="auto"/>
        </w:rPr>
      </w:pPr>
    </w:p>
    <w:p>
      <w:pPr>
        <w:ind w:left="1207"/>
        <w:spacing w:after="0"/>
        <w:rPr>
          <w:rFonts w:ascii="Arial" w:cs="Arial" w:eastAsia="Arial" w:hAnsi="Arial"/>
          <w:sz w:val="14"/>
          <w:szCs w:val="14"/>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57785</wp:posOffset>
            </wp:positionV>
            <wp:extent cx="8743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23495</wp:posOffset>
            </wp:positionV>
            <wp:extent cx="87439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89" w:lineRule="exact"/>
        <w:rPr>
          <w:sz w:val="20"/>
          <w:szCs w:val="20"/>
          <w:color w:val="auto"/>
        </w:rPr>
      </w:pPr>
    </w:p>
    <w:p>
      <w:pPr>
        <w:ind w:left="1147" w:hanging="1147"/>
        <w:spacing w:after="0"/>
        <w:tabs>
          <w:tab w:leader="none" w:pos="1147" w:val="left"/>
        </w:tabs>
        <w:numPr>
          <w:ilvl w:val="0"/>
          <w:numId w:val="73"/>
        </w:numPr>
        <w:rPr>
          <w:rFonts w:ascii="Arial" w:cs="Arial" w:eastAsia="Arial" w:hAnsi="Arial"/>
          <w:sz w:val="14"/>
          <w:szCs w:val="14"/>
          <w:color w:val="auto"/>
        </w:rPr>
      </w:pPr>
      <w:r>
        <w:rPr>
          <w:rFonts w:ascii="Arial" w:cs="Arial" w:eastAsia="Arial" w:hAnsi="Arial"/>
          <w:sz w:val="14"/>
          <w:szCs w:val="14"/>
          <w:color w:val="auto"/>
        </w:rPr>
        <w:t>(3)</w:t>
      </w:r>
    </w:p>
    <w:p>
      <w:pPr>
        <w:spacing w:after="0" w:line="41" w:lineRule="exact"/>
        <w:rPr>
          <w:rFonts w:ascii="Arial" w:cs="Arial" w:eastAsia="Arial" w:hAnsi="Arial"/>
          <w:sz w:val="14"/>
          <w:szCs w:val="14"/>
          <w:color w:val="auto"/>
        </w:rPr>
      </w:pPr>
    </w:p>
    <w:p>
      <w:pPr>
        <w:ind w:left="1207"/>
        <w:spacing w:after="0"/>
        <w:rPr>
          <w:rFonts w:ascii="Arial" w:cs="Arial" w:eastAsia="Arial" w:hAnsi="Arial"/>
          <w:sz w:val="14"/>
          <w:szCs w:val="14"/>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743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35" w:lineRule="exact"/>
        <w:rPr>
          <w:sz w:val="20"/>
          <w:szCs w:val="20"/>
          <w:color w:val="auto"/>
        </w:rPr>
      </w:pPr>
    </w:p>
    <w:p>
      <w:pPr>
        <w:ind w:left="1147" w:hanging="1147"/>
        <w:spacing w:after="0"/>
        <w:tabs>
          <w:tab w:leader="none" w:pos="1147" w:val="left"/>
        </w:tabs>
        <w:numPr>
          <w:ilvl w:val="0"/>
          <w:numId w:val="74"/>
        </w:numPr>
        <w:rPr>
          <w:rFonts w:ascii="Arial" w:cs="Arial" w:eastAsia="Arial" w:hAnsi="Arial"/>
          <w:sz w:val="14"/>
          <w:szCs w:val="14"/>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743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49530</wp:posOffset>
            </wp:positionV>
            <wp:extent cx="8743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480" w:space="133"/>
            <w:col w:w="3627"/>
          </w:cols>
          <w:pgMar w:left="320" w:top="108" w:right="339" w:bottom="1440" w:gutter="0" w:footer="0" w:header="0"/>
          <w:type w:val="continuous"/>
        </w:sectPr>
      </w:pPr>
    </w:p>
    <w:p>
      <w:pPr>
        <w:ind w:left="760" w:hanging="266"/>
        <w:spacing w:after="0"/>
        <w:tabs>
          <w:tab w:leader="none" w:pos="760" w:val="left"/>
        </w:tabs>
        <w:numPr>
          <w:ilvl w:val="0"/>
          <w:numId w:val="75"/>
        </w:numPr>
        <w:rPr>
          <w:rFonts w:ascii="Arial" w:cs="Arial" w:eastAsia="Arial" w:hAnsi="Arial"/>
          <w:sz w:val="9"/>
          <w:szCs w:val="9"/>
          <w:color w:val="auto"/>
        </w:rPr>
      </w:pPr>
      <w:r>
        <w:rPr>
          <w:rFonts w:ascii="Arial" w:cs="Arial" w:eastAsia="Arial" w:hAnsi="Arial"/>
          <w:sz w:val="14"/>
          <w:szCs w:val="14"/>
          <w:color w:val="auto"/>
        </w:rPr>
        <w:t>Reported within selling, general and administrative expenses in our Consolidated Statements of Operations</w:t>
      </w:r>
      <w:r>
        <w:rPr>
          <w:rFonts w:ascii="Arial" w:cs="Arial" w:eastAsia="Arial" w:hAnsi="Arial"/>
          <w:sz w:val="16"/>
          <w:szCs w:val="16"/>
          <w:color w:val="auto"/>
        </w:rPr>
        <w:t>.</w:t>
      </w:r>
    </w:p>
    <w:p>
      <w:pPr>
        <w:spacing w:after="0" w:line="36" w:lineRule="exact"/>
        <w:rPr>
          <w:rFonts w:ascii="Arial" w:cs="Arial" w:eastAsia="Arial" w:hAnsi="Arial"/>
          <w:sz w:val="9"/>
          <w:szCs w:val="9"/>
          <w:color w:val="auto"/>
        </w:rPr>
      </w:pPr>
    </w:p>
    <w:p>
      <w:pPr>
        <w:ind w:left="760" w:hanging="266"/>
        <w:spacing w:after="0"/>
        <w:tabs>
          <w:tab w:leader="none" w:pos="760" w:val="left"/>
        </w:tabs>
        <w:numPr>
          <w:ilvl w:val="0"/>
          <w:numId w:val="75"/>
        </w:numPr>
        <w:rPr>
          <w:rFonts w:ascii="Arial" w:cs="Arial" w:eastAsia="Arial" w:hAnsi="Arial"/>
          <w:sz w:val="9"/>
          <w:szCs w:val="9"/>
          <w:color w:val="auto"/>
        </w:rPr>
      </w:pPr>
      <w:r>
        <w:rPr>
          <w:rFonts w:ascii="Arial" w:cs="Arial" w:eastAsia="Arial" w:hAnsi="Arial"/>
          <w:sz w:val="14"/>
          <w:szCs w:val="14"/>
          <w:color w:val="auto"/>
        </w:rPr>
        <w:t>Reported within operating expenses on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geographic segment information provided below is classified based on the geographic location of our subsidiaries.</w:t>
      </w:r>
    </w:p>
    <w:p>
      <w:pPr>
        <w:spacing w:after="0" w:line="23"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United States</w:t>
            </w:r>
          </w:p>
        </w:tc>
        <w:tc>
          <w:tcPr>
            <w:tcW w:w="24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All Other</w:t>
            </w:r>
          </w:p>
        </w:tc>
        <w:tc>
          <w:tcPr>
            <w:tcW w:w="360" w:type="dxa"/>
            <w:vAlign w:val="bottom"/>
          </w:tcPr>
          <w:p>
            <w:pPr>
              <w:spacing w:after="0"/>
              <w:rPr>
                <w:sz w:val="17"/>
                <w:szCs w:val="17"/>
                <w:color w:val="auto"/>
              </w:rPr>
            </w:pPr>
          </w:p>
        </w:tc>
        <w:tc>
          <w:tcPr>
            <w:tcW w:w="12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Countries</w:t>
            </w:r>
          </w:p>
        </w:tc>
        <w:tc>
          <w:tcPr>
            <w:tcW w:w="36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1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8,975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11,994</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8,499</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13,514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17,428</w:t>
            </w:r>
          </w:p>
        </w:tc>
        <w:tc>
          <w:tcPr>
            <w:tcW w:w="0" w:type="dxa"/>
            <w:vAlign w:val="bottom"/>
          </w:tcPr>
          <w:p>
            <w:pPr>
              <w:spacing w:after="0"/>
              <w:rPr>
                <w:sz w:val="1"/>
                <w:szCs w:val="1"/>
                <w:color w:val="auto"/>
              </w:rPr>
            </w:pPr>
          </w:p>
        </w:tc>
      </w:tr>
      <w:tr>
        <w:trPr>
          <w:trHeight w:val="239"/>
        </w:trPr>
        <w:tc>
          <w:tcPr>
            <w:tcW w:w="5120" w:type="dxa"/>
            <w:vAlign w:val="bottom"/>
          </w:tcPr>
          <w:p>
            <w:pPr>
              <w:spacing w:after="0"/>
              <w:rPr>
                <w:sz w:val="20"/>
                <w:szCs w:val="20"/>
                <w:color w:val="auto"/>
              </w:rPr>
            </w:pPr>
            <w:r>
              <w:rPr>
                <w:rFonts w:ascii="Arial" w:cs="Arial" w:eastAsia="Arial" w:hAnsi="Arial"/>
                <w:sz w:val="18"/>
                <w:szCs w:val="18"/>
                <w:color w:val="auto"/>
              </w:rPr>
              <w:t>Net long-lived assets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436"/>
        </w:trPr>
        <w:tc>
          <w:tcPr>
            <w:tcW w:w="5120" w:type="dxa"/>
            <w:vAlign w:val="bottom"/>
          </w:tcPr>
          <w:p>
            <w:pPr>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7,254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8,581</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14,019</w:t>
            </w:r>
          </w:p>
        </w:tc>
        <w:tc>
          <w:tcPr>
            <w:tcW w:w="0" w:type="dxa"/>
            <w:vAlign w:val="bottom"/>
          </w:tcPr>
          <w:p>
            <w:pPr>
              <w:spacing w:after="0"/>
              <w:rPr>
                <w:sz w:val="1"/>
                <w:szCs w:val="1"/>
                <w:color w:val="auto"/>
              </w:rPr>
            </w:pPr>
          </w:p>
        </w:tc>
      </w:tr>
      <w:tr>
        <w:trPr>
          <w:trHeight w:val="239"/>
        </w:trPr>
        <w:tc>
          <w:tcPr>
            <w:tcW w:w="5120" w:type="dxa"/>
            <w:vAlign w:val="bottom"/>
          </w:tcPr>
          <w:p>
            <w:pPr>
              <w:spacing w:after="0"/>
              <w:rPr>
                <w:sz w:val="20"/>
                <w:szCs w:val="20"/>
                <w:color w:val="auto"/>
              </w:rPr>
            </w:pPr>
            <w:r>
              <w:rPr>
                <w:rFonts w:ascii="Arial" w:cs="Arial" w:eastAsia="Arial" w:hAnsi="Arial"/>
                <w:sz w:val="18"/>
                <w:szCs w:val="18"/>
                <w:color w:val="auto"/>
              </w:rPr>
              <w:t>Net long-lived assets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436"/>
        </w:trPr>
        <w:tc>
          <w:tcPr>
            <w:tcW w:w="512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5,402</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8,365</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39"/>
        </w:trPr>
        <w:tc>
          <w:tcPr>
            <w:tcW w:w="5120" w:type="dxa"/>
            <w:vAlign w:val="bottom"/>
          </w:tcPr>
          <w:p>
            <w:pPr>
              <w:spacing w:after="0"/>
              <w:rPr>
                <w:sz w:val="20"/>
                <w:szCs w:val="20"/>
                <w:color w:val="auto"/>
              </w:rPr>
            </w:pPr>
            <w:r>
              <w:rPr>
                <w:rFonts w:ascii="Arial" w:cs="Arial" w:eastAsia="Arial" w:hAnsi="Arial"/>
                <w:sz w:val="18"/>
                <w:szCs w:val="18"/>
                <w:color w:val="auto"/>
              </w:rPr>
              <w:t>Net long-lived assets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500" w:hanging="442"/>
        <w:spacing w:after="0"/>
        <w:tabs>
          <w:tab w:leader="none" w:pos="5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52" w:lineRule="exact"/>
        <w:rPr>
          <w:rFonts w:ascii="Arial" w:cs="Arial" w:eastAsia="Arial" w:hAnsi="Arial"/>
          <w:sz w:val="18"/>
          <w:szCs w:val="18"/>
          <w:b w:val="1"/>
          <w:bCs w:val="1"/>
          <w:color w:val="auto"/>
        </w:rPr>
      </w:pPr>
    </w:p>
    <w:p>
      <w:pPr>
        <w:ind w:left="50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In January 2023, our Avis Budget Rental Car Funding (AESOP) LLC subsidiary issued $850 million of asset-backed notes to investors with a weighted average interest rate of 5.34%.</w:t>
      </w:r>
    </w:p>
    <w:p>
      <w:pPr>
        <w:spacing w:after="0" w:line="17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 February 2023, our Board of Directors approved a $1 billion increase in repurchase authorization to our Stock Repurchase Program.</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Balance at</w:t>
            </w:r>
          </w:p>
        </w:tc>
        <w:tc>
          <w:tcPr>
            <w:tcW w:w="200" w:type="dxa"/>
            <w:vAlign w:val="bottom"/>
          </w:tcPr>
          <w:p>
            <w:pPr>
              <w:spacing w:after="0"/>
              <w:rPr>
                <w:sz w:val="17"/>
                <w:szCs w:val="1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Expense</w:t>
            </w:r>
          </w:p>
        </w:tc>
        <w:tc>
          <w:tcPr>
            <w:tcW w:w="180" w:type="dxa"/>
            <w:vAlign w:val="bottom"/>
          </w:tcPr>
          <w:p>
            <w:pPr>
              <w:spacing w:after="0"/>
              <w:rPr>
                <w:sz w:val="17"/>
                <w:szCs w:val="17"/>
                <w:color w:val="auto"/>
              </w:rPr>
            </w:pPr>
          </w:p>
        </w:tc>
        <w:tc>
          <w:tcPr>
            <w:tcW w:w="16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Balance at End</w:t>
            </w:r>
          </w:p>
        </w:tc>
        <w:tc>
          <w:tcPr>
            <w:tcW w:w="0" w:type="dxa"/>
            <w:vAlign w:val="bottom"/>
          </w:tcPr>
          <w:p>
            <w:pPr>
              <w:spacing w:after="0"/>
              <w:rPr>
                <w:sz w:val="1"/>
                <w:szCs w:val="1"/>
                <w:color w:val="auto"/>
              </w:rPr>
            </w:pPr>
          </w:p>
        </w:tc>
      </w:tr>
      <w:tr>
        <w:trPr>
          <w:trHeight w:val="175"/>
        </w:trPr>
        <w:tc>
          <w:tcPr>
            <w:tcW w:w="37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Beginning</w:t>
            </w: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Deductions</w:t>
            </w:r>
          </w:p>
        </w:tc>
        <w:tc>
          <w:tcPr>
            <w:tcW w:w="1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of Period</w:t>
            </w:r>
          </w:p>
        </w:tc>
        <w:tc>
          <w:tcPr>
            <w:tcW w:w="20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(Benefit)</w:t>
            </w:r>
          </w:p>
        </w:tc>
        <w:tc>
          <w:tcPr>
            <w:tcW w:w="180" w:type="dxa"/>
            <w:vAlign w:val="bottom"/>
          </w:tcPr>
          <w:p>
            <w:pPr>
              <w:spacing w:after="0"/>
              <w:rPr>
                <w:sz w:val="21"/>
                <w:szCs w:val="21"/>
                <w:color w:val="auto"/>
              </w:rPr>
            </w:pPr>
          </w:p>
        </w:tc>
        <w:tc>
          <w:tcPr>
            <w:tcW w:w="1600" w:type="dxa"/>
            <w:vAlign w:val="bottom"/>
            <w:gridSpan w:val="2"/>
          </w:tcPr>
          <w:p>
            <w:pPr>
              <w:jc w:val="center"/>
              <w:ind w:right="280"/>
              <w:spacing w:after="0" w:line="243" w:lineRule="exact"/>
              <w:rPr>
                <w:sz w:val="20"/>
                <w:szCs w:val="20"/>
                <w:color w:val="auto"/>
              </w:rPr>
            </w:pPr>
            <w:r>
              <w:rPr>
                <w:rFonts w:ascii="Arial" w:cs="Arial" w:eastAsia="Arial" w:hAnsi="Arial"/>
                <w:sz w:val="18"/>
                <w:szCs w:val="18"/>
                <w:b w:val="1"/>
                <w:bCs w:val="1"/>
                <w:color w:val="auto"/>
                <w:w w:val="97"/>
              </w:rPr>
              <w:t>Adjustments</w:t>
            </w:r>
            <w:r>
              <w:rPr>
                <w:rFonts w:ascii="Arial" w:cs="Arial" w:eastAsia="Arial" w:hAnsi="Arial"/>
                <w:sz w:val="23"/>
                <w:szCs w:val="23"/>
                <w:b w:val="1"/>
                <w:bCs w:val="1"/>
                <w:color w:val="auto"/>
                <w:w w:val="97"/>
                <w:vertAlign w:val="superscript"/>
              </w:rPr>
              <w:t>(a)</w:t>
            </w:r>
          </w:p>
        </w:tc>
        <w:tc>
          <w:tcPr>
            <w:tcW w:w="16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of Period</w:t>
            </w:r>
          </w:p>
        </w:tc>
        <w:tc>
          <w:tcPr>
            <w:tcW w:w="0" w:type="dxa"/>
            <w:vAlign w:val="bottom"/>
          </w:tcPr>
          <w:p>
            <w:pPr>
              <w:spacing w:after="0"/>
              <w:rPr>
                <w:sz w:val="1"/>
                <w:szCs w:val="1"/>
                <w:color w:val="auto"/>
              </w:rPr>
            </w:pPr>
          </w:p>
        </w:tc>
      </w:tr>
      <w:tr>
        <w:trPr>
          <w:trHeight w:val="218"/>
        </w:trPr>
        <w:tc>
          <w:tcPr>
            <w:tcW w:w="35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Allowance for Doubtful Accounts: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Year Ended December 31,</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2022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ind w:left="111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750"/>
              <w:spacing w:after="0"/>
              <w:rPr>
                <w:sz w:val="20"/>
                <w:szCs w:val="20"/>
                <w:color w:val="auto"/>
              </w:rPr>
            </w:pPr>
            <w:r>
              <w:rPr>
                <w:rFonts w:ascii="Arial" w:cs="Arial" w:eastAsia="Arial" w:hAnsi="Arial"/>
                <w:sz w:val="18"/>
                <w:szCs w:val="18"/>
                <w:color w:val="auto"/>
                <w:w w:val="99"/>
              </w:rPr>
              <w:t>(86)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ind w:left="111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left="750"/>
              <w:spacing w:after="0"/>
              <w:rPr>
                <w:sz w:val="20"/>
                <w:szCs w:val="20"/>
                <w:color w:val="auto"/>
              </w:rPr>
            </w:pPr>
            <w:r>
              <w:rPr>
                <w:rFonts w:ascii="Arial" w:cs="Arial" w:eastAsia="Arial" w:hAnsi="Arial"/>
                <w:sz w:val="18"/>
                <w:szCs w:val="18"/>
                <w:color w:val="auto"/>
                <w:w w:val="99"/>
              </w:rPr>
              <w:t>(81)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7"/>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center"/>
              <w:ind w:left="115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center"/>
              <w:ind w:left="750"/>
              <w:spacing w:after="0"/>
              <w:rPr>
                <w:sz w:val="20"/>
                <w:szCs w:val="20"/>
                <w:color w:val="auto"/>
              </w:rPr>
            </w:pPr>
            <w:r>
              <w:rPr>
                <w:rFonts w:ascii="Arial" w:cs="Arial" w:eastAsia="Arial" w:hAnsi="Arial"/>
                <w:sz w:val="18"/>
                <w:szCs w:val="18"/>
                <w:color w:val="auto"/>
                <w:w w:val="99"/>
              </w:rPr>
              <w:t>(68)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74"/>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Tax Valuation Allowance:</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Year Ended December 31,</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2022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ind w:left="111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left="71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ind w:left="111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left="7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7"/>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center"/>
              <w:ind w:left="1110"/>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center"/>
              <w:ind w:left="7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ind w:left="320" w:hanging="312"/>
        <w:spacing w:after="0" w:line="229" w:lineRule="auto"/>
        <w:tabs>
          <w:tab w:leader="none" w:pos="320" w:val="left"/>
        </w:tabs>
        <w:numPr>
          <w:ilvl w:val="0"/>
          <w:numId w:val="77"/>
        </w:numPr>
        <w:rPr>
          <w:rFonts w:ascii="Arial" w:cs="Arial" w:eastAsia="Arial" w:hAnsi="Arial"/>
          <w:sz w:val="19"/>
          <w:szCs w:val="19"/>
          <w:color w:val="auto"/>
          <w:vertAlign w:val="superscript"/>
        </w:rPr>
      </w:pPr>
      <w:r>
        <w:rPr>
          <w:rFonts w:ascii="Arial" w:cs="Arial" w:eastAsia="Arial" w:hAnsi="Arial"/>
          <w:sz w:val="14"/>
          <w:szCs w:val="14"/>
          <w:color w:val="auto"/>
        </w:rPr>
        <w:t>Primarily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1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EXHIBIT NO.</w:t>
            </w:r>
          </w:p>
        </w:tc>
        <w:tc>
          <w:tcPr>
            <w:tcW w:w="100" w:type="dxa"/>
            <w:vAlign w:val="bottom"/>
            <w:tcBorders>
              <w:top w:val="single" w:sz="8" w:color="auto"/>
              <w:bottom w:val="single" w:sz="8" w:color="auto"/>
              <w:right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20" w:type="dxa"/>
            <w:vAlign w:val="bottom"/>
            <w:tcBorders>
              <w:top w:val="single" w:sz="8" w:color="auto"/>
              <w:bottom w:val="single" w:sz="8" w:color="auto"/>
              <w:right w:val="single" w:sz="8" w:color="auto"/>
            </w:tcBorders>
            <w:gridSpan w:val="50"/>
          </w:tcPr>
          <w:p>
            <w:pPr>
              <w:spacing w:after="0"/>
              <w:rPr>
                <w:sz w:val="20"/>
                <w:szCs w:val="20"/>
                <w:color w:val="auto"/>
              </w:rPr>
            </w:pPr>
            <w:r>
              <w:rPr>
                <w:rFonts w:ascii="Arial" w:cs="Arial" w:eastAsia="Arial" w:hAnsi="Arial"/>
                <w:sz w:val="16"/>
                <w:szCs w:val="16"/>
                <w:color w:val="auto"/>
              </w:rPr>
              <w:t>DESCRIPTION</w:t>
            </w:r>
          </w:p>
        </w:tc>
      </w:tr>
      <w:tr>
        <w:trPr>
          <w:trHeight w:val="170"/>
        </w:trPr>
        <w:tc>
          <w:tcPr>
            <w:tcW w:w="1140" w:type="dxa"/>
            <w:vAlign w:val="bottom"/>
            <w:tcBorders>
              <w:left w:val="single" w:sz="8" w:color="auto"/>
              <w:right w:val="single" w:sz="8" w:color="auto"/>
            </w:tcBorders>
          </w:tcPr>
          <w:p>
            <w:pPr>
              <w:ind w:left="40"/>
              <w:spacing w:after="0" w:line="170" w:lineRule="exact"/>
              <w:rPr>
                <w:sz w:val="20"/>
                <w:szCs w:val="20"/>
                <w:color w:val="auto"/>
              </w:rPr>
            </w:pPr>
            <w:r>
              <w:rPr>
                <w:rFonts w:ascii="Arial" w:cs="Arial" w:eastAsia="Arial" w:hAnsi="Arial"/>
                <w:sz w:val="16"/>
                <w:szCs w:val="16"/>
                <w:color w:val="auto"/>
              </w:rPr>
              <w:t>2.1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50"/>
          </w:tcPr>
          <w:p>
            <w:pPr>
              <w:spacing w:after="0" w:line="170" w:lineRule="exact"/>
              <w:rPr>
                <w:rFonts w:ascii="Arial" w:cs="Arial" w:eastAsia="Arial" w:hAnsi="Arial"/>
                <w:sz w:val="16"/>
                <w:szCs w:val="16"/>
                <w:color w:val="0000FF"/>
              </w:rPr>
            </w:pPr>
            <w:hyperlink r:id="rId170">
              <w:r>
                <w:rPr>
                  <w:rFonts w:ascii="Arial" w:cs="Arial" w:eastAsia="Arial" w:hAnsi="Arial"/>
                  <w:sz w:val="16"/>
                  <w:szCs w:val="16"/>
                  <w:color w:val="0000FF"/>
                </w:rPr>
                <w:t>Separation and Distribution Agreement by and among Cendant Corporation*, Realogy Corporation, Wyndham Worldwide Corporation and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45"/>
          </w:tcPr>
          <w:p>
            <w:pPr>
              <w:spacing w:after="0" w:line="142" w:lineRule="exact"/>
              <w:rPr>
                <w:rFonts w:ascii="Arial" w:cs="Arial" w:eastAsia="Arial" w:hAnsi="Arial"/>
                <w:sz w:val="16"/>
                <w:szCs w:val="16"/>
                <w:color w:val="0000FF"/>
              </w:rPr>
            </w:pPr>
            <w:hyperlink r:id="rId170">
              <w:r>
                <w:rPr>
                  <w:rFonts w:ascii="Arial" w:cs="Arial" w:eastAsia="Arial" w:hAnsi="Arial"/>
                  <w:sz w:val="16"/>
                  <w:szCs w:val="16"/>
                  <w:color w:val="0000FF"/>
                </w:rPr>
                <w:t>Travelport Inc., dated as of July 27, 2006 (Incorporated by reference to Exhibit 2.1 to the Company’s Current Report on Form 8-K, dated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170">
              <w:r>
                <w:rPr>
                  <w:rFonts w:ascii="Arial" w:cs="Arial" w:eastAsia="Arial" w:hAnsi="Arial"/>
                  <w:sz w:val="16"/>
                  <w:szCs w:val="16"/>
                  <w:color w:val="0000FF"/>
                </w:rPr>
                <w:t>August 1, 2006).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2.2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400" w:type="dxa"/>
            <w:vAlign w:val="bottom"/>
            <w:tcBorders>
              <w:bottom w:val="single" w:sz="8" w:color="0000FF"/>
            </w:tcBorders>
            <w:gridSpan w:val="26"/>
          </w:tcPr>
          <w:p>
            <w:pPr>
              <w:spacing w:after="0" w:line="169" w:lineRule="exact"/>
              <w:rPr>
                <w:rFonts w:ascii="Arial" w:cs="Arial" w:eastAsia="Arial" w:hAnsi="Arial"/>
                <w:sz w:val="16"/>
                <w:szCs w:val="16"/>
                <w:color w:val="0000FF"/>
              </w:rPr>
            </w:pPr>
            <w:hyperlink r:id="rId171">
              <w:r>
                <w:rPr>
                  <w:rFonts w:ascii="Arial" w:cs="Arial" w:eastAsia="Arial" w:hAnsi="Arial"/>
                  <w:sz w:val="16"/>
                  <w:szCs w:val="16"/>
                  <w:color w:val="0000FF"/>
                </w:rPr>
                <w:t>Letter Agreement dated August 17, 2006 related to the Separation and Distribution Agreement by and among Realogy Corporation,</w:t>
              </w:r>
            </w:hyperlink>
          </w:p>
        </w:tc>
        <w:tc>
          <w:tcPr>
            <w:tcW w:w="620" w:type="dxa"/>
            <w:vAlign w:val="bottom"/>
            <w:tcBorders>
              <w:right w:val="single" w:sz="8" w:color="auto"/>
            </w:tcBorders>
            <w:gridSpan w:val="24"/>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right w:val="single" w:sz="8" w:color="auto"/>
            </w:tcBorders>
            <w:gridSpan w:val="50"/>
          </w:tcPr>
          <w:p>
            <w:pPr>
              <w:spacing w:after="0" w:line="142" w:lineRule="exact"/>
              <w:rPr>
                <w:rFonts w:ascii="Arial" w:cs="Arial" w:eastAsia="Arial" w:hAnsi="Arial"/>
                <w:sz w:val="16"/>
                <w:szCs w:val="16"/>
                <w:color w:val="0000FF"/>
              </w:rPr>
            </w:pPr>
            <w:hyperlink r:id="rId171">
              <w:r>
                <w:rPr>
                  <w:rFonts w:ascii="Arial" w:cs="Arial" w:eastAsia="Arial" w:hAnsi="Arial"/>
                  <w:sz w:val="16"/>
                  <w:szCs w:val="16"/>
                  <w:color w:val="0000FF"/>
                </w:rPr>
                <w:t>Cendant Corporation*, Wyndham Worldwide Corporation and Travelport Inc. dated as of July 27, 2006 (Incorporated by reference to</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71">
              <w:r>
                <w:rPr>
                  <w:rFonts w:ascii="Arial" w:cs="Arial" w:eastAsia="Arial" w:hAnsi="Arial"/>
                  <w:sz w:val="16"/>
                  <w:szCs w:val="16"/>
                  <w:color w:val="0000FF"/>
                </w:rPr>
                <w:t>Exhibit 2.2 to the Company’s Quarterly Report on Form 10-Q for the period ended June 30, 2007, dated August 8, 2007).</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72">
              <w:r>
                <w:rPr>
                  <w:rFonts w:ascii="Arial" w:cs="Arial" w:eastAsia="Arial" w:hAnsi="Arial"/>
                  <w:sz w:val="16"/>
                  <w:szCs w:val="16"/>
                  <w:color w:val="0000FF"/>
                </w:rPr>
                <w:t>Amended and Restated Certificate of Incorporation of Avis Budget Group, Inc. (Incorporated by reference to Exhibit 3.1 to the Company’s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42"/>
          </w:tcPr>
          <w:p>
            <w:pPr>
              <w:spacing w:after="0" w:line="142" w:lineRule="exact"/>
              <w:rPr>
                <w:rFonts w:ascii="Arial" w:cs="Arial" w:eastAsia="Arial" w:hAnsi="Arial"/>
                <w:sz w:val="16"/>
                <w:szCs w:val="16"/>
                <w:color w:val="0000FF"/>
              </w:rPr>
            </w:pPr>
            <w:hyperlink r:id="rId172">
              <w:r>
                <w:rPr>
                  <w:rFonts w:ascii="Arial" w:cs="Arial" w:eastAsia="Arial" w:hAnsi="Arial"/>
                  <w:sz w:val="16"/>
                  <w:szCs w:val="16"/>
                  <w:color w:val="0000FF"/>
                </w:rPr>
                <w:t>Current Report on Form 8-K, dated September 5, 2006).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73">
              <w:r>
                <w:rPr>
                  <w:rFonts w:ascii="Arial" w:cs="Arial" w:eastAsia="Arial" w:hAnsi="Arial"/>
                  <w:sz w:val="16"/>
                  <w:szCs w:val="16"/>
                  <w:color w:val="0000FF"/>
                </w:rPr>
                <w:t>Amended and Restated Bylaws of Avis Budget Group, Inc., dated August 10, 2020 (Incorporated by reference to Exhibit 3.2 to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Company’s Current Report on Form 8-K, dated August 13, 2020).</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74">
              <w:r>
                <w:rPr>
                  <w:rFonts w:ascii="Arial" w:cs="Arial" w:eastAsia="Arial" w:hAnsi="Arial"/>
                  <w:sz w:val="16"/>
                  <w:szCs w:val="16"/>
                  <w:color w:val="0000FF"/>
                </w:rPr>
                <w:t>Indenture dated as of September 26, 2016 among Avis Budget Finance plc, as Issuer, the Guarantors from time to time parties hereto and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46"/>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Deutsche Bank Trust Company Americas as Trustee, Deutsche Bank AG, London Branch as Paying Agent and Deutsche Bank</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10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Luxembourg S.A., as Registrar, governing the 4.125% Senior Notes due 2024 (Incorporated by reference to Exhibit 4.1 to the</w:t>
              </w:r>
            </w:hyperlink>
          </w:p>
        </w:tc>
        <w:tc>
          <w:tcPr>
            <w:tcW w:w="920" w:type="dxa"/>
            <w:vAlign w:val="bottom"/>
            <w:tcBorders>
              <w:right w:val="single" w:sz="8" w:color="auto"/>
            </w:tcBorders>
            <w:gridSpan w:val="32"/>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Company’s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41"/>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Quarterly Report on Form 10-Q for the quarter ended September 30, 2016, dated November 3, 2016).</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75">
              <w:r>
                <w:rPr>
                  <w:rFonts w:ascii="Arial" w:cs="Arial" w:eastAsia="Arial" w:hAnsi="Arial"/>
                  <w:sz w:val="16"/>
                  <w:szCs w:val="16"/>
                  <w:color w:val="0000FF"/>
                </w:rPr>
                <w:t>Indenture dated as of March 8, 2017 among Avis Budget Finance, plc, as Issuer, the Guarantors from time to time parties hereto, Deutsche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49"/>
          </w:tcPr>
          <w:p>
            <w:pPr>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Bank Trust Company Americas, as Trustee, Deutsche Bank AG, London Branch, as Paying Agent and Deutsche Bank Luxembourg S.A.,</w:t>
              </w:r>
            </w:hyperlink>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bottom w:val="single" w:sz="8" w:color="0000FF"/>
            </w:tcBorders>
            <w:gridSpan w:val="40"/>
          </w:tcPr>
          <w:p>
            <w:pPr>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as Registrar, governing the 4.50% Senior Notes due 2025 (Incorporated by reference to Exhibit 4.2 to the Company’s Quarterly Report on</w:t>
              </w:r>
            </w:hyperlink>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gridSpan w:val="44"/>
          </w:tcPr>
          <w:p>
            <w:pPr>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Form 10-Q for the quarter ended March 31, 2017, dated May 4, 2017).</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4.3</w:t>
            </w: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Borders>
              <w:right w:val="single" w:sz="8" w:color="auto"/>
            </w:tcBorders>
            <w:gridSpan w:val="50"/>
          </w:tcPr>
          <w:p>
            <w:pPr>
              <w:spacing w:after="0"/>
              <w:rPr>
                <w:rFonts w:ascii="Arial" w:cs="Arial" w:eastAsia="Arial" w:hAnsi="Arial"/>
                <w:sz w:val="16"/>
                <w:szCs w:val="16"/>
                <w:color w:val="0000FF"/>
              </w:rPr>
            </w:pPr>
            <w:hyperlink r:id="rId176">
              <w:r>
                <w:rPr>
                  <w:rFonts w:ascii="Arial" w:cs="Arial" w:eastAsia="Arial" w:hAnsi="Arial"/>
                  <w:sz w:val="16"/>
                  <w:szCs w:val="16"/>
                  <w:color w:val="0000FF"/>
                </w:rPr>
                <w:t>Indenture dated as of October 4, 2018 among Avis Budget Finance, plc, as Issuer, the Guarantors from time to time parties thereto,</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20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Deutsche Bank Trust Company Americas, as Trustee, Deutsche Bank AG, London Branch, as Paying Agent and Deutsche Bank</w:t>
              </w:r>
            </w:hyperlink>
          </w:p>
        </w:tc>
        <w:tc>
          <w:tcPr>
            <w:tcW w:w="180" w:type="dxa"/>
            <w:vAlign w:val="bottom"/>
            <w:tcBorders>
              <w:top w:val="single" w:sz="8" w:color="0000FF"/>
            </w:tcBorders>
            <w:gridSpan w:val="5"/>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right w:val="single" w:sz="8" w:color="auto"/>
            </w:tcBorders>
            <w:gridSpan w:val="50"/>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Luxembourg S.A., as Registrar, governing the 4.75% Senior Notes due 2026 (Incorporated by reference to Exhibit 4.1 to the Company’s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Quarterly Report on Form 10-Q for the quarterly period ended September 30, 2018 dated November 6, 2018).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48"/>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2380" w:type="dxa"/>
            <w:vAlign w:val="bottom"/>
            <w:tcBorders>
              <w:top w:val="single" w:sz="8" w:color="0000FF"/>
              <w:bottom w:val="single" w:sz="8" w:color="auto"/>
            </w:tcBorders>
          </w:tcPr>
          <w:p>
            <w:pPr>
              <w:spacing w:after="0"/>
              <w:rPr>
                <w:sz w:val="4"/>
                <w:szCs w:val="4"/>
                <w:color w:val="auto"/>
              </w:rPr>
            </w:pPr>
          </w:p>
        </w:tc>
        <w:tc>
          <w:tcPr>
            <w:tcW w:w="66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360" w:type="dxa"/>
            <w:vAlign w:val="bottom"/>
            <w:tcBorders>
              <w:top w:val="single" w:sz="8" w:color="0000FF"/>
              <w:bottom w:val="single" w:sz="8" w:color="auto"/>
            </w:tcBorders>
          </w:tcPr>
          <w:p>
            <w:pPr>
              <w:spacing w:after="0"/>
              <w:rPr>
                <w:sz w:val="4"/>
                <w:szCs w:val="4"/>
                <w:color w:val="auto"/>
              </w:rPr>
            </w:pPr>
          </w:p>
        </w:tc>
        <w:tc>
          <w:tcPr>
            <w:tcW w:w="88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77">
              <w:r>
                <w:rPr>
                  <w:rFonts w:ascii="Arial" w:cs="Arial" w:eastAsia="Arial" w:hAnsi="Arial"/>
                  <w:sz w:val="16"/>
                  <w:szCs w:val="16"/>
                  <w:color w:val="0000FF"/>
                </w:rPr>
                <w:t>Indenture dated as of July 3, 2019 among Avis Budget Car Rental, LLC and Avis Budget Finance, Inc., as Issuers, the Guarantors from</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time to time parties thereto and Deutsche Bank Trust Company Americas, as Trustee, governing the 5.75% Senior Notes due 2027</w:t>
              </w:r>
            </w:hyperlink>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(Incorporated by reference to Exhibit 4.1 to the Company’s Quarterly Report on Form 10-Q for the quarterly period ended June 30,</w:t>
              </w:r>
            </w:hyperlink>
          </w:p>
        </w:tc>
        <w:tc>
          <w:tcPr>
            <w:tcW w:w="500" w:type="dxa"/>
            <w:vAlign w:val="bottom"/>
            <w:gridSpan w:val="19"/>
          </w:tcPr>
          <w:p>
            <w:pPr>
              <w:jc w:val="right"/>
              <w:ind w:right="80"/>
              <w:spacing w:after="0" w:line="142" w:lineRule="exact"/>
              <w:rPr>
                <w:rFonts w:ascii="Arial" w:cs="Arial" w:eastAsia="Arial" w:hAnsi="Arial"/>
                <w:sz w:val="16"/>
                <w:szCs w:val="16"/>
                <w:color w:val="0000FF"/>
                <w:w w:val="99"/>
              </w:rPr>
            </w:pPr>
            <w:hyperlink r:id="rId177">
              <w:r>
                <w:rPr>
                  <w:rFonts w:ascii="Arial" w:cs="Arial" w:eastAsia="Arial" w:hAnsi="Arial"/>
                  <w:sz w:val="16"/>
                  <w:szCs w:val="16"/>
                  <w:color w:val="0000FF"/>
                  <w:w w:val="99"/>
                </w:rPr>
                <w:t>2019,</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dated August 6, 2019).</w:t>
              </w:r>
            </w:hyperlink>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78">
              <w:r>
                <w:rPr>
                  <w:rFonts w:ascii="Arial" w:cs="Arial" w:eastAsia="Arial" w:hAnsi="Arial"/>
                  <w:sz w:val="16"/>
                  <w:szCs w:val="16"/>
                  <w:color w:val="0000FF"/>
                </w:rPr>
                <w:t>First Supplemental Indenture, dated as of August 6, 2020, to the indenture dated as of July 3, 2019 by and among Avis Budget Car Rental,</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48"/>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LLC and Avis Budget Finance, Inc., as issuers, the guarantors party thereto and Deutsche Bank Trust Company Americas, as trustee</w:t>
              </w:r>
            </w:hyperlink>
          </w:p>
        </w:tc>
        <w:tc>
          <w:tcPr>
            <w:tcW w:w="6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(Incorporated by reference to Exhibit 4.1 to the Company's Current Report on Form 8-K, dated August 7,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79">
              <w:r>
                <w:rPr>
                  <w:rFonts w:ascii="Arial" w:cs="Arial" w:eastAsia="Arial" w:hAnsi="Arial"/>
                  <w:sz w:val="16"/>
                  <w:szCs w:val="16"/>
                  <w:color w:val="0000FF"/>
                </w:rPr>
                <w:t>Indenture, dated as of March 1, 2021, by and among Avis Budget Car Rental, LLC and Avis Budget Finance, Inc., as issuers,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20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guarantors party thereto and Deutsche Bank Trust Company Americas, as trustee, governing the 5.375% Senior Notes due 2029</w:t>
              </w:r>
            </w:hyperlink>
          </w:p>
        </w:tc>
        <w:tc>
          <w:tcPr>
            <w:tcW w:w="20" w:type="dxa"/>
            <w:vAlign w:val="bottom"/>
            <w:tcBorders>
              <w:bottom w:val="single" w:sz="8" w:color="0000FF"/>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220" w:type="dxa"/>
            <w:vAlign w:val="bottom"/>
            <w:gridSpan w:val="21"/>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(incorporated by reference to Exhibit 4.1 to the Company's Current Report on Form 8-K, dated March 1, 2021).</w:t>
              </w:r>
            </w:hyperlink>
          </w:p>
        </w:tc>
        <w:tc>
          <w:tcPr>
            <w:tcW w:w="10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80">
              <w:r>
                <w:rPr>
                  <w:rFonts w:ascii="Arial" w:cs="Arial" w:eastAsia="Arial" w:hAnsi="Arial"/>
                  <w:sz w:val="16"/>
                  <w:szCs w:val="16"/>
                  <w:color w:val="0000FF"/>
                </w:rPr>
                <w:t>Indenture, dated as of March 23, 2021, by and among Avis Budget Car Rental, LLC and Avis Budget Finance, Inc., as issuers,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80">
              <w:r>
                <w:rPr>
                  <w:rFonts w:ascii="Arial" w:cs="Arial" w:eastAsia="Arial" w:hAnsi="Arial"/>
                  <w:sz w:val="16"/>
                  <w:szCs w:val="16"/>
                  <w:color w:val="0000FF"/>
                </w:rPr>
                <w:t>guarantors party thereto and Deutsche Bank Trust Company Americas, as trustee, governing the 4.75% Senior Notes due 2028</w:t>
              </w:r>
            </w:hyperlink>
          </w:p>
        </w:tc>
        <w:tc>
          <w:tcPr>
            <w:tcW w:w="120" w:type="dxa"/>
            <w:vAlign w:val="bottom"/>
            <w:gridSpan w:val="4"/>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12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80">
              <w:r>
                <w:rPr>
                  <w:rFonts w:ascii="Arial" w:cs="Arial" w:eastAsia="Arial" w:hAnsi="Arial"/>
                  <w:sz w:val="16"/>
                  <w:szCs w:val="16"/>
                  <w:color w:val="0000FF"/>
                </w:rPr>
                <w:t>(Incorporated by reference to Exhibit 4.1 to the Company's Current Report on Form 8-K, dated March 23, 2021).</w:t>
              </w:r>
            </w:hyperlink>
          </w:p>
        </w:tc>
        <w:tc>
          <w:tcPr>
            <w:tcW w:w="320" w:type="dxa"/>
            <w:vAlign w:val="bottom"/>
            <w:gridSpan w:val="8"/>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81">
              <w:r>
                <w:rPr>
                  <w:rFonts w:ascii="Arial" w:cs="Arial" w:eastAsia="Arial" w:hAnsi="Arial"/>
                  <w:sz w:val="16"/>
                  <w:szCs w:val="16"/>
                  <w:color w:val="0000FF"/>
                </w:rPr>
                <w:t>Description of the Company’s Securities Registered Pursuant to Section 12 of the Securities Exchange Act of 1934 (Incorporated by</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reference to Exhibit 4.8 to the Company’s Annual Report on Form 10-K for the year ended December 31, 2021, dated February 17,</w:t>
              </w:r>
            </w:hyperlink>
          </w:p>
        </w:tc>
        <w:tc>
          <w:tcPr>
            <w:tcW w:w="500" w:type="dxa"/>
            <w:vAlign w:val="bottom"/>
            <w:gridSpan w:val="20"/>
          </w:tcPr>
          <w:p>
            <w:pPr>
              <w:jc w:val="right"/>
              <w:ind w:right="80"/>
              <w:spacing w:after="0" w:line="142" w:lineRule="exact"/>
              <w:rPr>
                <w:rFonts w:ascii="Arial" w:cs="Arial" w:eastAsia="Arial" w:hAnsi="Arial"/>
                <w:sz w:val="16"/>
                <w:szCs w:val="16"/>
                <w:color w:val="0000FF"/>
                <w:w w:val="88"/>
              </w:rPr>
            </w:pPr>
            <w:hyperlink r:id="rId181">
              <w:r>
                <w:rPr>
                  <w:rFonts w:ascii="Arial" w:cs="Arial" w:eastAsia="Arial" w:hAnsi="Arial"/>
                  <w:sz w:val="16"/>
                  <w:szCs w:val="16"/>
                  <w:color w:val="0000FF"/>
                  <w:w w:val="88"/>
                </w:rPr>
                <w:t>2022).</w:t>
              </w:r>
            </w:hyperlink>
          </w:p>
        </w:tc>
        <w:tc>
          <w:tcPr>
            <w:tcW w:w="80" w:type="dxa"/>
            <w:vAlign w:val="bottom"/>
            <w:tcBorders>
              <w:right w:val="single" w:sz="8" w:color="auto"/>
            </w:tcBorders>
            <w:gridSpan w:val="3"/>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82">
              <w:r>
                <w:rPr>
                  <w:rFonts w:ascii="Arial" w:cs="Arial" w:eastAsia="Arial" w:hAnsi="Arial"/>
                  <w:sz w:val="16"/>
                  <w:szCs w:val="16"/>
                  <w:color w:val="0000FF"/>
                </w:rPr>
                <w:t>Agreement between Avis Budget Group, Inc. and Joseph Ferraro (Incorporated by reference to Exhibit 10.5 to the Company’s Annual</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Report on Form 10-K for the year ended December 31, 2015, dated February 24, 2016).†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bottom w:val="single" w:sz="8" w:color="0000FF"/>
            </w:tcBorders>
            <w:gridSpan w:val="32"/>
          </w:tcPr>
          <w:p>
            <w:pPr>
              <w:spacing w:after="0" w:line="169" w:lineRule="exact"/>
              <w:rPr>
                <w:rFonts w:ascii="Arial" w:cs="Arial" w:eastAsia="Arial" w:hAnsi="Arial"/>
                <w:sz w:val="16"/>
                <w:szCs w:val="16"/>
                <w:color w:val="0000FF"/>
              </w:rPr>
            </w:pPr>
            <w:hyperlink r:id="rId183">
              <w:r>
                <w:rPr>
                  <w:rFonts w:ascii="Arial" w:cs="Arial" w:eastAsia="Arial" w:hAnsi="Arial"/>
                  <w:sz w:val="16"/>
                  <w:szCs w:val="16"/>
                  <w:color w:val="0000FF"/>
                </w:rPr>
                <w:t>Service Agreement between Patrick Rankin and Avis Budget Services Limited, dated February 22, 2019 (Incorporated by reference to</w:t>
              </w:r>
            </w:hyperlink>
          </w:p>
        </w:tc>
        <w:tc>
          <w:tcPr>
            <w:tcW w:w="440" w:type="dxa"/>
            <w:vAlign w:val="bottom"/>
            <w:tcBorders>
              <w:right w:val="single" w:sz="8" w:color="auto"/>
            </w:tcBorders>
            <w:gridSpan w:val="18"/>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right w:val="single" w:sz="8" w:color="auto"/>
            </w:tcBorders>
            <w:gridSpan w:val="50"/>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Exhibit 10.8 to the Company's Annual Report on Form 10-K for the fiscal year ended December 31, 2019, dated February 20, 2020). †</w:t>
              </w:r>
            </w:hyperlink>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84">
              <w:r>
                <w:rPr>
                  <w:rFonts w:ascii="Arial" w:cs="Arial" w:eastAsia="Arial" w:hAnsi="Arial"/>
                  <w:sz w:val="16"/>
                  <w:szCs w:val="16"/>
                  <w:color w:val="0000FF"/>
                </w:rPr>
                <w:t>Agreement between Patrick Rankin and Avis Budget Services Limited, dated August 15, 2019 (Incorporated by reference to Exhibit 10.9 to</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47"/>
          </w:tcPr>
          <w:p>
            <w:pPr>
              <w:spacing w:after="0" w:line="142" w:lineRule="exact"/>
              <w:rPr>
                <w:rFonts w:ascii="Arial" w:cs="Arial" w:eastAsia="Arial" w:hAnsi="Arial"/>
                <w:sz w:val="16"/>
                <w:szCs w:val="16"/>
                <w:color w:val="0000FF"/>
              </w:rPr>
            </w:pPr>
            <w:hyperlink r:id="rId184">
              <w:r>
                <w:rPr>
                  <w:rFonts w:ascii="Arial" w:cs="Arial" w:eastAsia="Arial" w:hAnsi="Arial"/>
                  <w:sz w:val="16"/>
                  <w:szCs w:val="16"/>
                  <w:color w:val="0000FF"/>
                </w:rPr>
                <w:t>the Company's Annual Report on Form 10-K for the fiscal year ended December 31, 2019, dated February 20, 2020). †</w:t>
              </w:r>
            </w:hyperlink>
          </w:p>
        </w:tc>
        <w:tc>
          <w:tcPr>
            <w:tcW w:w="80" w:type="dxa"/>
            <w:vAlign w:val="bottom"/>
            <w:tcBorders>
              <w:right w:val="single" w:sz="8" w:color="auto"/>
            </w:tcBorders>
            <w:gridSpan w:val="3"/>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85">
              <w:r>
                <w:rPr>
                  <w:rFonts w:ascii="Arial" w:cs="Arial" w:eastAsia="Arial" w:hAnsi="Arial"/>
                  <w:sz w:val="16"/>
                  <w:szCs w:val="16"/>
                  <w:color w:val="0000FF"/>
                </w:rPr>
                <w:t>Agreement between Avis Budget Group, Inc. and Edward Linnen, dated April 20, 2015 (Incorporated by reference to Exhibit 10.10 to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Company's Annual Report on Form 10-K for the fiscal year ended December 31, 2019, dated February 20, 2020). †</w:t>
              </w:r>
            </w:hyperlink>
          </w:p>
        </w:tc>
        <w:tc>
          <w:tcPr>
            <w:tcW w:w="100" w:type="dxa"/>
            <w:vAlign w:val="bottom"/>
            <w:gridSpan w:val="5"/>
          </w:tcPr>
          <w:p>
            <w:pPr>
              <w:spacing w:after="0"/>
              <w:rPr>
                <w:sz w:val="12"/>
                <w:szCs w:val="12"/>
                <w:color w:val="auto"/>
              </w:rPr>
            </w:pPr>
          </w:p>
        </w:tc>
        <w:tc>
          <w:tcPr>
            <w:tcW w:w="160" w:type="dxa"/>
            <w:vAlign w:val="bottom"/>
            <w:tcBorders>
              <w:right w:val="single" w:sz="8" w:color="auto"/>
            </w:tcBorders>
            <w:gridSpan w:val="7"/>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86">
              <w:r>
                <w:rPr>
                  <w:rFonts w:ascii="Arial" w:cs="Arial" w:eastAsia="Arial" w:hAnsi="Arial"/>
                  <w:sz w:val="16"/>
                  <w:szCs w:val="16"/>
                  <w:color w:val="0000FF"/>
                </w:rPr>
                <w:t>Offer Letter, dated August 12, 2020, between Brian Choi and Avis Budget Group, Inc. (incorporated by reference to Exhibit 10.2 to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Company's Current Report on Form 8-K, dated August 13, 2020). †</w:t>
              </w:r>
            </w:hyperlink>
          </w:p>
        </w:tc>
        <w:tc>
          <w:tcPr>
            <w:tcW w:w="120" w:type="dxa"/>
            <w:vAlign w:val="bottom"/>
            <w:gridSpan w:val="4"/>
          </w:tcPr>
          <w:p>
            <w:pPr>
              <w:spacing w:after="0"/>
              <w:rPr>
                <w:sz w:val="12"/>
                <w:szCs w:val="12"/>
                <w:color w:val="auto"/>
              </w:rPr>
            </w:pPr>
          </w:p>
        </w:tc>
        <w:tc>
          <w:tcPr>
            <w:tcW w:w="180" w:type="dxa"/>
            <w:vAlign w:val="bottom"/>
            <w:gridSpan w:val="8"/>
          </w:tcPr>
          <w:p>
            <w:pPr>
              <w:spacing w:after="0"/>
              <w:rPr>
                <w:sz w:val="12"/>
                <w:szCs w:val="12"/>
                <w:color w:val="auto"/>
              </w:rPr>
            </w:pPr>
          </w:p>
        </w:tc>
        <w:tc>
          <w:tcPr>
            <w:tcW w:w="160" w:type="dxa"/>
            <w:vAlign w:val="bottom"/>
            <w:tcBorders>
              <w:right w:val="single" w:sz="8" w:color="auto"/>
            </w:tcBorders>
            <w:gridSpan w:val="7"/>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87">
              <w:r>
                <w:rPr>
                  <w:rFonts w:ascii="Arial" w:cs="Arial" w:eastAsia="Arial" w:hAnsi="Arial"/>
                  <w:sz w:val="16"/>
                  <w:szCs w:val="16"/>
                  <w:color w:val="0000FF"/>
                </w:rPr>
                <w:t>Offer Letter, dated February 4, 2021, between Veresh Sita and Avis Budget Group, Inc. (incorporated by reference to Exhibit 10.6 to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Company’s Annual Report on Form 10-K, dated February 17, 2022). †</w:t>
              </w:r>
            </w:hyperlink>
          </w:p>
        </w:tc>
        <w:tc>
          <w:tcPr>
            <w:tcW w:w="180" w:type="dxa"/>
            <w:vAlign w:val="bottom"/>
            <w:gridSpan w:val="8"/>
          </w:tcPr>
          <w:p>
            <w:pPr>
              <w:spacing w:after="0"/>
              <w:rPr>
                <w:sz w:val="12"/>
                <w:szCs w:val="12"/>
                <w:color w:val="auto"/>
              </w:rPr>
            </w:pPr>
          </w:p>
        </w:tc>
        <w:tc>
          <w:tcPr>
            <w:tcW w:w="160" w:type="dxa"/>
            <w:vAlign w:val="bottom"/>
            <w:tcBorders>
              <w:right w:val="single" w:sz="8" w:color="auto"/>
            </w:tcBorders>
            <w:gridSpan w:val="7"/>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88">
              <w:r>
                <w:rPr>
                  <w:rFonts w:ascii="Arial" w:cs="Arial" w:eastAsia="Arial" w:hAnsi="Arial"/>
                  <w:sz w:val="16"/>
                  <w:szCs w:val="16"/>
                  <w:color w:val="0000FF"/>
                </w:rPr>
                <w:t>Separation Agreement, dated April 19, 2022, between Veresh Sita and Avis Budget Group, Inc. (Incorporated by reference to Exhibit 10.1</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43"/>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to the Company’s Current Report on Form 8-K, dated April 22, 2022).</w:t>
              </w:r>
            </w:hyperlink>
          </w:p>
        </w:tc>
        <w:tc>
          <w:tcPr>
            <w:tcW w:w="160" w:type="dxa"/>
            <w:vAlign w:val="bottom"/>
            <w:tcBorders>
              <w:right w:val="single" w:sz="8" w:color="auto"/>
            </w:tcBorders>
            <w:gridSpan w:val="7"/>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3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10.8</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00" w:type="dxa"/>
            <w:vAlign w:val="bottom"/>
            <w:tcBorders>
              <w:top w:val="single" w:sz="8" w:color="auto"/>
              <w:right w:val="single" w:sz="8" w:color="auto"/>
            </w:tcBorders>
            <w:gridSpan w:val="50"/>
          </w:tcPr>
          <w:p>
            <w:pPr>
              <w:spacing w:after="0"/>
              <w:rPr>
                <w:rFonts w:ascii="Arial" w:cs="Arial" w:eastAsia="Arial" w:hAnsi="Arial"/>
                <w:sz w:val="16"/>
                <w:szCs w:val="16"/>
                <w:color w:val="0000FF"/>
              </w:rPr>
            </w:pPr>
            <w:hyperlink r:id="rId190">
              <w:r>
                <w:rPr>
                  <w:rFonts w:ascii="Arial" w:cs="Arial" w:eastAsia="Arial" w:hAnsi="Arial"/>
                  <w:sz w:val="16"/>
                  <w:szCs w:val="16"/>
                  <w:color w:val="0000FF"/>
                </w:rPr>
                <w:t>Avis Budget Group, Inc. Executive Severance Pay Plan for Grade A and B Employees and Summary Plan Description (Incorporated by</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reference to Exhibit 10.1 to the Company's Current Report on Form 8-K, dated December 14, 2020). †</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91">
              <w:r>
                <w:rPr>
                  <w:rFonts w:ascii="Arial" w:cs="Arial" w:eastAsia="Arial" w:hAnsi="Arial"/>
                  <w:sz w:val="16"/>
                  <w:szCs w:val="16"/>
                  <w:color w:val="0000FF"/>
                </w:rPr>
                <w:t>Fourth Amended and Restated Cooperation Agreement, dated as of December 23, 2022, by and among Avis Budget Group, Inc., SRS</w:t>
              </w:r>
            </w:hyperlink>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right w:val="single" w:sz="8" w:color="auto"/>
            </w:tcBorders>
            <w:gridSpan w:val="50"/>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Investment Management, LLC and certain of its affiliates (Incorporated by reference to Exhibit 10.1 to the Company's Current Report on</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Form 8-K dated December 27,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92">
              <w:r>
                <w:rPr>
                  <w:rFonts w:ascii="Arial" w:cs="Arial" w:eastAsia="Arial" w:hAnsi="Arial"/>
                  <w:sz w:val="16"/>
                  <w:szCs w:val="16"/>
                  <w:color w:val="0000FF"/>
                </w:rPr>
                <w:t>Avis Budget Group, Inc. Amended and Restated Equity and Incentive Plan (Incorporated by reference to Annex A to the Company's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92">
              <w:r>
                <w:rPr>
                  <w:rFonts w:ascii="Arial" w:cs="Arial" w:eastAsia="Arial" w:hAnsi="Arial"/>
                  <w:sz w:val="16"/>
                  <w:szCs w:val="16"/>
                  <w:color w:val="0000FF"/>
                </w:rPr>
                <w:t>Definitive Proxy Statement on Schedule 14A, dated March 26, 2019).†</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93">
              <w:r>
                <w:rPr>
                  <w:rFonts w:ascii="Arial" w:cs="Arial" w:eastAsia="Arial" w:hAnsi="Arial"/>
                  <w:sz w:val="16"/>
                  <w:szCs w:val="16"/>
                  <w:color w:val="0000FF"/>
                </w:rPr>
                <w:t>Amendment to the Avis Budget Group, Inc. Amended and Restated Equity and Incentive Plan dated October 26, 2021 (Incorporated by</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reference to Exhibit 10.3 to the Company’s Quarterly Report on Form 10-Q for the quarterly period ended September 30, 2021, dated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November 2, 2021).†</w:t>
              </w:r>
            </w:hyperlink>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94">
              <w:r>
                <w:rPr>
                  <w:rFonts w:ascii="Arial" w:cs="Arial" w:eastAsia="Arial" w:hAnsi="Arial"/>
                  <w:sz w:val="16"/>
                  <w:szCs w:val="16"/>
                  <w:color w:val="0000FF"/>
                </w:rPr>
                <w:t>Form of Award Agreement - Restricted Stock Units (Incorporated by reference to Exhibit 10.12 to the Company’s Annual Report on Form</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41"/>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10-K for the year ended December 31, 2018 dated February 21,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95">
              <w:r>
                <w:rPr>
                  <w:rFonts w:ascii="Arial" w:cs="Arial" w:eastAsia="Arial" w:hAnsi="Arial"/>
                  <w:sz w:val="16"/>
                  <w:szCs w:val="16"/>
                  <w:color w:val="0000FF"/>
                </w:rPr>
                <w:t>Form of Award Agreement - Performance Based Restricted Stock Units (Incorporated by reference to Exhibit 10.13 to the Company’s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95">
              <w:r>
                <w:rPr>
                  <w:rFonts w:ascii="Arial" w:cs="Arial" w:eastAsia="Arial" w:hAnsi="Arial"/>
                  <w:sz w:val="16"/>
                  <w:szCs w:val="16"/>
                  <w:color w:val="0000FF"/>
                </w:rPr>
                <w:t>Annual Report on Form 10-K for the year ended December 31, 2018, dated February 21, 2019).†</w:t>
              </w:r>
            </w:hyperlink>
          </w:p>
        </w:tc>
        <w:tc>
          <w:tcPr>
            <w:tcW w:w="6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10.14</w:t>
            </w:r>
          </w:p>
        </w:tc>
        <w:tc>
          <w:tcPr>
            <w:tcW w:w="1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96">
              <w:r>
                <w:rPr>
                  <w:rFonts w:ascii="Arial" w:cs="Arial" w:eastAsia="Arial" w:hAnsi="Arial"/>
                  <w:sz w:val="16"/>
                  <w:szCs w:val="16"/>
                  <w:color w:val="0000FF"/>
                </w:rPr>
                <w:t>Form of Non-Employee Director Award Agreement - Restricted Stock Units (Incorporated by reference to Exhibit 10.14 to the Company’s</w:t>
              </w:r>
            </w:hyperlink>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400" w:type="dxa"/>
            <w:vAlign w:val="bottom"/>
            <w:tcBorders>
              <w:top w:val="single" w:sz="8" w:color="0000FF"/>
            </w:tcBorders>
            <w:gridSpan w:val="12"/>
          </w:tcPr>
          <w:p>
            <w:pPr>
              <w:spacing w:after="0" w:line="122" w:lineRule="exact"/>
              <w:rPr>
                <w:rFonts w:ascii="Arial" w:cs="Arial" w:eastAsia="Arial" w:hAnsi="Arial"/>
                <w:sz w:val="14"/>
                <w:szCs w:val="14"/>
                <w:color w:val="0000FF"/>
              </w:rPr>
            </w:pPr>
            <w:hyperlink r:id="rId196">
              <w:r>
                <w:rPr>
                  <w:rFonts w:ascii="Arial" w:cs="Arial" w:eastAsia="Arial" w:hAnsi="Arial"/>
                  <w:sz w:val="14"/>
                  <w:szCs w:val="14"/>
                  <w:color w:val="0000FF"/>
                </w:rPr>
                <w:t>Annual Report on Form 10-K for the year ended December 31, 2018, dated</w:t>
              </w:r>
            </w:hyperlink>
          </w:p>
        </w:tc>
        <w:tc>
          <w:tcPr>
            <w:tcW w:w="4380" w:type="dxa"/>
            <w:vAlign w:val="bottom"/>
            <w:tcBorders>
              <w:top w:val="single" w:sz="8" w:color="0000FF"/>
            </w:tcBorders>
            <w:gridSpan w:val="28"/>
          </w:tcPr>
          <w:p>
            <w:pPr>
              <w:ind w:left="40"/>
              <w:spacing w:after="0" w:line="122" w:lineRule="exact"/>
              <w:rPr>
                <w:rFonts w:ascii="Arial" w:cs="Arial" w:eastAsia="Arial" w:hAnsi="Arial"/>
                <w:sz w:val="14"/>
                <w:szCs w:val="14"/>
                <w:color w:val="0000FF"/>
              </w:rPr>
            </w:pPr>
            <w:hyperlink r:id="rId196">
              <w:r>
                <w:rPr>
                  <w:rFonts w:ascii="Arial" w:cs="Arial" w:eastAsia="Arial" w:hAnsi="Arial"/>
                  <w:sz w:val="14"/>
                  <w:szCs w:val="14"/>
                  <w:color w:val="0000FF"/>
                </w:rPr>
                <w:t>February 21, 2019).†</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97">
              <w:r>
                <w:rPr>
                  <w:rFonts w:ascii="Arial" w:cs="Arial" w:eastAsia="Arial" w:hAnsi="Arial"/>
                  <w:sz w:val="16"/>
                  <w:szCs w:val="16"/>
                  <w:color w:val="0000FF"/>
                </w:rPr>
                <w:t>Form of Avis Budget Group, Inc. Severance Agreement (Incorporated by reference to Exhibit 10.15 to the Company’s Annual Report on</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197">
              <w:r>
                <w:rPr>
                  <w:rFonts w:ascii="Arial" w:cs="Arial" w:eastAsia="Arial" w:hAnsi="Arial"/>
                  <w:sz w:val="16"/>
                  <w:szCs w:val="16"/>
                  <w:color w:val="0000FF"/>
                </w:rPr>
                <w:t>Form 10-K for the year ended December 31, 2018, dated February 21, 2019).†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98">
              <w:r>
                <w:rPr>
                  <w:rFonts w:ascii="Arial" w:cs="Arial" w:eastAsia="Arial" w:hAnsi="Arial"/>
                  <w:sz w:val="16"/>
                  <w:szCs w:val="16"/>
                  <w:color w:val="0000FF"/>
                </w:rPr>
                <w:t>Avis Budget Group, Inc. Non-Employee Directors Deferred Compensation Plan, amended and restated as of January 1, 2019</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96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98">
              <w:r>
                <w:rPr>
                  <w:rFonts w:ascii="Arial" w:cs="Arial" w:eastAsia="Arial" w:hAnsi="Arial"/>
                  <w:sz w:val="16"/>
                  <w:szCs w:val="16"/>
                  <w:color w:val="0000FF"/>
                </w:rPr>
                <w:t>(Incorporated by reference to Exhibit 10.16 to the Company’s Annual Report on Form 10-K for the year ended December 31,</w:t>
              </w:r>
            </w:hyperlink>
          </w:p>
        </w:tc>
        <w:tc>
          <w:tcPr>
            <w:tcW w:w="1040" w:type="dxa"/>
            <w:vAlign w:val="bottom"/>
            <w:tcBorders>
              <w:right w:val="single" w:sz="8" w:color="auto"/>
            </w:tcBorders>
            <w:gridSpan w:val="29"/>
          </w:tcPr>
          <w:p>
            <w:pPr>
              <w:spacing w:after="0" w:line="142" w:lineRule="exact"/>
              <w:rPr>
                <w:rFonts w:ascii="Arial" w:cs="Arial" w:eastAsia="Arial" w:hAnsi="Arial"/>
                <w:sz w:val="16"/>
                <w:szCs w:val="16"/>
                <w:color w:val="0000FF"/>
              </w:rPr>
            </w:pPr>
            <w:hyperlink r:id="rId198">
              <w:r>
                <w:rPr>
                  <w:rFonts w:ascii="Arial" w:cs="Arial" w:eastAsia="Arial" w:hAnsi="Arial"/>
                  <w:sz w:val="16"/>
                  <w:szCs w:val="16"/>
                  <w:color w:val="0000FF"/>
                </w:rPr>
                <w:t>2018 dated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198">
              <w:r>
                <w:rPr>
                  <w:rFonts w:ascii="Arial" w:cs="Arial" w:eastAsia="Arial" w:hAnsi="Arial"/>
                  <w:sz w:val="16"/>
                  <w:szCs w:val="16"/>
                  <w:color w:val="0000FF"/>
                </w:rPr>
                <w:t>February 21, 2019).†</w:t>
              </w:r>
            </w:hyperlink>
          </w:p>
        </w:tc>
        <w:tc>
          <w:tcPr>
            <w:tcW w:w="4294967277"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50"/>
          </w:tcPr>
          <w:p>
            <w:pPr>
              <w:spacing w:after="0" w:line="169" w:lineRule="exact"/>
              <w:rPr>
                <w:sz w:val="20"/>
                <w:szCs w:val="20"/>
                <w:color w:val="auto"/>
              </w:rPr>
            </w:pPr>
            <w:r>
              <w:rPr>
                <w:rFonts w:ascii="Arial" w:cs="Arial" w:eastAsia="Arial" w:hAnsi="Arial"/>
                <w:sz w:val="16"/>
                <w:szCs w:val="16"/>
                <w:color w:val="0000FF"/>
              </w:rPr>
              <w:t>Amendment No. 1 dated as of December 8, 2022 to the Avis Budget Group, Inc. Non-Employee Directors Deferred Compensation Plan,</w:t>
            </w: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37"/>
          </w:tcPr>
          <w:p>
            <w:pPr>
              <w:spacing w:after="0" w:line="142" w:lineRule="exact"/>
              <w:rPr>
                <w:sz w:val="20"/>
                <w:szCs w:val="20"/>
                <w:color w:val="auto"/>
              </w:rPr>
            </w:pPr>
            <w:r>
              <w:rPr>
                <w:rFonts w:ascii="Arial" w:cs="Arial" w:eastAsia="Arial" w:hAnsi="Arial"/>
                <w:sz w:val="16"/>
                <w:szCs w:val="16"/>
                <w:color w:val="0000FF"/>
              </w:rPr>
              <w:t>amended and restated as of January 1, 2019. †</w:t>
            </w:r>
          </w:p>
        </w:tc>
        <w:tc>
          <w:tcPr>
            <w:tcW w:w="20" w:type="dxa"/>
            <w:vAlign w:val="bottom"/>
          </w:tcPr>
          <w:p>
            <w:pPr>
              <w:spacing w:after="0"/>
              <w:rPr>
                <w:sz w:val="12"/>
                <w:szCs w:val="12"/>
                <w:color w:val="auto"/>
              </w:rPr>
            </w:pPr>
          </w:p>
        </w:tc>
        <w:tc>
          <w:tcPr>
            <w:tcW w:w="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50"/>
          </w:tcPr>
          <w:p>
            <w:pPr>
              <w:spacing w:after="0" w:line="169" w:lineRule="exact"/>
              <w:rPr>
                <w:sz w:val="20"/>
                <w:szCs w:val="20"/>
                <w:color w:val="auto"/>
              </w:rPr>
            </w:pPr>
            <w:r>
              <w:rPr>
                <w:rFonts w:ascii="Arial" w:cs="Arial" w:eastAsia="Arial" w:hAnsi="Arial"/>
                <w:sz w:val="16"/>
                <w:szCs w:val="16"/>
                <w:color w:val="0000FF"/>
              </w:rPr>
              <w:t>Avis Budget Group, Inc. Supplemental Savings Plan, amended and restated as of January 1, 2023. †</w:t>
            </w: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199">
              <w:r>
                <w:rPr>
                  <w:rFonts w:ascii="Arial" w:cs="Arial" w:eastAsia="Arial" w:hAnsi="Arial"/>
                  <w:sz w:val="16"/>
                  <w:szCs w:val="16"/>
                  <w:color w:val="0000FF"/>
                </w:rPr>
                <w:t>Avis Budget Group, Inc. Savings Restoration Plan, amended and restated as of November 1, 2008 (Incorporated by reference to Exhibit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10.18 to the Company’s Annual Report on Form 10-K for the year ended December 31, 2008, dated February 26, 2009).†</w:t>
              </w:r>
            </w:hyperlink>
          </w:p>
        </w:tc>
        <w:tc>
          <w:tcPr>
            <w:tcW w:w="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200">
              <w:r>
                <w:rPr>
                  <w:rFonts w:ascii="Arial" w:cs="Arial" w:eastAsia="Arial" w:hAnsi="Arial"/>
                  <w:sz w:val="16"/>
                  <w:szCs w:val="16"/>
                  <w:color w:val="0000FF"/>
                </w:rPr>
                <w:t>Avis Rent A Car System, LLC Pension Plan (Incorporated by reference to Exhibit 10.20 to the Company’s Annual Report on Form 10-K for</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46"/>
          </w:tcPr>
          <w:p>
            <w:pPr>
              <w:spacing w:after="0" w:line="142" w:lineRule="exact"/>
              <w:rPr>
                <w:rFonts w:ascii="Arial" w:cs="Arial" w:eastAsia="Arial" w:hAnsi="Arial"/>
                <w:sz w:val="16"/>
                <w:szCs w:val="16"/>
                <w:color w:val="0000FF"/>
              </w:rPr>
            </w:pPr>
            <w:hyperlink r:id="rId200">
              <w:r>
                <w:rPr>
                  <w:rFonts w:ascii="Arial" w:cs="Arial" w:eastAsia="Arial" w:hAnsi="Arial"/>
                  <w:sz w:val="16"/>
                  <w:szCs w:val="16"/>
                  <w:color w:val="0000FF"/>
                </w:rPr>
                <w:t>the year ended December 31, 2018, dated February 21,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201">
              <w:r>
                <w:rPr>
                  <w:rFonts w:ascii="Arial" w:cs="Arial" w:eastAsia="Arial" w:hAnsi="Arial"/>
                  <w:sz w:val="16"/>
                  <w:szCs w:val="16"/>
                  <w:color w:val="0000FF"/>
                </w:rPr>
                <w:t>Cendant Corporation* Officer Personal Financial Services Policy (Incorporated by reference to Exhibit 10.3 to the Company’s Current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Report on Form 8-K, dated January 26, 2005).</w:t>
              </w:r>
            </w:hyperlink>
          </w:p>
        </w:tc>
        <w:tc>
          <w:tcPr>
            <w:tcW w:w="80" w:type="dxa"/>
            <w:vAlign w:val="bottom"/>
            <w:gridSpan w:val="3"/>
          </w:tcPr>
          <w:p>
            <w:pPr>
              <w:spacing w:after="0"/>
              <w:rPr>
                <w:sz w:val="12"/>
                <w:szCs w:val="12"/>
                <w:color w:val="auto"/>
              </w:rPr>
            </w:pPr>
          </w:p>
        </w:tc>
        <w:tc>
          <w:tcPr>
            <w:tcW w:w="80" w:type="dxa"/>
            <w:vAlign w:val="bottom"/>
            <w:gridSpan w:val="3"/>
          </w:tcPr>
          <w:p>
            <w:pPr>
              <w:spacing w:after="0"/>
              <w:rPr>
                <w:sz w:val="12"/>
                <w:szCs w:val="12"/>
                <w:color w:val="auto"/>
              </w:rPr>
            </w:pPr>
          </w:p>
        </w:tc>
        <w:tc>
          <w:tcPr>
            <w:tcW w:w="8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202">
              <w:r>
                <w:rPr>
                  <w:rFonts w:ascii="Arial" w:cs="Arial" w:eastAsia="Arial" w:hAnsi="Arial"/>
                  <w:sz w:val="16"/>
                  <w:szCs w:val="16"/>
                  <w:color w:val="0000FF"/>
                </w:rPr>
                <w:t>Tax Sharing Agreement among Cendant Corporation*, Realogy Corporation, Wyndham Worldwide Corporation and Travelport Inc., dated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43"/>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as of July 28, 2006 (Incorporated by reference to Exhibit 10.2 to the Company’s Current Report on Form 8-K, dated August 1, 2006).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203">
              <w:r>
                <w:rPr>
                  <w:rFonts w:ascii="Arial" w:cs="Arial" w:eastAsia="Arial" w:hAnsi="Arial"/>
                  <w:sz w:val="16"/>
                  <w:szCs w:val="16"/>
                  <w:color w:val="0000FF"/>
                </w:rPr>
                <w:t>Amendment to the Tax Sharing Agreement, dated July 28, 2006, among Avis Budget Group, Inc., Realogy Corporation, Wyndham</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Worldwide Corporation and Travelport Inc. (Incorporated by reference to Exhibit 10.4 to the Company’s Quarterly Report on Form</w:t>
              </w:r>
            </w:hyperlink>
          </w:p>
        </w:tc>
        <w:tc>
          <w:tcPr>
            <w:tcW w:w="700" w:type="dxa"/>
            <w:vAlign w:val="bottom"/>
            <w:tcBorders>
              <w:right w:val="single" w:sz="8" w:color="auto"/>
            </w:tcBorders>
            <w:gridSpan w:val="28"/>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10-Q for</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47"/>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the quarterly period ended June 30, 2008, dated August 7, 2008).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204">
              <w:r>
                <w:rPr>
                  <w:rFonts w:ascii="Arial" w:cs="Arial" w:eastAsia="Arial" w:hAnsi="Arial"/>
                  <w:sz w:val="16"/>
                  <w:szCs w:val="16"/>
                  <w:color w:val="0000FF"/>
                </w:rPr>
                <w:t>Second Amended and Restated Base Indenture, dated as of June 3, 2004, among Cendant Rental Car Funding (AESOP) LLC***, as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Issuer, and The Bank of New York, as Trustee (Incorporated by reference to Exhibit 10.7 to the Company’s Quarterly Report on Form</w:t>
              </w:r>
            </w:hyperlink>
          </w:p>
        </w:tc>
        <w:tc>
          <w:tcPr>
            <w:tcW w:w="480" w:type="dxa"/>
            <w:vAlign w:val="bottom"/>
            <w:tcBorders>
              <w:right w:val="single" w:sz="8" w:color="auto"/>
            </w:tcBorders>
            <w:gridSpan w:val="23"/>
          </w:tcPr>
          <w:p>
            <w:pPr>
              <w:ind w:left="40"/>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10-Q</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48"/>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for the quarterly period ended June 30, 2004, dated August 2, 2004).</w:t>
              </w:r>
            </w:hyperlink>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205">
              <w:r>
                <w:rPr>
                  <w:rFonts w:ascii="Arial" w:cs="Arial" w:eastAsia="Arial" w:hAnsi="Arial"/>
                  <w:sz w:val="16"/>
                  <w:szCs w:val="16"/>
                  <w:color w:val="0000FF"/>
                </w:rPr>
                <w:t>Supplemental Indenture No. 1, dated as of December 23, 2005, among Cendant Rental Car Funding (AESOP) LLC***, as Issuer, and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bottom w:val="single" w:sz="8" w:color="0000FF"/>
            </w:tcBorders>
            <w:gridSpan w:val="45"/>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Bank of New York, as Trustee, to the Second Amended and Restated Base Indenture, dated as of June 3, 2004 (Incorporated by reference</w:t>
              </w:r>
            </w:hyperlink>
          </w:p>
        </w:tc>
        <w:tc>
          <w:tcPr>
            <w:tcW w:w="80" w:type="dxa"/>
            <w:vAlign w:val="bottom"/>
            <w:tcBorders>
              <w:bottom w:val="single" w:sz="8" w:color="0000FF"/>
            </w:tcBorders>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gridSpan w:val="49"/>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to Exhibit 10.1 to the Company’s Current Report on Form 8-K, dated January 20, 2006).</w:t>
              </w:r>
            </w:hyperlink>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206">
              <w:r>
                <w:rPr>
                  <w:rFonts w:ascii="Arial" w:cs="Arial" w:eastAsia="Arial" w:hAnsi="Arial"/>
                  <w:sz w:val="16"/>
                  <w:szCs w:val="16"/>
                  <w:color w:val="0000FF"/>
                </w:rPr>
                <w:t>Supplemental Indenture No. 2, dated as of May 9, 2007, among Avis Budget Rental Car Funding (AESOP) LLC, as Issuer, and The Bank</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bottom w:val="single" w:sz="8" w:color="0000FF"/>
            </w:tcBorders>
            <w:gridSpan w:val="40"/>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of New York Trust Company, N.A. (as successor in interest to The Bank of New York), as Trustee, to the Second Amended and Restated</w:t>
              </w:r>
            </w:hyperlink>
          </w:p>
        </w:tc>
        <w:tc>
          <w:tcPr>
            <w:tcW w:w="40" w:type="dxa"/>
            <w:vAlign w:val="bottom"/>
            <w:tcBorders>
              <w:top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right w:val="single" w:sz="8" w:color="auto"/>
            </w:tcBorders>
            <w:gridSpan w:val="50"/>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Base Indenture, dated as of June 3, 2004 (Incorporated by reference to Exhibit 10.6 to the Company’s Quarterly Report on Form 10-Q for</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44"/>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the quarterly period ended June 30, 2007, dated August 8, 2007).</w:t>
              </w:r>
            </w:hyperlink>
          </w:p>
        </w:tc>
        <w:tc>
          <w:tcPr>
            <w:tcW w:w="140" w:type="dxa"/>
            <w:vAlign w:val="bottom"/>
            <w:tcBorders>
              <w:right w:val="single" w:sz="8" w:color="auto"/>
            </w:tcBorders>
            <w:gridSpan w:val="6"/>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207">
              <w:r>
                <w:rPr>
                  <w:rFonts w:ascii="Arial" w:cs="Arial" w:eastAsia="Arial" w:hAnsi="Arial"/>
                  <w:sz w:val="16"/>
                  <w:szCs w:val="16"/>
                  <w:color w:val="0000FF"/>
                </w:rPr>
                <w:t>Supplemental Indenture No. 3, dated as of August 16, 2013, among Avis Budget Rental Car Funding (AESOP) LLC, as Issuer, and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tcBorders>
              <w:top w:val="single" w:sz="8" w:color="0000FF"/>
              <w:bottom w:val="single" w:sz="8" w:color="0000FF"/>
            </w:tcBorders>
            <w:gridSpan w:val="26"/>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Bank of New York Trust Company, N.A. (as successor in interest to The Bank of New York), as Trustee, to the Second Amended and</w:t>
              </w:r>
            </w:hyperlink>
          </w:p>
        </w:tc>
        <w:tc>
          <w:tcPr>
            <w:tcW w:w="200" w:type="dxa"/>
            <w:vAlign w:val="bottom"/>
            <w:tcBorders>
              <w:top w:val="single" w:sz="8" w:color="0000FF"/>
            </w:tcBorders>
            <w:gridSpan w:val="8"/>
          </w:tcPr>
          <w:p>
            <w:pPr>
              <w:spacing w:after="0"/>
              <w:rPr>
                <w:sz w:val="12"/>
                <w:szCs w:val="12"/>
                <w:color w:val="auto"/>
              </w:rPr>
            </w:pPr>
          </w:p>
        </w:tc>
        <w:tc>
          <w:tcPr>
            <w:tcW w:w="300" w:type="dxa"/>
            <w:vAlign w:val="bottom"/>
            <w:tcBorders>
              <w:right w:val="single" w:sz="8" w:color="auto"/>
            </w:tcBorders>
            <w:gridSpan w:val="16"/>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right w:val="single" w:sz="8" w:color="auto"/>
            </w:tcBorders>
            <w:gridSpan w:val="50"/>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Restated Base Indenture, dated as of June 3, 2004 (Incorporated by reference to Exhibit 10.35(c) to the Company’s Annual Report on</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Form 10-K for the year ended December 31, 2013, dated February 20, 2014).</w:t>
              </w:r>
            </w:hyperlink>
          </w:p>
        </w:tc>
        <w:tc>
          <w:tcPr>
            <w:tcW w:w="380" w:type="dxa"/>
            <w:vAlign w:val="bottom"/>
            <w:tcBorders>
              <w:right w:val="single" w:sz="8" w:color="auto"/>
            </w:tcBorders>
            <w:gridSpan w:val="19"/>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50"/>
          </w:tcPr>
          <w:p>
            <w:pPr>
              <w:spacing w:after="0" w:line="169" w:lineRule="exact"/>
              <w:rPr>
                <w:rFonts w:ascii="Arial" w:cs="Arial" w:eastAsia="Arial" w:hAnsi="Arial"/>
                <w:sz w:val="16"/>
                <w:szCs w:val="16"/>
                <w:color w:val="0000FF"/>
              </w:rPr>
            </w:pPr>
            <w:hyperlink r:id="rId208">
              <w:r>
                <w:rPr>
                  <w:rFonts w:ascii="Arial" w:cs="Arial" w:eastAsia="Arial" w:hAnsi="Arial"/>
                  <w:sz w:val="16"/>
                  <w:szCs w:val="16"/>
                  <w:color w:val="0000FF"/>
                </w:rPr>
                <w:t>Second Amended and Restated Loan Agreement, dated as of June 3, 2004, among AESOP Leasing L.P., as Borrower, Quartx Fleet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6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rPr>
            </w:pPr>
            <w:hyperlink r:id="rId208">
              <w:r>
                <w:rPr>
                  <w:rFonts w:ascii="Arial" w:cs="Arial" w:eastAsia="Arial" w:hAnsi="Arial"/>
                  <w:sz w:val="16"/>
                  <w:szCs w:val="16"/>
                  <w:color w:val="0000FF"/>
                </w:rPr>
                <w:t>Management, Inc., as a Permitted Nominee, PV Holding Corp., as a Permitted Nominee, and Cendant Rental Car Funding (AESOP)</w:t>
              </w:r>
            </w:hyperlink>
          </w:p>
        </w:tc>
        <w:tc>
          <w:tcPr>
            <w:tcW w:w="20" w:type="dxa"/>
            <w:vAlign w:val="bottom"/>
            <w:tcBorders>
              <w:bottom w:val="single" w:sz="8" w:color="0000FF"/>
            </w:tcBorders>
          </w:tcPr>
          <w:p>
            <w:pPr>
              <w:spacing w:after="0"/>
              <w:rPr>
                <w:sz w:val="12"/>
                <w:szCs w:val="12"/>
                <w:color w:val="auto"/>
              </w:rPr>
            </w:pPr>
          </w:p>
        </w:tc>
        <w:tc>
          <w:tcPr>
            <w:tcW w:w="520" w:type="dxa"/>
            <w:vAlign w:val="bottom"/>
            <w:tcBorders>
              <w:right w:val="single" w:sz="8" w:color="auto"/>
            </w:tcBorders>
            <w:gridSpan w:val="25"/>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gridSpan w:val="25"/>
          </w:tcPr>
          <w:p>
            <w:pPr>
              <w:spacing w:after="0" w:line="142" w:lineRule="exact"/>
              <w:rPr>
                <w:rFonts w:ascii="Arial" w:cs="Arial" w:eastAsia="Arial" w:hAnsi="Arial"/>
                <w:sz w:val="16"/>
                <w:szCs w:val="16"/>
                <w:color w:val="0000FF"/>
              </w:rPr>
            </w:pPr>
            <w:hyperlink r:id="rId208">
              <w:r>
                <w:rPr>
                  <w:rFonts w:ascii="Arial" w:cs="Arial" w:eastAsia="Arial" w:hAnsi="Arial"/>
                  <w:sz w:val="16"/>
                  <w:szCs w:val="16"/>
                  <w:color w:val="0000FF"/>
                </w:rPr>
                <w:t>LLC***, as Lender (Incorporated by reference to Exhibit</w:t>
              </w:r>
            </w:hyperlink>
          </w:p>
        </w:tc>
        <w:tc>
          <w:tcPr>
            <w:tcW w:w="520" w:type="dxa"/>
            <w:vAlign w:val="bottom"/>
            <w:tcBorders>
              <w:right w:val="single" w:sz="8" w:color="auto"/>
            </w:tcBorders>
            <w:gridSpan w:val="25"/>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r:id="rId208">
              <w:r>
                <w:rPr>
                  <w:rFonts w:ascii="Arial" w:cs="Arial" w:eastAsia="Arial" w:hAnsi="Arial"/>
                  <w:sz w:val="16"/>
                  <w:szCs w:val="16"/>
                  <w:color w:val="0000FF"/>
                </w:rPr>
                <w:t>10.8 to the Company’s Quarterly Report on Form 10-Q</w:t>
              </w:r>
            </w:hyperlink>
          </w:p>
        </w:tc>
        <w:tc>
          <w:tcPr>
            <w:tcW w:w="6040" w:type="dxa"/>
            <w:vAlign w:val="bottom"/>
            <w:tcBorders>
              <w:right w:val="single" w:sz="8" w:color="auto"/>
            </w:tcBorders>
            <w:gridSpan w:val="44"/>
          </w:tcPr>
          <w:p>
            <w:pPr>
              <w:spacing w:after="0" w:line="142" w:lineRule="exact"/>
              <w:rPr>
                <w:rFonts w:ascii="Arial" w:cs="Arial" w:eastAsia="Arial" w:hAnsi="Arial"/>
                <w:sz w:val="16"/>
                <w:szCs w:val="16"/>
                <w:color w:val="0000FF"/>
              </w:rPr>
            </w:pPr>
            <w:hyperlink r:id="rId208">
              <w:r>
                <w:rPr>
                  <w:rFonts w:ascii="Arial" w:cs="Arial" w:eastAsia="Arial" w:hAnsi="Arial"/>
                  <w:sz w:val="16"/>
                  <w:szCs w:val="16"/>
                  <w:color w:val="0000FF"/>
                </w:rPr>
                <w:t>for the quarterly period ended June 30, 2004, dated August 2, 2004).</w:t>
              </w:r>
            </w:hyperlink>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auto"/>
            </w:tcBorders>
          </w:tcPr>
          <w:p>
            <w:pPr>
              <w:jc w:val="right"/>
              <w:ind w:right="619"/>
              <w:spacing w:after="0"/>
              <w:rPr>
                <w:sz w:val="20"/>
                <w:szCs w:val="20"/>
                <w:color w:val="auto"/>
              </w:rPr>
            </w:pPr>
            <w:r>
              <w:rPr>
                <w:rFonts w:ascii="Arial" w:cs="Arial" w:eastAsia="Arial" w:hAnsi="Arial"/>
                <w:sz w:val="16"/>
                <w:szCs w:val="16"/>
                <w:color w:val="auto"/>
              </w:rPr>
              <w:t>10.29</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140" w:type="dxa"/>
            <w:vAlign w:val="bottom"/>
            <w:tcBorders>
              <w:top w:val="single" w:sz="8" w:color="auto"/>
              <w:right w:val="single" w:sz="8" w:color="auto"/>
            </w:tcBorders>
            <w:gridSpan w:val="47"/>
          </w:tcPr>
          <w:p>
            <w:pPr>
              <w:spacing w:after="0"/>
              <w:rPr>
                <w:rFonts w:ascii="Arial" w:cs="Arial" w:eastAsia="Arial" w:hAnsi="Arial"/>
                <w:sz w:val="16"/>
                <w:szCs w:val="16"/>
                <w:color w:val="0000FF"/>
              </w:rPr>
            </w:pPr>
            <w:hyperlink r:id="rId210">
              <w:r>
                <w:rPr>
                  <w:rFonts w:ascii="Arial" w:cs="Arial" w:eastAsia="Arial" w:hAnsi="Arial"/>
                  <w:sz w:val="16"/>
                  <w:szCs w:val="16"/>
                  <w:color w:val="0000FF"/>
                </w:rPr>
                <w:t>First Amendment, dated as of December 23, 2005, among AESOP Leasing L.P., as Borrower, Quartx Fleet Management, Inc., as a</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10">
              <w:r>
                <w:rPr>
                  <w:rFonts w:ascii="Arial" w:cs="Arial" w:eastAsia="Arial" w:hAnsi="Arial"/>
                  <w:sz w:val="16"/>
                  <w:szCs w:val="16"/>
                  <w:color w:val="0000FF"/>
                </w:rPr>
                <w:t>Permitted Nominee, PV Holding Corp., as a Permitted Nominee, and Cendant Rental Car Funding (AESOP) LLC***, as Lender, to</w:t>
              </w:r>
            </w:hyperlink>
          </w:p>
        </w:tc>
        <w:tc>
          <w:tcPr>
            <w:tcW w:w="760" w:type="dxa"/>
            <w:vAlign w:val="bottom"/>
            <w:tcBorders>
              <w:right w:val="single" w:sz="8" w:color="auto"/>
            </w:tcBorders>
            <w:gridSpan w:val="30"/>
          </w:tcPr>
          <w:p>
            <w:pPr>
              <w:spacing w:after="0" w:line="142" w:lineRule="exact"/>
              <w:rPr>
                <w:rFonts w:ascii="Arial" w:cs="Arial" w:eastAsia="Arial" w:hAnsi="Arial"/>
                <w:sz w:val="16"/>
                <w:szCs w:val="16"/>
                <w:color w:val="0000FF"/>
              </w:rPr>
            </w:pPr>
            <w:hyperlink r:id="rId210">
              <w:r>
                <w:rPr>
                  <w:rFonts w:ascii="Arial" w:cs="Arial" w:eastAsia="Arial" w:hAnsi="Arial"/>
                  <w:sz w:val="16"/>
                  <w:szCs w:val="16"/>
                  <w:color w:val="0000FF"/>
                </w:rPr>
                <w:t>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w w:val="99"/>
              </w:rPr>
            </w:pPr>
            <w:hyperlink r:id="rId210">
              <w:r>
                <w:rPr>
                  <w:rFonts w:ascii="Arial" w:cs="Arial" w:eastAsia="Arial" w:hAnsi="Arial"/>
                  <w:sz w:val="16"/>
                  <w:szCs w:val="16"/>
                  <w:color w:val="0000FF"/>
                  <w:w w:val="99"/>
                </w:rPr>
                <w:t>Second Amended and Restated Loan Agreement, dated as of June 3, 2004 (Incorporated by reference to Exhibit 10.2 to the Company’s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294967277" w:type="dxa"/>
            <w:vAlign w:val="bottom"/>
            <w:tcBorders>
              <w:bottom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gridSpan w:val="30"/>
          </w:tcPr>
          <w:p>
            <w:pPr>
              <w:spacing w:after="0" w:line="142" w:lineRule="exact"/>
              <w:rPr>
                <w:rFonts w:ascii="Arial" w:cs="Arial" w:eastAsia="Arial" w:hAnsi="Arial"/>
                <w:sz w:val="16"/>
                <w:szCs w:val="16"/>
                <w:color w:val="0000FF"/>
              </w:rPr>
            </w:pPr>
            <w:hyperlink r:id="rId210">
              <w:r>
                <w:rPr>
                  <w:rFonts w:ascii="Arial" w:cs="Arial" w:eastAsia="Arial" w:hAnsi="Arial"/>
                  <w:sz w:val="16"/>
                  <w:szCs w:val="16"/>
                  <w:color w:val="0000FF"/>
                </w:rPr>
                <w:t>Current Report on Form 8-K, dated January 20, 2006).</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bottom w:val="single" w:sz="8" w:color="0000FF"/>
            </w:tcBorders>
            <w:gridSpan w:val="22"/>
          </w:tcPr>
          <w:p>
            <w:pPr>
              <w:spacing w:after="0" w:line="169" w:lineRule="exact"/>
              <w:rPr>
                <w:rFonts w:ascii="Arial" w:cs="Arial" w:eastAsia="Arial" w:hAnsi="Arial"/>
                <w:sz w:val="16"/>
                <w:szCs w:val="16"/>
                <w:color w:val="0000FF"/>
              </w:rPr>
            </w:pPr>
            <w:hyperlink r:id="rId211">
              <w:r>
                <w:rPr>
                  <w:rFonts w:ascii="Arial" w:cs="Arial" w:eastAsia="Arial" w:hAnsi="Arial"/>
                  <w:sz w:val="16"/>
                  <w:szCs w:val="16"/>
                  <w:color w:val="0000FF"/>
                </w:rPr>
                <w:t>Second Amendment, dated as of May 9, 2007, among AESOP Leasing L.P., as Borrower, PV Holding Corp., as a Permitted Nominee,</w:t>
              </w:r>
            </w:hyperlink>
          </w:p>
        </w:tc>
        <w:tc>
          <w:tcPr>
            <w:tcW w:w="540" w:type="dxa"/>
            <w:vAlign w:val="bottom"/>
            <w:tcBorders>
              <w:right w:val="single" w:sz="8" w:color="auto"/>
            </w:tcBorders>
            <w:gridSpan w:val="25"/>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right w:val="single" w:sz="8" w:color="auto"/>
            </w:tcBorders>
            <w:gridSpan w:val="47"/>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Quartx Fleet Management, Inc., as a Permitted Nominee, and Avis Budget Rental Car Funding (AESOP) LLC, as Lender, to the Second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bottom w:val="single" w:sz="8" w:color="0000FF"/>
            </w:tcBorders>
            <w:gridSpan w:val="29"/>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Amended and Restated Loan Agreement, dated as of June 3, 2004 (Incorporated by reference to Exhibit 10.8 to the Company’s Quarterly</w:t>
              </w:r>
            </w:hyperlink>
          </w:p>
        </w:tc>
        <w:tc>
          <w:tcPr>
            <w:tcW w:w="4294967277"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gridSpan w:val="37"/>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Report on Form 10-Q for the quarterly period ended June 30, 2007, dated August 8, 2007).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212">
              <w:r>
                <w:rPr>
                  <w:rFonts w:ascii="Arial" w:cs="Arial" w:eastAsia="Arial" w:hAnsi="Arial"/>
                  <w:sz w:val="16"/>
                  <w:szCs w:val="16"/>
                  <w:color w:val="0000FF"/>
                </w:rPr>
                <w:t>Third Amendment, dated as of August 16, 2013, among AESOP Leasing L.P., as Borrower, PV Holding Corp., as a Permitted Nominee,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bottom w:val="single" w:sz="8" w:color="0000FF"/>
            </w:tcBorders>
            <w:gridSpan w:val="25"/>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Quartx Fleet Management, Inc., as a Permitted Nominee, and Avis Budget Rental Car Funding (AESOP) LLC, as Lender, to the Second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gridSpan w:val="28"/>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Amended and Restated Loan Agreement, dated as of June 3, 2004 (Incorporated by reference to Exhibit 10.36(c) to the Company’s</w:t>
              </w:r>
            </w:hyperlink>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Annual Report on Form 10-K for the year ended December 31, 2013, dated February 20, 2014).</w:t>
              </w:r>
            </w:hyperlink>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277"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bottom w:val="single" w:sz="8" w:color="0000FF"/>
            </w:tcBorders>
            <w:gridSpan w:val="21"/>
          </w:tcPr>
          <w:p>
            <w:pPr>
              <w:spacing w:after="0" w:line="169" w:lineRule="exact"/>
              <w:rPr>
                <w:rFonts w:ascii="Arial" w:cs="Arial" w:eastAsia="Arial" w:hAnsi="Arial"/>
                <w:sz w:val="16"/>
                <w:szCs w:val="16"/>
                <w:color w:val="0000FF"/>
              </w:rPr>
            </w:pPr>
            <w:hyperlink r:id="rId213">
              <w:r>
                <w:rPr>
                  <w:rFonts w:ascii="Arial" w:cs="Arial" w:eastAsia="Arial" w:hAnsi="Arial"/>
                  <w:sz w:val="16"/>
                  <w:szCs w:val="16"/>
                  <w:color w:val="0000FF"/>
                </w:rPr>
                <w:t>Fourth Amendment, dated as of July 28, 2022, among AESOP Leasing L.P., as Borrower, PV Holding Corp., as a Permitted Nominee,</w:t>
              </w:r>
            </w:hyperlink>
          </w:p>
        </w:tc>
        <w:tc>
          <w:tcPr>
            <w:tcW w:w="560" w:type="dxa"/>
            <w:vAlign w:val="bottom"/>
            <w:tcBorders>
              <w:right w:val="single" w:sz="8" w:color="auto"/>
            </w:tcBorders>
            <w:gridSpan w:val="26"/>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right w:val="single" w:sz="8" w:color="auto"/>
            </w:tcBorders>
            <w:gridSpan w:val="47"/>
          </w:tcPr>
          <w:p>
            <w:pPr>
              <w:spacing w:after="0" w:line="142" w:lineRule="exact"/>
              <w:rPr>
                <w:rFonts w:ascii="Arial" w:cs="Arial" w:eastAsia="Arial" w:hAnsi="Arial"/>
                <w:sz w:val="16"/>
                <w:szCs w:val="16"/>
                <w:color w:val="0000FF"/>
              </w:rPr>
            </w:pPr>
            <w:hyperlink r:id="rId213">
              <w:r>
                <w:rPr>
                  <w:rFonts w:ascii="Arial" w:cs="Arial" w:eastAsia="Arial" w:hAnsi="Arial"/>
                  <w:sz w:val="16"/>
                  <w:szCs w:val="16"/>
                  <w:color w:val="0000FF"/>
                </w:rPr>
                <w:t>Quartx Fleet Management, Inc., as a Permitted Nominee, and Avis Budget Rental Car Funding (AESOP) LLC, as Lender, to the Second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13">
              <w:r>
                <w:rPr>
                  <w:rFonts w:ascii="Arial" w:cs="Arial" w:eastAsia="Arial" w:hAnsi="Arial"/>
                  <w:sz w:val="16"/>
                  <w:szCs w:val="16"/>
                  <w:color w:val="0000FF"/>
                </w:rPr>
                <w:t>Amended and Restated Loan Agreement, dated as of June 3, 2004 (Incorporated by reference to Exhibit 10.2 to the Company’s Quarterly</w:t>
              </w:r>
            </w:hyperlink>
          </w:p>
        </w:tc>
        <w:tc>
          <w:tcPr>
            <w:tcW w:w="4294967277"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213">
              <w:r>
                <w:rPr>
                  <w:rFonts w:ascii="Arial" w:cs="Arial" w:eastAsia="Arial" w:hAnsi="Arial"/>
                  <w:sz w:val="16"/>
                  <w:szCs w:val="16"/>
                  <w:color w:val="0000FF"/>
                </w:rPr>
                <w:t>Report on Form 10-Q for the quarterly period ended September 30, 2022, dated November 1,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bottom w:val="single" w:sz="8" w:color="0000FF"/>
            </w:tcBorders>
            <w:gridSpan w:val="30"/>
          </w:tcPr>
          <w:p>
            <w:pPr>
              <w:spacing w:after="0" w:line="169" w:lineRule="exact"/>
              <w:rPr>
                <w:rFonts w:ascii="Arial" w:cs="Arial" w:eastAsia="Arial" w:hAnsi="Arial"/>
                <w:sz w:val="16"/>
                <w:szCs w:val="16"/>
                <w:color w:val="0000FF"/>
              </w:rPr>
            </w:pPr>
            <w:hyperlink r:id="rId214">
              <w:r>
                <w:rPr>
                  <w:rFonts w:ascii="Arial" w:cs="Arial" w:eastAsia="Arial" w:hAnsi="Arial"/>
                  <w:sz w:val="16"/>
                  <w:szCs w:val="16"/>
                  <w:color w:val="0000FF"/>
                </w:rPr>
                <w:t>Amended and Restated Loan Agreement, dated as of June 3, 2004, among AESOP Leasing L.P., as Borrower, and Cendant Rental Car</w:t>
              </w:r>
            </w:hyperlink>
          </w:p>
        </w:tc>
        <w:tc>
          <w:tcPr>
            <w:tcW w:w="400" w:type="dxa"/>
            <w:vAlign w:val="bottom"/>
            <w:tcBorders>
              <w:right w:val="single" w:sz="8" w:color="auto"/>
            </w:tcBorders>
            <w:gridSpan w:val="17"/>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right w:val="single" w:sz="8" w:color="auto"/>
            </w:tcBorders>
            <w:gridSpan w:val="47"/>
          </w:tcPr>
          <w:p>
            <w:pPr>
              <w:spacing w:after="0" w:line="142" w:lineRule="exact"/>
              <w:rPr>
                <w:rFonts w:ascii="Arial" w:cs="Arial" w:eastAsia="Arial" w:hAnsi="Arial"/>
                <w:sz w:val="16"/>
                <w:szCs w:val="16"/>
                <w:color w:val="0000FF"/>
              </w:rPr>
            </w:pPr>
            <w:hyperlink r:id="rId214">
              <w:r>
                <w:rPr>
                  <w:rFonts w:ascii="Arial" w:cs="Arial" w:eastAsia="Arial" w:hAnsi="Arial"/>
                  <w:sz w:val="16"/>
                  <w:szCs w:val="16"/>
                  <w:color w:val="0000FF"/>
                </w:rPr>
                <w:t>Funding (AESOP) LLC***, as Lender (Incorporated by reference to Exhibit 10.29(a) to the Company’s Annual Report on Form 10-K for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214">
              <w:r>
                <w:rPr>
                  <w:rFonts w:ascii="Arial" w:cs="Arial" w:eastAsia="Arial" w:hAnsi="Arial"/>
                  <w:sz w:val="16"/>
                  <w:szCs w:val="16"/>
                  <w:color w:val="0000FF"/>
                </w:rPr>
                <w:t>year ended December 31, 2006, dated March 1, 2007).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215">
              <w:r>
                <w:rPr>
                  <w:rFonts w:ascii="Arial" w:cs="Arial" w:eastAsia="Arial" w:hAnsi="Arial"/>
                  <w:sz w:val="16"/>
                  <w:szCs w:val="16"/>
                  <w:color w:val="0000FF"/>
                </w:rPr>
                <w:t>First Amendment, dated as of December 23, 2005, among AESOP Leasing L.P., as Borrower, and Cendant Rental Car Funding (AESOP)</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bottom w:val="single" w:sz="8" w:color="0000FF"/>
            </w:tcBorders>
            <w:gridSpan w:val="35"/>
          </w:tcPr>
          <w:p>
            <w:pPr>
              <w:spacing w:after="0" w:line="142" w:lineRule="exact"/>
              <w:rPr>
                <w:rFonts w:ascii="Arial" w:cs="Arial" w:eastAsia="Arial" w:hAnsi="Arial"/>
                <w:sz w:val="16"/>
                <w:szCs w:val="16"/>
                <w:color w:val="0000FF"/>
              </w:rPr>
            </w:pPr>
            <w:hyperlink r:id="rId215">
              <w:r>
                <w:rPr>
                  <w:rFonts w:ascii="Arial" w:cs="Arial" w:eastAsia="Arial" w:hAnsi="Arial"/>
                  <w:sz w:val="16"/>
                  <w:szCs w:val="16"/>
                  <w:color w:val="0000FF"/>
                </w:rPr>
                <w:t>LLC***, as Lender, to the Amended and Restated Loan Agreement, dated as of June 3, 2004 (Incorporated by reference to Exhibit 10.29(b)</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gridSpan w:val="45"/>
          </w:tcPr>
          <w:p>
            <w:pPr>
              <w:spacing w:after="0" w:line="142" w:lineRule="exact"/>
              <w:rPr>
                <w:rFonts w:ascii="Arial" w:cs="Arial" w:eastAsia="Arial" w:hAnsi="Arial"/>
                <w:sz w:val="16"/>
                <w:szCs w:val="16"/>
                <w:color w:val="0000FF"/>
              </w:rPr>
            </w:pPr>
            <w:hyperlink r:id="rId215">
              <w:r>
                <w:rPr>
                  <w:rFonts w:ascii="Arial" w:cs="Arial" w:eastAsia="Arial" w:hAnsi="Arial"/>
                  <w:sz w:val="16"/>
                  <w:szCs w:val="16"/>
                  <w:color w:val="0000FF"/>
                </w:rPr>
                <w:t>to the Company’s Annual Report on Form 10-K for the year ended December 31, 2006, dated March 1, 2007).</w:t>
              </w:r>
            </w:hyperlink>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216">
              <w:r>
                <w:rPr>
                  <w:rFonts w:ascii="Arial" w:cs="Arial" w:eastAsia="Arial" w:hAnsi="Arial"/>
                  <w:sz w:val="16"/>
                  <w:szCs w:val="16"/>
                  <w:color w:val="0000FF"/>
                </w:rPr>
                <w:t>Second Amendment, dated as of the May 9, 2007, among AESOP Leasing L.P., as Borrower, and Avis Budget Rental Car Funding</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4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(AESOP) LLC, as Lender, to the Amended and Restated Loan Agreement, dated as of June 3, 2004 (Incorporated by reference to</w:t>
              </w:r>
            </w:hyperlink>
          </w:p>
        </w:tc>
        <w:tc>
          <w:tcPr>
            <w:tcW w:w="800" w:type="dxa"/>
            <w:vAlign w:val="bottom"/>
            <w:tcBorders>
              <w:right w:val="single" w:sz="8" w:color="auto"/>
            </w:tcBorders>
            <w:gridSpan w:val="31"/>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Exhibit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10.7 to the Company’s Quarterly Report on Form 10-Q for the quarterly period ended June 30, 2007, dated August 8, 2007).</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bottom w:val="single" w:sz="8" w:color="0000FF"/>
            </w:tcBorders>
            <w:gridSpan w:val="40"/>
          </w:tcPr>
          <w:p>
            <w:pPr>
              <w:spacing w:after="0" w:line="169" w:lineRule="exact"/>
              <w:rPr>
                <w:rFonts w:ascii="Arial" w:cs="Arial" w:eastAsia="Arial" w:hAnsi="Arial"/>
                <w:sz w:val="16"/>
                <w:szCs w:val="16"/>
                <w:color w:val="0000FF"/>
              </w:rPr>
            </w:pPr>
            <w:hyperlink r:id="rId217">
              <w:r>
                <w:rPr>
                  <w:rFonts w:ascii="Arial" w:cs="Arial" w:eastAsia="Arial" w:hAnsi="Arial"/>
                  <w:sz w:val="16"/>
                  <w:szCs w:val="16"/>
                  <w:color w:val="0000FF"/>
                </w:rPr>
                <w:t>Third Amendment, dated as of August 16, 2013, among AESOP Leasing L.P., as Borrower, and Avis Budget Rental Car Funding (AESOP)</w:t>
              </w:r>
            </w:hyperlink>
          </w:p>
        </w:tc>
        <w:tc>
          <w:tcPr>
            <w:tcW w:w="160" w:type="dxa"/>
            <w:vAlign w:val="bottom"/>
            <w:tcBorders>
              <w:right w:val="single" w:sz="8" w:color="auto"/>
            </w:tcBorders>
            <w:gridSpan w:val="7"/>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right w:val="single" w:sz="8" w:color="auto"/>
            </w:tcBorders>
            <w:gridSpan w:val="47"/>
          </w:tcPr>
          <w:p>
            <w:pPr>
              <w:spacing w:after="0" w:line="142" w:lineRule="exact"/>
              <w:rPr>
                <w:rFonts w:ascii="Arial" w:cs="Arial" w:eastAsia="Arial" w:hAnsi="Arial"/>
                <w:sz w:val="16"/>
                <w:szCs w:val="16"/>
                <w:color w:val="0000FF"/>
              </w:rPr>
            </w:pPr>
            <w:hyperlink r:id="rId217">
              <w:r>
                <w:rPr>
                  <w:rFonts w:ascii="Arial" w:cs="Arial" w:eastAsia="Arial" w:hAnsi="Arial"/>
                  <w:sz w:val="16"/>
                  <w:szCs w:val="16"/>
                  <w:color w:val="0000FF"/>
                </w:rPr>
                <w:t>LLC, as Lender, to the Amended and Restated Loan Agreement, dated as of June 3, 2004 (Incorporated by reference to Exhibit 10.37(c) to</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43"/>
          </w:tcPr>
          <w:p>
            <w:pPr>
              <w:spacing w:after="0" w:line="142" w:lineRule="exact"/>
              <w:rPr>
                <w:rFonts w:ascii="Arial" w:cs="Arial" w:eastAsia="Arial" w:hAnsi="Arial"/>
                <w:sz w:val="16"/>
                <w:szCs w:val="16"/>
                <w:color w:val="0000FF"/>
              </w:rPr>
            </w:pPr>
            <w:hyperlink r:id="rId217">
              <w:r>
                <w:rPr>
                  <w:rFonts w:ascii="Arial" w:cs="Arial" w:eastAsia="Arial" w:hAnsi="Arial"/>
                  <w:sz w:val="16"/>
                  <w:szCs w:val="16"/>
                  <w:color w:val="0000FF"/>
                </w:rPr>
                <w:t>the Company’s Annual Report on Form 10-K for the year ended December 31, 2013, dated February 20, 2014).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218">
              <w:r>
                <w:rPr>
                  <w:rFonts w:ascii="Arial" w:cs="Arial" w:eastAsia="Arial" w:hAnsi="Arial"/>
                  <w:sz w:val="16"/>
                  <w:szCs w:val="16"/>
                  <w:color w:val="0000FF"/>
                </w:rPr>
                <w:t>Fourth Amendment, dated as of July 28, 2022, between AESOP Leasing L.P., as Borrower, and Avis Budget Rental Car Funding (AESOP)</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bottom w:val="single" w:sz="8" w:color="0000FF"/>
            </w:tcBorders>
            <w:gridSpan w:val="40"/>
          </w:tcPr>
          <w:p>
            <w:pPr>
              <w:spacing w:after="0" w:line="142" w:lineRule="exact"/>
              <w:rPr>
                <w:rFonts w:ascii="Arial" w:cs="Arial" w:eastAsia="Arial" w:hAnsi="Arial"/>
                <w:sz w:val="16"/>
                <w:szCs w:val="16"/>
                <w:color w:val="0000FF"/>
              </w:rPr>
            </w:pPr>
            <w:hyperlink r:id="rId218">
              <w:r>
                <w:rPr>
                  <w:rFonts w:ascii="Arial" w:cs="Arial" w:eastAsia="Arial" w:hAnsi="Arial"/>
                  <w:sz w:val="16"/>
                  <w:szCs w:val="16"/>
                  <w:color w:val="0000FF"/>
                </w:rPr>
                <w:t>LLC, as Lender, to the Amended and Restated Loan Agreement, dated as of June 3, 2004 (Incorporated by reference to Exhibit 10.5 to the</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gridSpan w:val="41"/>
          </w:tcPr>
          <w:p>
            <w:pPr>
              <w:spacing w:after="0" w:line="142" w:lineRule="exact"/>
              <w:rPr>
                <w:rFonts w:ascii="Arial" w:cs="Arial" w:eastAsia="Arial" w:hAnsi="Arial"/>
                <w:sz w:val="16"/>
                <w:szCs w:val="16"/>
                <w:color w:val="0000FF"/>
              </w:rPr>
            </w:pPr>
            <w:hyperlink r:id="rId218">
              <w:r>
                <w:rPr>
                  <w:rFonts w:ascii="Arial" w:cs="Arial" w:eastAsia="Arial" w:hAnsi="Arial"/>
                  <w:sz w:val="16"/>
                  <w:szCs w:val="16"/>
                  <w:color w:val="0000FF"/>
                </w:rPr>
                <w:t>Company’s Quarterly Report on Form 10-Q for the quarterly period ended September 30, 2022, dated November 1, 2022).</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bottom w:val="single" w:sz="8" w:color="0000FF"/>
            </w:tcBorders>
            <w:gridSpan w:val="23"/>
          </w:tcPr>
          <w:p>
            <w:pPr>
              <w:spacing w:after="0" w:line="169" w:lineRule="exact"/>
              <w:rPr>
                <w:rFonts w:ascii="Arial" w:cs="Arial" w:eastAsia="Arial" w:hAnsi="Arial"/>
                <w:sz w:val="16"/>
                <w:szCs w:val="16"/>
                <w:color w:val="0000FF"/>
              </w:rPr>
            </w:pPr>
            <w:hyperlink r:id="rId219">
              <w:r>
                <w:rPr>
                  <w:rFonts w:ascii="Arial" w:cs="Arial" w:eastAsia="Arial" w:hAnsi="Arial"/>
                  <w:sz w:val="16"/>
                  <w:szCs w:val="16"/>
                  <w:color w:val="0000FF"/>
                </w:rPr>
                <w:t>Second Amended and Restated Master Motor Vehicle Operating Lease Agreement, dated as of June 3, 2004, among AESOP Leasing</w:t>
              </w:r>
            </w:hyperlink>
          </w:p>
        </w:tc>
        <w:tc>
          <w:tcPr>
            <w:tcW w:w="520" w:type="dxa"/>
            <w:vAlign w:val="bottom"/>
            <w:tcBorders>
              <w:right w:val="single" w:sz="8" w:color="auto"/>
            </w:tcBorders>
            <w:gridSpan w:val="24"/>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right w:val="single" w:sz="8" w:color="auto"/>
            </w:tcBorders>
            <w:gridSpan w:val="47"/>
          </w:tcPr>
          <w:p>
            <w:pPr>
              <w:spacing w:after="0" w:line="142" w:lineRule="exact"/>
              <w:rPr>
                <w:rFonts w:ascii="Arial" w:cs="Arial" w:eastAsia="Arial" w:hAnsi="Arial"/>
                <w:sz w:val="16"/>
                <w:szCs w:val="16"/>
                <w:color w:val="0000FF"/>
              </w:rPr>
            </w:pPr>
            <w:hyperlink r:id="rId219">
              <w:r>
                <w:rPr>
                  <w:rFonts w:ascii="Arial" w:cs="Arial" w:eastAsia="Arial" w:hAnsi="Arial"/>
                  <w:sz w:val="16"/>
                  <w:szCs w:val="16"/>
                  <w:color w:val="0000FF"/>
                </w:rPr>
                <w:t>L.P., as Lessor, and Cendant Car Rental Group, Inc.**, as Lessee and as Administrator (Incorporated by reference to Exhibit 10.9 to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19">
              <w:r>
                <w:rPr>
                  <w:rFonts w:ascii="Arial" w:cs="Arial" w:eastAsia="Arial" w:hAnsi="Arial"/>
                  <w:sz w:val="16"/>
                  <w:szCs w:val="16"/>
                  <w:color w:val="0000FF"/>
                </w:rPr>
                <w:t>Company’s Quarterly Report on Form 10-Q for the quarterly period ended June 30, 2004, dated August 2, 2004).</w:t>
              </w:r>
            </w:hyperlink>
          </w:p>
        </w:tc>
        <w:tc>
          <w:tcPr>
            <w:tcW w:w="20" w:type="dxa"/>
            <w:vAlign w:val="bottom"/>
          </w:tcPr>
          <w:p>
            <w:pPr>
              <w:spacing w:after="0"/>
              <w:rPr>
                <w:sz w:val="12"/>
                <w:szCs w:val="12"/>
                <w:color w:val="auto"/>
              </w:rPr>
            </w:pPr>
          </w:p>
        </w:tc>
        <w:tc>
          <w:tcPr>
            <w:tcW w:w="2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bottom w:val="single" w:sz="8" w:color="0000FF"/>
            </w:tcBorders>
            <w:gridSpan w:val="30"/>
          </w:tcPr>
          <w:p>
            <w:pPr>
              <w:spacing w:after="0" w:line="169" w:lineRule="exact"/>
              <w:rPr>
                <w:rFonts w:ascii="Arial" w:cs="Arial" w:eastAsia="Arial" w:hAnsi="Arial"/>
                <w:sz w:val="16"/>
                <w:szCs w:val="16"/>
                <w:color w:val="0000FF"/>
              </w:rPr>
            </w:pPr>
            <w:hyperlink r:id="rId220">
              <w:r>
                <w:rPr>
                  <w:rFonts w:ascii="Arial" w:cs="Arial" w:eastAsia="Arial" w:hAnsi="Arial"/>
                  <w:sz w:val="16"/>
                  <w:szCs w:val="16"/>
                  <w:color w:val="0000FF"/>
                </w:rPr>
                <w:t>First Amendment, dated December 23, 2005, among AESOP Leasing L.P., as Lessor, and Cendant Car Rental Group, Inc.**, as Lessee</w:t>
              </w:r>
            </w:hyperlink>
          </w:p>
        </w:tc>
        <w:tc>
          <w:tcPr>
            <w:tcW w:w="400" w:type="dxa"/>
            <w:vAlign w:val="bottom"/>
            <w:tcBorders>
              <w:right w:val="single" w:sz="8" w:color="auto"/>
            </w:tcBorders>
            <w:gridSpan w:val="17"/>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right w:val="single" w:sz="8" w:color="auto"/>
            </w:tcBorders>
            <w:gridSpan w:val="47"/>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and as Administrator, to the Second Amended and Restated Master Motor Vehicle Operating Lease Agreement, dated as of June 3, 2004</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(Incorporated by reference to Exhibit 10.3 to the Company’s Current Report on Form 8-K, dated January 20, 2006).</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221">
              <w:r>
                <w:rPr>
                  <w:rFonts w:ascii="Arial" w:cs="Arial" w:eastAsia="Arial" w:hAnsi="Arial"/>
                  <w:sz w:val="16"/>
                  <w:szCs w:val="16"/>
                  <w:color w:val="0000FF"/>
                </w:rPr>
                <w:t>Third Amendment, dated as of May 9, 2007, among AESOP Leasing L.P., as Lessor and Avis Budget Car Rental, LLC, as Lessee and as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the Administrator, to the Second Amended and Restated Master Motor Vehicle Operating Lease Agreement, dated as of June 3, 2004</w:t>
              </w:r>
            </w:hyperlink>
          </w:p>
        </w:tc>
        <w:tc>
          <w:tcPr>
            <w:tcW w:w="22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right w:val="single" w:sz="8" w:color="auto"/>
            </w:tcBorders>
            <w:gridSpan w:val="47"/>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(Incorporated by reference to Exhibit 10.9 to the Company’s Quarterly Report on Form 10-Q for the quarterly period ended June 30, 2007,</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dated August 8, 2007).</w:t>
              </w:r>
            </w:hyperlink>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222">
              <w:r>
                <w:rPr>
                  <w:rFonts w:ascii="Arial" w:cs="Arial" w:eastAsia="Arial" w:hAnsi="Arial"/>
                  <w:sz w:val="16"/>
                  <w:szCs w:val="16"/>
                  <w:color w:val="0000FF"/>
                </w:rPr>
                <w:t>Fourth Amendment, dated as of August 16, 2013, among AESOP Leasing L.P., as Lessor and Avis Budget Car Rental, LLC, as Lessee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and as the Administrator, to the Second Amended and Restated Master Motor Vehicle Operating Lease Agreement, dated as of June 3,</w:t>
              </w:r>
            </w:hyperlink>
          </w:p>
        </w:tc>
        <w:tc>
          <w:tcPr>
            <w:tcW w:w="60" w:type="dxa"/>
            <w:vAlign w:val="bottom"/>
            <w:tcBorders>
              <w:bottom w:val="single" w:sz="8" w:color="0000FF"/>
            </w:tcBorders>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right w:val="single" w:sz="8" w:color="auto"/>
            </w:tcBorders>
            <w:gridSpan w:val="47"/>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2004 (Incorporated by reference to Exhibit 10.38(c) to the Company’s Annual Report on Form 10-K for the year ended December 31, 2013,</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44"/>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dated February 20, 2014).</w:t>
              </w:r>
            </w:hyperlink>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223">
              <w:r>
                <w:rPr>
                  <w:rFonts w:ascii="Arial" w:cs="Arial" w:eastAsia="Arial" w:hAnsi="Arial"/>
                  <w:sz w:val="16"/>
                  <w:szCs w:val="16"/>
                  <w:color w:val="0000FF"/>
                </w:rPr>
                <w:t>Fifth Amendment, dated as of July 28, 2022, among AESOP Leasing L.P., as Lessor and Avis Budget Car Rental, LLC, as Lessee and as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the Administrator, to the Second Amended and Restated Master Motor Vehicle Operating Lease Agreement, dated as of June 3, 2004</w:t>
              </w:r>
            </w:hyperlink>
          </w:p>
        </w:tc>
        <w:tc>
          <w:tcPr>
            <w:tcW w:w="80" w:type="dxa"/>
            <w:vAlign w:val="bottom"/>
            <w:gridSpan w:val="4"/>
          </w:tcPr>
          <w:p>
            <w:pPr>
              <w:spacing w:after="0"/>
              <w:rPr>
                <w:sz w:val="12"/>
                <w:szCs w:val="12"/>
                <w:color w:val="auto"/>
              </w:rPr>
            </w:pPr>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(Incorporated by reference to Exhibit 10.3 to the Company’s Quarterly Report on Form 10-Q for the quarterly period ended September</w:t>
              </w:r>
            </w:hyperlink>
          </w:p>
        </w:tc>
        <w:tc>
          <w:tcPr>
            <w:tcW w:w="320" w:type="dxa"/>
            <w:vAlign w:val="bottom"/>
            <w:tcBorders>
              <w:bottom w:val="single" w:sz="8" w:color="0000FF"/>
            </w:tcBorders>
            <w:gridSpan w:val="15"/>
          </w:tcPr>
          <w:p>
            <w:pPr>
              <w:jc w:val="right"/>
              <w:ind w:right="40"/>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30,</w:t>
              </w:r>
            </w:hyperlink>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gridSpan w:val="36"/>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2022, dated November 1, 2022).</w:t>
              </w:r>
            </w:hyperlink>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46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224">
              <w:r>
                <w:rPr>
                  <w:rFonts w:ascii="Arial" w:cs="Arial" w:eastAsia="Arial" w:hAnsi="Arial"/>
                  <w:sz w:val="16"/>
                  <w:szCs w:val="16"/>
                  <w:color w:val="0000FF"/>
                </w:rPr>
                <w:t>Amended and Restated Master Motor Vehicle Finance Lease Agreement, dated as of June 3, 2004, among AESOP Leasing L.P., as</w:t>
              </w:r>
            </w:hyperlink>
          </w:p>
        </w:tc>
        <w:tc>
          <w:tcPr>
            <w:tcW w:w="680" w:type="dxa"/>
            <w:vAlign w:val="bottom"/>
            <w:tcBorders>
              <w:right w:val="single" w:sz="8" w:color="auto"/>
            </w:tcBorders>
            <w:gridSpan w:val="28"/>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right w:val="single" w:sz="8" w:color="auto"/>
            </w:tcBorders>
            <w:gridSpan w:val="47"/>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Lessor, Cendant Car Rental Group, Inc.**, as Lessee, as Administrator and as Finance Lease Guarantor, Avis Rent A Car System, Inc.****,</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bottom w:val="single" w:sz="8" w:color="0000FF"/>
            </w:tcBorders>
            <w:gridSpan w:val="42"/>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as Lessee, and Budget Rent A Car System, Inc., as Lessee (Incorporated by reference to Exhibit 10.30(a) to the Company’s Annual Report</w:t>
              </w:r>
            </w:hyperlink>
          </w:p>
        </w:tc>
        <w:tc>
          <w:tcPr>
            <w:tcW w:w="80" w:type="dxa"/>
            <w:vAlign w:val="bottom"/>
            <w:tcBorders>
              <w:bottom w:val="single" w:sz="8" w:color="0000FF"/>
            </w:tcBorders>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gridSpan w:val="46"/>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on Form 10-K for the year ended December 31, 2006, dated March 1, 2007).</w:t>
              </w:r>
            </w:hyperlink>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auto"/>
            </w:tcBorders>
          </w:tcPr>
          <w:p>
            <w:pPr>
              <w:jc w:val="right"/>
              <w:ind w:right="619"/>
              <w:spacing w:after="0"/>
              <w:rPr>
                <w:sz w:val="20"/>
                <w:szCs w:val="20"/>
                <w:color w:val="auto"/>
              </w:rPr>
            </w:pPr>
            <w:r>
              <w:rPr>
                <w:rFonts w:ascii="Arial" w:cs="Arial" w:eastAsia="Arial" w:hAnsi="Arial"/>
                <w:sz w:val="16"/>
                <w:szCs w:val="16"/>
                <w:color w:val="auto"/>
              </w:rPr>
              <w:t>10.44</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40" w:type="dxa"/>
            <w:vAlign w:val="bottom"/>
            <w:tcBorders>
              <w:top w:val="single" w:sz="8" w:color="auto"/>
              <w:right w:val="single" w:sz="8" w:color="auto"/>
            </w:tcBorders>
            <w:gridSpan w:val="42"/>
          </w:tcPr>
          <w:p>
            <w:pPr>
              <w:spacing w:after="0"/>
              <w:rPr>
                <w:rFonts w:ascii="Arial" w:cs="Arial" w:eastAsia="Arial" w:hAnsi="Arial"/>
                <w:sz w:val="16"/>
                <w:szCs w:val="16"/>
                <w:color w:val="0000FF"/>
              </w:rPr>
            </w:pPr>
            <w:hyperlink r:id="rId226">
              <w:r>
                <w:rPr>
                  <w:rFonts w:ascii="Arial" w:cs="Arial" w:eastAsia="Arial" w:hAnsi="Arial"/>
                  <w:sz w:val="16"/>
                  <w:szCs w:val="16"/>
                  <w:color w:val="0000FF"/>
                </w:rPr>
                <w:t>First Amendment, dated as of December 23, 2005, among AESOP Leasing L.P., as Lessor, Cendant Car Rental Group, Inc.**, as Lessee,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as Administrator and as Finance Lease Guarantor, Avis Rent A Car System, Inc.****, as Lessee, and Budget Rent A Car System, Inc., as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Lessee, to the Amended and Restated Master Motor Vehicle Finance Lease Agreement, dated as of June 3, 2004 (Incorporated by</w:t>
              </w:r>
            </w:hyperlink>
          </w:p>
        </w:tc>
        <w:tc>
          <w:tcPr>
            <w:tcW w:w="42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bottom w:val="single" w:sz="8" w:color="0000FF"/>
              <w:right w:val="single" w:sz="8" w:color="auto"/>
            </w:tcBorders>
            <w:gridSpan w:val="42"/>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reference to Exhibit 10.30(b) to the Company’s Annual Report on Form 10-K for the year ended December 31, 2006, dated March 1, 2007).</w:t>
              </w:r>
            </w:hyperlink>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260" w:type="dxa"/>
            <w:vAlign w:val="bottom"/>
            <w:tcBorders>
              <w:bottom w:val="single" w:sz="8" w:color="0000FF"/>
            </w:tcBorders>
            <w:gridSpan w:val="12"/>
          </w:tcPr>
          <w:p>
            <w:pPr>
              <w:spacing w:after="0" w:line="169" w:lineRule="exact"/>
              <w:rPr>
                <w:rFonts w:ascii="Arial" w:cs="Arial" w:eastAsia="Arial" w:hAnsi="Arial"/>
                <w:sz w:val="16"/>
                <w:szCs w:val="16"/>
                <w:color w:val="0000FF"/>
              </w:rPr>
            </w:pPr>
            <w:hyperlink r:id="rId227">
              <w:r>
                <w:rPr>
                  <w:rFonts w:ascii="Arial" w:cs="Arial" w:eastAsia="Arial" w:hAnsi="Arial"/>
                  <w:sz w:val="16"/>
                  <w:szCs w:val="16"/>
                  <w:color w:val="0000FF"/>
                </w:rPr>
                <w:t>Third Amendment, dated as of May 9, 2007, among AESOP Leasing L.P., as Lessor, Avis Budget Car Rental, LLC, as Lessee, as</w:t>
              </w:r>
            </w:hyperlink>
          </w:p>
        </w:tc>
        <w:tc>
          <w:tcPr>
            <w:tcW w:w="780" w:type="dxa"/>
            <w:vAlign w:val="bottom"/>
            <w:tcBorders>
              <w:right w:val="single" w:sz="8" w:color="auto"/>
            </w:tcBorders>
            <w:gridSpan w:val="30"/>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right w:val="single" w:sz="8" w:color="auto"/>
            </w:tcBorders>
            <w:gridSpan w:val="42"/>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Administrator and as Finance Lease Guarantor, Avis Rent A Car System, LLC, as Lessee, and Budget Rent A Car System, Inc., as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Lessee, to the Amended and Restated Master Motor Vehicle Finance Lease Agreement, dated as of June 3, 2004 (Incorporated by</w:t>
              </w:r>
            </w:hyperlink>
          </w:p>
        </w:tc>
        <w:tc>
          <w:tcPr>
            <w:tcW w:w="2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right w:val="single" w:sz="8" w:color="auto"/>
            </w:tcBorders>
            <w:gridSpan w:val="42"/>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reference to Exhibit 10.11 to the Company’s Quarterly Report on Form 10-Q for the quarterly period ended June 30, 2007, dated August 8,</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6"/>
              </w:rPr>
            </w:pPr>
            <w:hyperlink r:id="rId227">
              <w:r>
                <w:rPr>
                  <w:rFonts w:ascii="Arial" w:cs="Arial" w:eastAsia="Arial" w:hAnsi="Arial"/>
                  <w:sz w:val="16"/>
                  <w:szCs w:val="16"/>
                  <w:color w:val="0000FF"/>
                  <w:w w:val="96"/>
                </w:rPr>
                <w:t>2007).</w:t>
              </w:r>
            </w:hyperlink>
          </w:p>
        </w:tc>
        <w:tc>
          <w:tcPr>
            <w:tcW w:w="960" w:type="dxa"/>
            <w:vAlign w:val="bottom"/>
            <w:tcBorders>
              <w:top w:val="single" w:sz="8" w:color="0000FF"/>
            </w:tcBorders>
          </w:tcPr>
          <w:p>
            <w:pPr>
              <w:spacing w:after="0"/>
              <w:rPr>
                <w:sz w:val="12"/>
                <w:szCs w:val="12"/>
                <w:color w:val="auto"/>
              </w:rPr>
            </w:pPr>
          </w:p>
        </w:tc>
        <w:tc>
          <w:tcPr>
            <w:tcW w:w="172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220" w:type="dxa"/>
            <w:vAlign w:val="bottom"/>
            <w:tcBorders>
              <w:top w:val="single" w:sz="8" w:color="0000FF"/>
            </w:tcBorders>
          </w:tcPr>
          <w:p>
            <w:pPr>
              <w:spacing w:after="0"/>
              <w:rPr>
                <w:sz w:val="12"/>
                <w:szCs w:val="12"/>
                <w:color w:val="auto"/>
              </w:rPr>
            </w:pPr>
          </w:p>
        </w:tc>
        <w:tc>
          <w:tcPr>
            <w:tcW w:w="15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2"/>
          </w:tcPr>
          <w:p>
            <w:pPr>
              <w:spacing w:after="0" w:line="169" w:lineRule="exact"/>
              <w:rPr>
                <w:rFonts w:ascii="Arial" w:cs="Arial" w:eastAsia="Arial" w:hAnsi="Arial"/>
                <w:sz w:val="16"/>
                <w:szCs w:val="16"/>
                <w:color w:val="0000FF"/>
              </w:rPr>
            </w:pPr>
            <w:hyperlink r:id="rId228">
              <w:r>
                <w:rPr>
                  <w:rFonts w:ascii="Arial" w:cs="Arial" w:eastAsia="Arial" w:hAnsi="Arial"/>
                  <w:sz w:val="16"/>
                  <w:szCs w:val="16"/>
                  <w:color w:val="0000FF"/>
                </w:rPr>
                <w:t>Fourth Amendment, dated as of August 16, 2013, among AESOP Leasing L.P., as Lessor, Avis Budget Car Rental, LLC, as Lessee, as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28">
              <w:r>
                <w:rPr>
                  <w:rFonts w:ascii="Arial" w:cs="Arial" w:eastAsia="Arial" w:hAnsi="Arial"/>
                  <w:sz w:val="16"/>
                  <w:szCs w:val="16"/>
                  <w:color w:val="0000FF"/>
                </w:rPr>
                <w:t>Administrator and as Finance Lease Guarantor, Avis Rent A Car System, LLC, as Lessee, and Budget Rent A Car System, Inc., as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28">
              <w:r>
                <w:rPr>
                  <w:rFonts w:ascii="Arial" w:cs="Arial" w:eastAsia="Arial" w:hAnsi="Arial"/>
                  <w:sz w:val="16"/>
                  <w:szCs w:val="16"/>
                  <w:color w:val="0000FF"/>
                </w:rPr>
                <w:t>Lessee, to the Amended and Restated Master Motor Vehicle Finance Lease Agreement, dated as of June 3, 2004 (Incorporated by</w:t>
              </w:r>
            </w:hyperlink>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228">
              <w:r>
                <w:rPr>
                  <w:rFonts w:ascii="Arial" w:cs="Arial" w:eastAsia="Arial" w:hAnsi="Arial"/>
                  <w:sz w:val="16"/>
                  <w:szCs w:val="16"/>
                  <w:color w:val="0000FF"/>
                </w:rPr>
                <w:t>reference to Exhibit 10.39(c) to the Company’s Annual Report on Form 10-K for the year ended December 31, 2013, dated February</w:t>
              </w:r>
            </w:hyperlink>
          </w:p>
        </w:tc>
        <w:tc>
          <w:tcPr>
            <w:tcW w:w="360" w:type="dxa"/>
            <w:vAlign w:val="bottom"/>
            <w:tcBorders>
              <w:bottom w:val="single" w:sz="8" w:color="0000FF"/>
            </w:tcBorders>
            <w:gridSpan w:val="13"/>
          </w:tcPr>
          <w:p>
            <w:pPr>
              <w:jc w:val="right"/>
              <w:spacing w:after="0" w:line="142" w:lineRule="exact"/>
              <w:rPr>
                <w:rFonts w:ascii="Arial" w:cs="Arial" w:eastAsia="Arial" w:hAnsi="Arial"/>
                <w:sz w:val="16"/>
                <w:szCs w:val="16"/>
                <w:color w:val="0000FF"/>
              </w:rPr>
            </w:pPr>
            <w:hyperlink r:id="rId228">
              <w:r>
                <w:rPr>
                  <w:rFonts w:ascii="Arial" w:cs="Arial" w:eastAsia="Arial" w:hAnsi="Arial"/>
                  <w:sz w:val="16"/>
                  <w:szCs w:val="16"/>
                  <w:color w:val="0000FF"/>
                </w:rPr>
                <w:t>20,</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bottom w:val="single" w:sz="8" w:color="0000FF"/>
            </w:tcBorders>
          </w:tcPr>
          <w:p>
            <w:pPr>
              <w:spacing w:after="0" w:line="142" w:lineRule="exact"/>
              <w:rPr>
                <w:rFonts w:ascii="Arial" w:cs="Arial" w:eastAsia="Arial" w:hAnsi="Arial"/>
                <w:sz w:val="16"/>
                <w:szCs w:val="16"/>
                <w:color w:val="0000FF"/>
                <w:w w:val="96"/>
              </w:rPr>
            </w:pPr>
            <w:hyperlink r:id="rId228">
              <w:r>
                <w:rPr>
                  <w:rFonts w:ascii="Arial" w:cs="Arial" w:eastAsia="Arial" w:hAnsi="Arial"/>
                  <w:sz w:val="16"/>
                  <w:szCs w:val="16"/>
                  <w:color w:val="0000FF"/>
                  <w:w w:val="96"/>
                </w:rPr>
                <w:t>2014).</w:t>
              </w:r>
            </w:hyperlink>
          </w:p>
        </w:tc>
        <w:tc>
          <w:tcPr>
            <w:tcW w:w="9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280" w:type="dxa"/>
            <w:vAlign w:val="bottom"/>
            <w:tcBorders>
              <w:bottom w:val="single" w:sz="8" w:color="0000FF"/>
            </w:tcBorders>
            <w:gridSpan w:val="13"/>
          </w:tcPr>
          <w:p>
            <w:pPr>
              <w:spacing w:after="0" w:line="169" w:lineRule="exact"/>
              <w:rPr>
                <w:rFonts w:ascii="Arial" w:cs="Arial" w:eastAsia="Arial" w:hAnsi="Arial"/>
                <w:sz w:val="16"/>
                <w:szCs w:val="16"/>
                <w:color w:val="0000FF"/>
              </w:rPr>
            </w:pPr>
            <w:hyperlink r:id="rId229">
              <w:r>
                <w:rPr>
                  <w:rFonts w:ascii="Arial" w:cs="Arial" w:eastAsia="Arial" w:hAnsi="Arial"/>
                  <w:sz w:val="16"/>
                  <w:szCs w:val="16"/>
                  <w:color w:val="0000FF"/>
                </w:rPr>
                <w:t>Fifth Amendment, dated as of July 28, 2022, among AESOP Leasing L.P., as Lessor, Avis Budget Car Rental, LLC, as Lessee, as</w:t>
              </w:r>
            </w:hyperlink>
          </w:p>
        </w:tc>
        <w:tc>
          <w:tcPr>
            <w:tcW w:w="760" w:type="dxa"/>
            <w:vAlign w:val="bottom"/>
            <w:tcBorders>
              <w:right w:val="single" w:sz="8" w:color="auto"/>
            </w:tcBorders>
            <w:gridSpan w:val="29"/>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right w:val="single" w:sz="8" w:color="auto"/>
            </w:tcBorders>
            <w:gridSpan w:val="42"/>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Administrator and as Finance Lease Guarantor, Avis Rent A Car System, LLC, as Lessee, and Budget Rent A Car System, Inc., as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Lessee, to the Amended and Restated Master Motor Vehicle Finance Lease Agreement, dated as of June 3, 2004 (Incorporated by</w:t>
              </w:r>
            </w:hyperlink>
          </w:p>
        </w:tc>
        <w:tc>
          <w:tcPr>
            <w:tcW w:w="2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right w:val="single" w:sz="8" w:color="auto"/>
            </w:tcBorders>
            <w:gridSpan w:val="42"/>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reference to Exhibit 10.4 to the Company’s Quarterly Report on Form 10-Q for the quarterly period ended September 30, 2022, dated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November 1, 2022).</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2"/>
          </w:tcPr>
          <w:p>
            <w:pPr>
              <w:spacing w:after="0" w:line="169" w:lineRule="exact"/>
              <w:rPr>
                <w:rFonts w:ascii="Arial" w:cs="Arial" w:eastAsia="Arial" w:hAnsi="Arial"/>
                <w:sz w:val="16"/>
                <w:szCs w:val="16"/>
                <w:color w:val="0000FF"/>
              </w:rPr>
            </w:pPr>
            <w:hyperlink r:id="rId230">
              <w:r>
                <w:rPr>
                  <w:rFonts w:ascii="Arial" w:cs="Arial" w:eastAsia="Arial" w:hAnsi="Arial"/>
                  <w:sz w:val="16"/>
                  <w:szCs w:val="16"/>
                  <w:color w:val="0000FF"/>
                </w:rPr>
                <w:t>AESOP I Operating Sublease Agreement dated as of March 26, 2013 between Zipcar, Inc., as Sublessee and Avis Budget Car Rental,</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30">
              <w:r>
                <w:rPr>
                  <w:rFonts w:ascii="Arial" w:cs="Arial" w:eastAsia="Arial" w:hAnsi="Arial"/>
                  <w:sz w:val="16"/>
                  <w:szCs w:val="16"/>
                  <w:color w:val="0000FF"/>
                </w:rPr>
                <w:t>LLC, as Sublessor (Incorporated by reference to Exhibit 10.1 to the Company’s Quarterly Report on Form 10-Q for the quarterly period</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30">
              <w:r>
                <w:rPr>
                  <w:rFonts w:ascii="Arial" w:cs="Arial" w:eastAsia="Arial" w:hAnsi="Arial"/>
                  <w:sz w:val="16"/>
                  <w:szCs w:val="16"/>
                  <w:color w:val="0000FF"/>
                </w:rPr>
                <w:t>ended March 31, 2013, dated May 8, 2013).</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2"/>
          </w:tcPr>
          <w:p>
            <w:pPr>
              <w:spacing w:after="0" w:line="169" w:lineRule="exact"/>
              <w:rPr>
                <w:rFonts w:ascii="Arial" w:cs="Arial" w:eastAsia="Arial" w:hAnsi="Arial"/>
                <w:sz w:val="16"/>
                <w:szCs w:val="16"/>
                <w:color w:val="0000FF"/>
              </w:rPr>
            </w:pPr>
            <w:hyperlink r:id="rId231">
              <w:r>
                <w:rPr>
                  <w:rFonts w:ascii="Arial" w:cs="Arial" w:eastAsia="Arial" w:hAnsi="Arial"/>
                  <w:sz w:val="16"/>
                  <w:szCs w:val="16"/>
                  <w:color w:val="0000FF"/>
                </w:rPr>
                <w:t>Second Amended and Restated Administration Agreement, dated as of June 3, 2004, among Cendant Rental Car Funding (AESOP)</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LLC***, AESOP Leasing L.P., AESOP Leasing Corp. II, Avis Rent A Car System, Inc.****, Budget Rent A Car System, Inc., Cendant</w:t>
              </w:r>
            </w:hyperlink>
          </w:p>
        </w:tc>
        <w:tc>
          <w:tcPr>
            <w:tcW w:w="560" w:type="dxa"/>
            <w:vAlign w:val="bottom"/>
            <w:tcBorders>
              <w:right w:val="single" w:sz="8" w:color="auto"/>
            </w:tcBorders>
            <w:gridSpan w:val="25"/>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Car</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bottom w:val="single" w:sz="8" w:color="0000FF"/>
            </w:tcBorders>
            <w:gridSpan w:val="28"/>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Rental Group, Inc.** and The Bank of New York, as Trustee (Incorporated by reference to Exhibit 10.34 to the Company’s Annual Report</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gridSpan w:val="30"/>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on Form 10-K for the year ended December 31, 2005, dated March 1, 2006).</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bottom w:val="single" w:sz="8" w:color="0000FF"/>
            </w:tcBorders>
            <w:gridSpan w:val="21"/>
          </w:tcPr>
          <w:p>
            <w:pPr>
              <w:spacing w:after="0" w:line="169" w:lineRule="exact"/>
              <w:rPr>
                <w:rFonts w:ascii="Arial" w:cs="Arial" w:eastAsia="Arial" w:hAnsi="Arial"/>
                <w:sz w:val="16"/>
                <w:szCs w:val="16"/>
                <w:color w:val="0000FF"/>
              </w:rPr>
            </w:pPr>
            <w:hyperlink r:id="rId232">
              <w:r>
                <w:rPr>
                  <w:rFonts w:ascii="Arial" w:cs="Arial" w:eastAsia="Arial" w:hAnsi="Arial"/>
                  <w:sz w:val="16"/>
                  <w:szCs w:val="16"/>
                  <w:color w:val="0000FF"/>
                </w:rPr>
                <w:t>First Amendment, dated as of August 16, 2013, among Avis Budget Rental Car Funding (AESOP) LLC, AESOP Leasing L.P., AESOP</w:t>
              </w:r>
            </w:hyperlink>
          </w:p>
        </w:tc>
        <w:tc>
          <w:tcPr>
            <w:tcW w:w="460" w:type="dxa"/>
            <w:vAlign w:val="bottom"/>
            <w:tcBorders>
              <w:right w:val="single" w:sz="8" w:color="auto"/>
            </w:tcBorders>
            <w:gridSpan w:val="21"/>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right w:val="single" w:sz="8" w:color="auto"/>
            </w:tcBorders>
            <w:gridSpan w:val="42"/>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Leasing Corp. II, Avis Rent A Car System, LLC, Budget Rent A Car System, Inc. and Avis Budget Car Rental, LLC, as Administrator, to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41"/>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Second Amended and Restated Administration Agreement dated as of June 3, 2004 (Incorporated by reference to Exhibit 10.41(a) to the</w:t>
              </w:r>
            </w:hyperlink>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Company’s Annual Report on Form 10-K for the year ended December 31, 2013, dated February 20, 2014).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222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2"/>
          </w:tcPr>
          <w:p>
            <w:pPr>
              <w:spacing w:after="0" w:line="169" w:lineRule="exact"/>
              <w:rPr>
                <w:rFonts w:ascii="Arial" w:cs="Arial" w:eastAsia="Arial" w:hAnsi="Arial"/>
                <w:sz w:val="16"/>
                <w:szCs w:val="16"/>
                <w:color w:val="0000FF"/>
              </w:rPr>
            </w:pPr>
            <w:hyperlink r:id="rId233">
              <w:r>
                <w:rPr>
                  <w:rFonts w:ascii="Arial" w:cs="Arial" w:eastAsia="Arial" w:hAnsi="Arial"/>
                  <w:sz w:val="16"/>
                  <w:szCs w:val="16"/>
                  <w:color w:val="0000FF"/>
                </w:rPr>
                <w:t>Fifth Amended and Restated Series 2010-6 Supplement, dated as of April 14, 2022, by and among Avis Budget Rental Car Funding</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(AESOP) LLC, as Issuer, Avis Budget Car Rental, LLC, as Administrator, JPMorgan Chase Bank, N.A., as Administrative Agent, the</w:t>
              </w:r>
            </w:hyperlink>
          </w:p>
        </w:tc>
        <w:tc>
          <w:tcPr>
            <w:tcW w:w="620" w:type="dxa"/>
            <w:vAlign w:val="bottom"/>
            <w:tcBorders>
              <w:right w:val="single" w:sz="8" w:color="auto"/>
            </w:tcBorders>
            <w:gridSpan w:val="26"/>
          </w:tcPr>
          <w:p>
            <w:pPr>
              <w:jc w:val="right"/>
              <w:ind w:right="220"/>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Non-</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bottom w:val="single" w:sz="8" w:color="0000FF"/>
            </w:tcBorders>
            <w:gridSpan w:val="33"/>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Conduit Purchasers, the CP Conduit Purchasers, the Committed Note Purchasers, the APA Banks and the Funding Agents named therein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bottom w:val="single" w:sz="8" w:color="0000FF"/>
            </w:tcBorders>
            <w:gridSpan w:val="38"/>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and The Bank of New York Mellon Trust Company, N.A., as Trustee and as Series 2010-6 Agent (Incorporated by reference to Exhibit 10.2</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gridSpan w:val="40"/>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to the Company’s Current Report on Form 8-K, dated April 19, 2022).</w:t>
              </w:r>
            </w:hyperlink>
          </w:p>
        </w:tc>
        <w:tc>
          <w:tcPr>
            <w:tcW w:w="6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2"/>
          </w:tcPr>
          <w:p>
            <w:pPr>
              <w:spacing w:after="0" w:line="169" w:lineRule="exact"/>
              <w:rPr>
                <w:rFonts w:ascii="Arial" w:cs="Arial" w:eastAsia="Arial" w:hAnsi="Arial"/>
                <w:sz w:val="16"/>
                <w:szCs w:val="16"/>
                <w:color w:val="0000FF"/>
              </w:rPr>
            </w:pPr>
            <w:hyperlink r:id="rId234">
              <w:r>
                <w:rPr>
                  <w:rFonts w:ascii="Arial" w:cs="Arial" w:eastAsia="Arial" w:hAnsi="Arial"/>
                  <w:sz w:val="16"/>
                  <w:szCs w:val="16"/>
                  <w:color w:val="0000FF"/>
                </w:rPr>
                <w:t>Third Amended and Restated Series 2015-3 Supplement, dated as of April 14, 2022, by and among Avis Budget Rental Car Funding</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(AESOP) LLC, as Issuer, Avis Budget Car Rental, LLC, as Administrator, JPMorgan Chase Bank, N.A., as Administrative Agent, the</w:t>
              </w:r>
            </w:hyperlink>
          </w:p>
        </w:tc>
        <w:tc>
          <w:tcPr>
            <w:tcW w:w="540" w:type="dxa"/>
            <w:vAlign w:val="bottom"/>
            <w:tcBorders>
              <w:right w:val="single" w:sz="8" w:color="auto"/>
            </w:tcBorders>
            <w:gridSpan w:val="24"/>
          </w:tcPr>
          <w:p>
            <w:pPr>
              <w:jc w:val="right"/>
              <w:ind w:right="220"/>
              <w:spacing w:after="0" w:line="142" w:lineRule="exact"/>
              <w:rPr>
                <w:rFonts w:ascii="Arial" w:cs="Arial" w:eastAsia="Arial" w:hAnsi="Arial"/>
                <w:sz w:val="16"/>
                <w:szCs w:val="16"/>
                <w:color w:val="0000FF"/>
                <w:w w:val="86"/>
              </w:rPr>
            </w:pPr>
            <w:hyperlink r:id="rId234">
              <w:r>
                <w:rPr>
                  <w:rFonts w:ascii="Arial" w:cs="Arial" w:eastAsia="Arial" w:hAnsi="Arial"/>
                  <w:sz w:val="16"/>
                  <w:szCs w:val="16"/>
                  <w:color w:val="0000FF"/>
                  <w:w w:val="86"/>
                </w:rPr>
                <w:t>Non-</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Conduit Purchasers, the CP Conduit Purchasers, the Committed Note Purchasers, the APA Banks and the Funding Agents named therein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and The Bank of New York Mellon Trust Company, N.A., as Trustee and as Series 2015-3 Agent (Incorporated by reference to Exhibit 10.3</w:t>
              </w:r>
            </w:hyperlink>
          </w:p>
        </w:tc>
        <w:tc>
          <w:tcPr>
            <w:tcW w:w="20" w:type="dxa"/>
            <w:vAlign w:val="bottom"/>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to the Company’s Current Report on Form 8-K, dated April 19, 2022).</w:t>
              </w:r>
            </w:hyperlink>
          </w:p>
        </w:tc>
        <w:tc>
          <w:tcPr>
            <w:tcW w:w="6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2"/>
          </w:tcPr>
          <w:p>
            <w:pPr>
              <w:spacing w:after="0" w:line="169" w:lineRule="exact"/>
              <w:rPr>
                <w:rFonts w:ascii="Arial" w:cs="Arial" w:eastAsia="Arial" w:hAnsi="Arial"/>
                <w:sz w:val="16"/>
                <w:szCs w:val="16"/>
                <w:color w:val="0000FF"/>
              </w:rPr>
            </w:pPr>
            <w:hyperlink r:id="rId235">
              <w:r>
                <w:rPr>
                  <w:rFonts w:ascii="Arial" w:cs="Arial" w:eastAsia="Arial" w:hAnsi="Arial"/>
                  <w:sz w:val="16"/>
                  <w:szCs w:val="16"/>
                  <w:color w:val="0000FF"/>
                </w:rPr>
                <w:t>Series 2017-1 Supplement, dated as of March 15, 2017, between Avis Budget Rental Car Funding (AESOP) LLC and The Bank of New</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35">
              <w:r>
                <w:rPr>
                  <w:rFonts w:ascii="Arial" w:cs="Arial" w:eastAsia="Arial" w:hAnsi="Arial"/>
                  <w:sz w:val="16"/>
                  <w:szCs w:val="16"/>
                  <w:color w:val="0000FF"/>
                </w:rPr>
                <w:t>York Mellon Trust Company, N.A., as trustee and as Series 2017-1 Agent (Incorporated by reference to Exhibit 10.1 to the Company’s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35">
              <w:r>
                <w:rPr>
                  <w:rFonts w:ascii="Arial" w:cs="Arial" w:eastAsia="Arial" w:hAnsi="Arial"/>
                  <w:sz w:val="16"/>
                  <w:szCs w:val="16"/>
                  <w:color w:val="0000FF"/>
                </w:rPr>
                <w:t>Current Report on Form 8-K dated March 21, 2017).</w:t>
              </w:r>
            </w:hyperlink>
          </w:p>
        </w:tc>
        <w:tc>
          <w:tcPr>
            <w:tcW w:w="14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2"/>
          </w:tcPr>
          <w:p>
            <w:pPr>
              <w:spacing w:after="0" w:line="169" w:lineRule="exact"/>
              <w:rPr>
                <w:rFonts w:ascii="Arial" w:cs="Arial" w:eastAsia="Arial" w:hAnsi="Arial"/>
                <w:sz w:val="16"/>
                <w:szCs w:val="16"/>
                <w:color w:val="0000FF"/>
              </w:rPr>
            </w:pPr>
            <w:hyperlink r:id="rId236">
              <w:r>
                <w:rPr>
                  <w:rFonts w:ascii="Arial" w:cs="Arial" w:eastAsia="Arial" w:hAnsi="Arial"/>
                  <w:sz w:val="16"/>
                  <w:szCs w:val="16"/>
                  <w:color w:val="0000FF"/>
                </w:rPr>
                <w:t>Amended and Restated Series 2017-2 Supplement, dated as of May 31, 2022, between Avis Budget Rental Car Funding (AESOP) LLC</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36">
              <w:r>
                <w:rPr>
                  <w:rFonts w:ascii="Arial" w:cs="Arial" w:eastAsia="Arial" w:hAnsi="Arial"/>
                  <w:sz w:val="16"/>
                  <w:szCs w:val="16"/>
                  <w:color w:val="0000FF"/>
                </w:rPr>
                <w:t>and The Bank of New York Mellon Trust Company, N.A., as trustee and Series 2017-2 Agent (Incorporated by reference to Exhibit 10.3</w:t>
              </w:r>
            </w:hyperlink>
          </w:p>
        </w:tc>
        <w:tc>
          <w:tcPr>
            <w:tcW w:w="360" w:type="dxa"/>
            <w:vAlign w:val="bottom"/>
            <w:tcBorders>
              <w:right w:val="single" w:sz="8" w:color="auto"/>
            </w:tcBorders>
            <w:gridSpan w:val="17"/>
          </w:tcPr>
          <w:p>
            <w:pPr>
              <w:jc w:val="right"/>
              <w:ind w:right="220"/>
              <w:spacing w:after="0" w:line="142" w:lineRule="exact"/>
              <w:rPr>
                <w:rFonts w:ascii="Arial" w:cs="Arial" w:eastAsia="Arial" w:hAnsi="Arial"/>
                <w:sz w:val="16"/>
                <w:szCs w:val="16"/>
                <w:color w:val="0000FF"/>
                <w:w w:val="89"/>
              </w:rPr>
            </w:pPr>
            <w:hyperlink r:id="rId236">
              <w:r>
                <w:rPr>
                  <w:rFonts w:ascii="Arial" w:cs="Arial" w:eastAsia="Arial" w:hAnsi="Arial"/>
                  <w:sz w:val="16"/>
                  <w:szCs w:val="16"/>
                  <w:color w:val="0000FF"/>
                  <w:w w:val="89"/>
                </w:rPr>
                <w:t>to</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236">
              <w:r>
                <w:rPr>
                  <w:rFonts w:ascii="Arial" w:cs="Arial" w:eastAsia="Arial" w:hAnsi="Arial"/>
                  <w:sz w:val="16"/>
                  <w:szCs w:val="16"/>
                  <w:color w:val="0000FF"/>
                </w:rPr>
                <w:t>the Company’s Current Report on Form 8-K, dated June 10, 2022).</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2"/>
          </w:tcPr>
          <w:p>
            <w:pPr>
              <w:spacing w:after="0" w:line="169" w:lineRule="exact"/>
              <w:rPr>
                <w:rFonts w:ascii="Arial" w:cs="Arial" w:eastAsia="Arial" w:hAnsi="Arial"/>
                <w:sz w:val="16"/>
                <w:szCs w:val="16"/>
                <w:color w:val="0000FF"/>
              </w:rPr>
            </w:pPr>
            <w:hyperlink r:id="rId237">
              <w:r>
                <w:rPr>
                  <w:rFonts w:ascii="Arial" w:cs="Arial" w:eastAsia="Arial" w:hAnsi="Arial"/>
                  <w:sz w:val="16"/>
                  <w:szCs w:val="16"/>
                  <w:color w:val="0000FF"/>
                </w:rPr>
                <w:t>Amended and Restated Series 2018-1 Supplement, dated as of May 31, 2022, between Avis Budget Rental Car Funding (AESOP) LLC</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37">
              <w:r>
                <w:rPr>
                  <w:rFonts w:ascii="Arial" w:cs="Arial" w:eastAsia="Arial" w:hAnsi="Arial"/>
                  <w:sz w:val="16"/>
                  <w:szCs w:val="16"/>
                  <w:color w:val="0000FF"/>
                </w:rPr>
                <w:t>and The Bank of New York Mellon Trust Company, N.A., as trustee and Series 2018-1 Agent (Incorporated by reference to Exhibit 10.4</w:t>
              </w:r>
            </w:hyperlink>
          </w:p>
        </w:tc>
        <w:tc>
          <w:tcPr>
            <w:tcW w:w="340" w:type="dxa"/>
            <w:vAlign w:val="bottom"/>
            <w:tcBorders>
              <w:right w:val="single" w:sz="8" w:color="auto"/>
            </w:tcBorders>
            <w:gridSpan w:val="16"/>
          </w:tcPr>
          <w:p>
            <w:pPr>
              <w:jc w:val="right"/>
              <w:ind w:right="220"/>
              <w:spacing w:after="0" w:line="142" w:lineRule="exact"/>
              <w:rPr>
                <w:rFonts w:ascii="Arial" w:cs="Arial" w:eastAsia="Arial" w:hAnsi="Arial"/>
                <w:sz w:val="16"/>
                <w:szCs w:val="16"/>
                <w:color w:val="0000FF"/>
                <w:w w:val="74"/>
              </w:rPr>
            </w:pPr>
            <w:hyperlink r:id="rId237">
              <w:r>
                <w:rPr>
                  <w:rFonts w:ascii="Arial" w:cs="Arial" w:eastAsia="Arial" w:hAnsi="Arial"/>
                  <w:sz w:val="16"/>
                  <w:szCs w:val="16"/>
                  <w:color w:val="0000FF"/>
                  <w:w w:val="74"/>
                </w:rPr>
                <w:t>to</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37">
              <w:r>
                <w:rPr>
                  <w:rFonts w:ascii="Arial" w:cs="Arial" w:eastAsia="Arial" w:hAnsi="Arial"/>
                  <w:sz w:val="16"/>
                  <w:szCs w:val="16"/>
                  <w:color w:val="0000FF"/>
                </w:rPr>
                <w:t>the Company’s Current Report on Form 8-K, dated June 10, 2022).</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tcBorders>
              <w:bottom w:val="single" w:sz="8" w:color="0000FF"/>
            </w:tcBorders>
            <w:gridSpan w:val="29"/>
          </w:tcPr>
          <w:p>
            <w:pPr>
              <w:spacing w:after="0" w:line="169" w:lineRule="exact"/>
              <w:rPr>
                <w:rFonts w:ascii="Arial" w:cs="Arial" w:eastAsia="Arial" w:hAnsi="Arial"/>
                <w:sz w:val="16"/>
                <w:szCs w:val="16"/>
                <w:color w:val="0000FF"/>
              </w:rPr>
            </w:pPr>
            <w:hyperlink r:id="rId238">
              <w:r>
                <w:rPr>
                  <w:rFonts w:ascii="Arial" w:cs="Arial" w:eastAsia="Arial" w:hAnsi="Arial"/>
                  <w:sz w:val="16"/>
                  <w:szCs w:val="16"/>
                  <w:color w:val="0000FF"/>
                </w:rPr>
                <w:t>Amended and Restated Series 2018-2 Supplement, dated as of June 18, 2021, between Avis Budget Rental Car Funding (AESOP) LLC</w:t>
              </w:r>
            </w:hyperlink>
          </w:p>
        </w:tc>
        <w:tc>
          <w:tcPr>
            <w:tcW w:w="280" w:type="dxa"/>
            <w:vAlign w:val="bottom"/>
            <w:tcBorders>
              <w:right w:val="single" w:sz="8" w:color="auto"/>
            </w:tcBorders>
            <w:gridSpan w:val="13"/>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right w:val="single" w:sz="8" w:color="auto"/>
            </w:tcBorders>
            <w:gridSpan w:val="42"/>
          </w:tcPr>
          <w:p>
            <w:pPr>
              <w:spacing w:after="0" w:line="142" w:lineRule="exact"/>
              <w:rPr>
                <w:rFonts w:ascii="Arial" w:cs="Arial" w:eastAsia="Arial" w:hAnsi="Arial"/>
                <w:sz w:val="16"/>
                <w:szCs w:val="16"/>
                <w:color w:val="0000FF"/>
              </w:rPr>
            </w:pPr>
            <w:hyperlink r:id="rId238">
              <w:r>
                <w:rPr>
                  <w:rFonts w:ascii="Arial" w:cs="Arial" w:eastAsia="Arial" w:hAnsi="Arial"/>
                  <w:sz w:val="16"/>
                  <w:szCs w:val="16"/>
                  <w:color w:val="0000FF"/>
                </w:rPr>
                <w:t>and The Bank of New York Mellon Trust Company, N.A., as trustee and as Series 2018-2 Agent (Incorporated by reference to Exhibit 10.1</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238">
              <w:r>
                <w:rPr>
                  <w:rFonts w:ascii="Arial" w:cs="Arial" w:eastAsia="Arial" w:hAnsi="Arial"/>
                  <w:sz w:val="16"/>
                  <w:szCs w:val="16"/>
                  <w:color w:val="0000FF"/>
                </w:rPr>
                <w:t>to the Company’s Current Report on Form 8-K, dated June 23, 2021).</w:t>
              </w:r>
            </w:hyperlink>
          </w:p>
        </w:tc>
        <w:tc>
          <w:tcPr>
            <w:tcW w:w="40" w:type="dxa"/>
            <w:vAlign w:val="bottom"/>
            <w:gridSpan w:val="2"/>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2"/>
          </w:tcPr>
          <w:p>
            <w:pPr>
              <w:spacing w:after="0" w:line="169" w:lineRule="exact"/>
              <w:rPr>
                <w:rFonts w:ascii="Arial" w:cs="Arial" w:eastAsia="Arial" w:hAnsi="Arial"/>
                <w:sz w:val="16"/>
                <w:szCs w:val="16"/>
                <w:color w:val="0000FF"/>
              </w:rPr>
            </w:pPr>
            <w:hyperlink r:id="rId239">
              <w:r>
                <w:rPr>
                  <w:rFonts w:ascii="Arial" w:cs="Arial" w:eastAsia="Arial" w:hAnsi="Arial"/>
                  <w:sz w:val="16"/>
                  <w:szCs w:val="16"/>
                  <w:color w:val="0000FF"/>
                </w:rPr>
                <w:t>Series 2019-1 Supplement, dated as of February 13, 2019, between Avis Budget Rental Car Funding (AESOP) LLC and The Bank of New</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239">
              <w:r>
                <w:rPr>
                  <w:rFonts w:ascii="Arial" w:cs="Arial" w:eastAsia="Arial" w:hAnsi="Arial"/>
                  <w:sz w:val="16"/>
                  <w:szCs w:val="16"/>
                  <w:color w:val="0000FF"/>
                </w:rPr>
                <w:t>York Mellon Trust Company, N.A., as trustee and as Series 2019-1 Agent (Incorporated by reference to Exhibit 10.1 to the Company’s</w:t>
              </w:r>
            </w:hyperlink>
          </w:p>
        </w:tc>
        <w:tc>
          <w:tcPr>
            <w:tcW w:w="80" w:type="dxa"/>
            <w:vAlign w:val="bottom"/>
            <w:tcBorders>
              <w:right w:val="single" w:sz="8" w:color="auto"/>
            </w:tcBorders>
            <w:gridSpan w:val="3"/>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39">
              <w:r>
                <w:rPr>
                  <w:rFonts w:ascii="Arial" w:cs="Arial" w:eastAsia="Arial" w:hAnsi="Arial"/>
                  <w:sz w:val="16"/>
                  <w:szCs w:val="16"/>
                  <w:color w:val="0000FF"/>
                </w:rPr>
                <w:t>Current Report on Form 8-K dated February 20, 2019).</w:t>
              </w:r>
            </w:hyperlink>
          </w:p>
        </w:tc>
        <w:tc>
          <w:tcPr>
            <w:tcW w:w="160" w:type="dxa"/>
            <w:vAlign w:val="bottom"/>
            <w:gridSpan w:val="7"/>
          </w:tcPr>
          <w:p>
            <w:pPr>
              <w:spacing w:after="0"/>
              <w:rPr>
                <w:sz w:val="12"/>
                <w:szCs w:val="12"/>
                <w:color w:val="auto"/>
              </w:rPr>
            </w:pPr>
          </w:p>
        </w:tc>
        <w:tc>
          <w:tcPr>
            <w:tcW w:w="320" w:type="dxa"/>
            <w:vAlign w:val="bottom"/>
            <w:tcBorders>
              <w:right w:val="single" w:sz="8" w:color="auto"/>
            </w:tcBorders>
            <w:gridSpan w:val="15"/>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20" w:type="dxa"/>
            <w:vAlign w:val="bottom"/>
            <w:tcBorders>
              <w:bottom w:val="single" w:sz="8" w:color="0000FF"/>
            </w:tcBorders>
            <w:gridSpan w:val="27"/>
          </w:tcPr>
          <w:p>
            <w:pPr>
              <w:spacing w:after="0" w:line="169" w:lineRule="exact"/>
              <w:rPr>
                <w:rFonts w:ascii="Arial" w:cs="Arial" w:eastAsia="Arial" w:hAnsi="Arial"/>
                <w:sz w:val="16"/>
                <w:szCs w:val="16"/>
                <w:color w:val="0000FF"/>
              </w:rPr>
            </w:pPr>
            <w:hyperlink r:id="rId240">
              <w:r>
                <w:rPr>
                  <w:rFonts w:ascii="Arial" w:cs="Arial" w:eastAsia="Arial" w:hAnsi="Arial"/>
                  <w:sz w:val="16"/>
                  <w:szCs w:val="16"/>
                  <w:color w:val="0000FF"/>
                </w:rPr>
                <w:t>Amended and Restated Series 2019-2 Supplement, dated as of June 18, 2021 between Avis Budget Rental Car Funding (AESOP) LLC</w:t>
              </w:r>
            </w:hyperlink>
          </w:p>
        </w:tc>
        <w:tc>
          <w:tcPr>
            <w:tcW w:w="320" w:type="dxa"/>
            <w:vAlign w:val="bottom"/>
            <w:tcBorders>
              <w:right w:val="single" w:sz="8" w:color="auto"/>
            </w:tcBorders>
            <w:gridSpan w:val="15"/>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right w:val="single" w:sz="8" w:color="auto"/>
            </w:tcBorders>
            <w:gridSpan w:val="42"/>
          </w:tcPr>
          <w:p>
            <w:pPr>
              <w:spacing w:after="0" w:line="142" w:lineRule="exact"/>
              <w:rPr>
                <w:rFonts w:ascii="Arial" w:cs="Arial" w:eastAsia="Arial" w:hAnsi="Arial"/>
                <w:sz w:val="16"/>
                <w:szCs w:val="16"/>
                <w:color w:val="0000FF"/>
              </w:rPr>
            </w:pPr>
            <w:hyperlink r:id="rId240">
              <w:r>
                <w:rPr>
                  <w:rFonts w:ascii="Arial" w:cs="Arial" w:eastAsia="Arial" w:hAnsi="Arial"/>
                  <w:sz w:val="16"/>
                  <w:szCs w:val="16"/>
                  <w:color w:val="0000FF"/>
                </w:rPr>
                <w:t>and The Bank of New York Mellon Trust Company, N.A., as trustee and as Series 2019-2 Agent (Incorporated by reference to Exhibit 10.2</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240">
              <w:r>
                <w:rPr>
                  <w:rFonts w:ascii="Arial" w:cs="Arial" w:eastAsia="Arial" w:hAnsi="Arial"/>
                  <w:sz w:val="16"/>
                  <w:szCs w:val="16"/>
                  <w:color w:val="0000FF"/>
                </w:rPr>
                <w:t>to the Company’s Current Report on Form 8-K dated June 23, 2021).</w:t>
              </w:r>
            </w:hyperlink>
          </w:p>
        </w:tc>
        <w:tc>
          <w:tcPr>
            <w:tcW w:w="120" w:type="dxa"/>
            <w:vAlign w:val="bottom"/>
            <w:tcBorders>
              <w:right w:val="single" w:sz="8" w:color="auto"/>
            </w:tcBorders>
            <w:gridSpan w:val="5"/>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auto"/>
            </w:tcBorders>
          </w:tcPr>
          <w:p>
            <w:pPr>
              <w:jc w:val="right"/>
              <w:ind w:right="619"/>
              <w:spacing w:after="0"/>
              <w:rPr>
                <w:sz w:val="20"/>
                <w:szCs w:val="20"/>
                <w:color w:val="auto"/>
              </w:rPr>
            </w:pPr>
            <w:r>
              <w:rPr>
                <w:rFonts w:ascii="Arial" w:cs="Arial" w:eastAsia="Arial" w:hAnsi="Arial"/>
                <w:sz w:val="16"/>
                <w:szCs w:val="16"/>
                <w:color w:val="auto"/>
              </w:rPr>
              <w:t>10.59</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60" w:type="dxa"/>
            <w:vAlign w:val="bottom"/>
            <w:tcBorders>
              <w:top w:val="single" w:sz="8" w:color="auto"/>
              <w:right w:val="single" w:sz="8" w:color="auto"/>
            </w:tcBorders>
            <w:gridSpan w:val="44"/>
          </w:tcPr>
          <w:p>
            <w:pPr>
              <w:spacing w:after="0"/>
              <w:rPr>
                <w:rFonts w:ascii="Arial" w:cs="Arial" w:eastAsia="Arial" w:hAnsi="Arial"/>
                <w:sz w:val="16"/>
                <w:szCs w:val="16"/>
                <w:color w:val="0000FF"/>
              </w:rPr>
            </w:pPr>
            <w:hyperlink r:id="rId242">
              <w:r>
                <w:rPr>
                  <w:rFonts w:ascii="Arial" w:cs="Arial" w:eastAsia="Arial" w:hAnsi="Arial"/>
                  <w:sz w:val="16"/>
                  <w:szCs w:val="16"/>
                  <w:color w:val="0000FF"/>
                </w:rPr>
                <w:t>Amended and Restated Series 2019-3 Supplement, dated as of May 26, 2022, between Avis Budget Rental Car Funding (AESOP) LLC</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and The Bank of New York Mellon Trust Company, N.A., as trustee and Series 2019-3 Agent (Incorporated by reference to Exhibit 10.2</w:t>
              </w:r>
            </w:hyperlink>
          </w:p>
        </w:tc>
        <w:tc>
          <w:tcPr>
            <w:tcW w:w="360" w:type="dxa"/>
            <w:vAlign w:val="bottom"/>
            <w:tcBorders>
              <w:right w:val="single" w:sz="8" w:color="auto"/>
            </w:tcBorders>
            <w:gridSpan w:val="17"/>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to</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the Company’s Current Report on Form 8-K, dated June 10,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10.60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tcBorders>
              <w:bottom w:val="single" w:sz="8" w:color="0000FF"/>
            </w:tcBorders>
            <w:gridSpan w:val="31"/>
          </w:tcPr>
          <w:p>
            <w:pPr>
              <w:spacing w:after="0" w:line="169" w:lineRule="exact"/>
              <w:rPr>
                <w:rFonts w:ascii="Arial" w:cs="Arial" w:eastAsia="Arial" w:hAnsi="Arial"/>
                <w:sz w:val="16"/>
                <w:szCs w:val="16"/>
                <w:color w:val="0000FF"/>
              </w:rPr>
            </w:pPr>
            <w:hyperlink r:id="rId243">
              <w:r>
                <w:rPr>
                  <w:rFonts w:ascii="Arial" w:cs="Arial" w:eastAsia="Arial" w:hAnsi="Arial"/>
                  <w:sz w:val="16"/>
                  <w:szCs w:val="16"/>
                  <w:color w:val="0000FF"/>
                </w:rPr>
                <w:t>Amended and Restated Series 2020-1 Supplement, dated as of June 18, 2021, between Avis Budget Rental Car Funding (AESOP) LLC</w:t>
              </w:r>
            </w:hyperlink>
          </w:p>
        </w:tc>
        <w:tc>
          <w:tcPr>
            <w:tcW w:w="280" w:type="dxa"/>
            <w:vAlign w:val="bottom"/>
            <w:tcBorders>
              <w:right w:val="single" w:sz="8" w:color="auto"/>
            </w:tcBorders>
            <w:gridSpan w:val="13"/>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4"/>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and The Bank of New York Mellon Trust Company, N.A., as trustee and as Series 2020-1 Agent. (Incorporated by reference to Exhibit 10.3</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to the Company’s Current Report on Form 8-K, dated June 23,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10.61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244">
              <w:r>
                <w:rPr>
                  <w:rFonts w:ascii="Arial" w:cs="Arial" w:eastAsia="Arial" w:hAnsi="Arial"/>
                  <w:sz w:val="16"/>
                  <w:szCs w:val="16"/>
                  <w:color w:val="0000FF"/>
                </w:rPr>
                <w:t>Series 2020-2 Supplement, dated as of August 12, 2020, between Avis Budget Rental Car Funding (AESOP) LLC and The Bank of New</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York Mellon Trust Company, N.A., as trustee and as Series 2020-2 Agent (Incorporated by reference to Exhibit 10.1 to the Company's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Current Report on Form 8-K, dated August 14,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10.62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245">
              <w:r>
                <w:rPr>
                  <w:rFonts w:ascii="Arial" w:cs="Arial" w:eastAsia="Arial" w:hAnsi="Arial"/>
                  <w:sz w:val="16"/>
                  <w:szCs w:val="16"/>
                  <w:color w:val="0000FF"/>
                </w:rPr>
                <w:t>Series 2021-1 Supplement dated as of May 18, 2021, between Avis Budget Rental Car Funding (AESOP) LLC and The Bank of New York</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245">
              <w:r>
                <w:rPr>
                  <w:rFonts w:ascii="Arial" w:cs="Arial" w:eastAsia="Arial" w:hAnsi="Arial"/>
                  <w:sz w:val="16"/>
                  <w:szCs w:val="16"/>
                  <w:color w:val="0000FF"/>
                </w:rPr>
                <w:t>Mellon Trust Company, N.A., as trustee and Series 2021-1 Agent (Incorporated by reference to Exhibit 10.1 to the Company’s Current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45">
              <w:r>
                <w:rPr>
                  <w:rFonts w:ascii="Arial" w:cs="Arial" w:eastAsia="Arial" w:hAnsi="Arial"/>
                  <w:sz w:val="16"/>
                  <w:szCs w:val="16"/>
                  <w:color w:val="0000FF"/>
                </w:rPr>
                <w:t>Report on Form 8-K, dated May 21, 2021).</w:t>
              </w:r>
            </w:hyperlink>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10.63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246">
              <w:r>
                <w:rPr>
                  <w:rFonts w:ascii="Arial" w:cs="Arial" w:eastAsia="Arial" w:hAnsi="Arial"/>
                  <w:sz w:val="16"/>
                  <w:szCs w:val="16"/>
                  <w:color w:val="0000FF"/>
                </w:rPr>
                <w:t>Series 2021-2 Supplement, dated as of November 17, 2021, between Avis Budget Rental Car Funding (AESOP) LLC and The Bank of</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bottom w:val="single" w:sz="8" w:color="0000FF"/>
            </w:tcBorders>
            <w:gridSpan w:val="25"/>
          </w:tcPr>
          <w:p>
            <w:pPr>
              <w:spacing w:after="0" w:line="142" w:lineRule="exact"/>
              <w:rPr>
                <w:rFonts w:ascii="Arial" w:cs="Arial" w:eastAsia="Arial" w:hAnsi="Arial"/>
                <w:sz w:val="16"/>
                <w:szCs w:val="16"/>
                <w:color w:val="0000FF"/>
              </w:rPr>
            </w:pPr>
            <w:hyperlink r:id="rId246">
              <w:r>
                <w:rPr>
                  <w:rFonts w:ascii="Arial" w:cs="Arial" w:eastAsia="Arial" w:hAnsi="Arial"/>
                  <w:sz w:val="16"/>
                  <w:szCs w:val="16"/>
                  <w:color w:val="0000FF"/>
                </w:rPr>
                <w:t>New York Mellon Trust Company, N.A., as trustee and Series 2021-2 Agent (incorporated by reference to Exhibit 10.1 to the Company's</w:t>
              </w:r>
            </w:hyperlink>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gridSpan w:val="28"/>
          </w:tcPr>
          <w:p>
            <w:pPr>
              <w:spacing w:after="0" w:line="142" w:lineRule="exact"/>
              <w:rPr>
                <w:rFonts w:ascii="Arial" w:cs="Arial" w:eastAsia="Arial" w:hAnsi="Arial"/>
                <w:sz w:val="16"/>
                <w:szCs w:val="16"/>
                <w:color w:val="0000FF"/>
              </w:rPr>
            </w:pPr>
            <w:hyperlink r:id="rId246">
              <w:r>
                <w:rPr>
                  <w:rFonts w:ascii="Arial" w:cs="Arial" w:eastAsia="Arial" w:hAnsi="Arial"/>
                  <w:sz w:val="16"/>
                  <w:szCs w:val="16"/>
                  <w:color w:val="0000FF"/>
                </w:rPr>
                <w:t>Current Report on Form 8-K, dated November 19,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10.64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247">
              <w:r>
                <w:rPr>
                  <w:rFonts w:ascii="Arial" w:cs="Arial" w:eastAsia="Arial" w:hAnsi="Arial"/>
                  <w:sz w:val="16"/>
                  <w:szCs w:val="16"/>
                  <w:color w:val="0000FF"/>
                </w:rPr>
                <w:t>Series 2022-1 Supplement, dated as of April 14, 2022, between Avis Budget Rental Car Funding (AESOP) LLC and The Bank of New York</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43"/>
          </w:tcPr>
          <w:p>
            <w:pPr>
              <w:spacing w:after="0" w:line="142" w:lineRule="exact"/>
              <w:rPr>
                <w:rFonts w:ascii="Arial" w:cs="Arial" w:eastAsia="Arial" w:hAnsi="Arial"/>
                <w:sz w:val="16"/>
                <w:szCs w:val="16"/>
                <w:color w:val="0000FF"/>
              </w:rPr>
            </w:pPr>
            <w:hyperlink r:id="rId247">
              <w:r>
                <w:rPr>
                  <w:rFonts w:ascii="Arial" w:cs="Arial" w:eastAsia="Arial" w:hAnsi="Arial"/>
                  <w:sz w:val="16"/>
                  <w:szCs w:val="16"/>
                  <w:color w:val="0000FF"/>
                </w:rPr>
                <w:t>Mellon Trust Company, N.A., as trustee and Series 2022-1 Agent (Incorporated by reference to Exhibit 10.1 to the Company’s Current</w:t>
              </w:r>
            </w:hyperlink>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47">
              <w:r>
                <w:rPr>
                  <w:rFonts w:ascii="Arial" w:cs="Arial" w:eastAsia="Arial" w:hAnsi="Arial"/>
                  <w:sz w:val="16"/>
                  <w:szCs w:val="16"/>
                  <w:color w:val="0000FF"/>
                </w:rPr>
                <w:t>Report on Form 8-K, dated April 19, 2022).</w:t>
              </w:r>
            </w:hyperlink>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10.65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248">
              <w:r>
                <w:rPr>
                  <w:rFonts w:ascii="Arial" w:cs="Arial" w:eastAsia="Arial" w:hAnsi="Arial"/>
                  <w:sz w:val="16"/>
                  <w:szCs w:val="16"/>
                  <w:color w:val="0000FF"/>
                </w:rPr>
                <w:t>Series 2022-2 Supplement, dated as of June 7, 2022, between Avis Budget Rental Car Funding (AESOP) LLC, Avis Budget Car Rental,</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bottom w:val="single" w:sz="8" w:color="0000FF"/>
            </w:tcBorders>
            <w:gridSpan w:val="29"/>
          </w:tcPr>
          <w:p>
            <w:pPr>
              <w:spacing w:after="0" w:line="142" w:lineRule="exact"/>
              <w:rPr>
                <w:rFonts w:ascii="Arial" w:cs="Arial" w:eastAsia="Arial" w:hAnsi="Arial"/>
                <w:sz w:val="16"/>
                <w:szCs w:val="16"/>
                <w:color w:val="0000FF"/>
              </w:rPr>
            </w:pPr>
            <w:hyperlink r:id="rId248">
              <w:r>
                <w:rPr>
                  <w:rFonts w:ascii="Arial" w:cs="Arial" w:eastAsia="Arial" w:hAnsi="Arial"/>
                  <w:sz w:val="16"/>
                  <w:szCs w:val="16"/>
                  <w:color w:val="0000FF"/>
                </w:rPr>
                <w:t>LLC, as Administrator, JPMorgan Chase Bank, N.A., as Administrative Agent, the Non-Conduit Purchasers, the CP Conduit Purchasers,</w:t>
              </w:r>
            </w:hyperlink>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gridSpan w:val="30"/>
          </w:tcPr>
          <w:p>
            <w:pPr>
              <w:spacing w:after="0" w:line="142" w:lineRule="exact"/>
              <w:rPr>
                <w:rFonts w:ascii="Arial" w:cs="Arial" w:eastAsia="Arial" w:hAnsi="Arial"/>
                <w:sz w:val="16"/>
                <w:szCs w:val="16"/>
                <w:color w:val="0000FF"/>
              </w:rPr>
            </w:pPr>
            <w:hyperlink r:id="rId248">
              <w:r>
                <w:rPr>
                  <w:rFonts w:ascii="Arial" w:cs="Arial" w:eastAsia="Arial" w:hAnsi="Arial"/>
                  <w:sz w:val="16"/>
                  <w:szCs w:val="16"/>
                  <w:color w:val="0000FF"/>
                </w:rPr>
                <w:t>the Committed Note Purchasers, the APA Banks and the Funding Agents named therein, and The Bank of New York Mellon Trust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260" w:type="dxa"/>
            <w:vAlign w:val="bottom"/>
            <w:tcBorders>
              <w:top w:val="single" w:sz="8" w:color="0000FF"/>
            </w:tcBorders>
            <w:gridSpan w:val="15"/>
          </w:tcPr>
          <w:p>
            <w:pPr>
              <w:spacing w:after="0" w:line="142" w:lineRule="exact"/>
              <w:rPr>
                <w:rFonts w:ascii="Arial" w:cs="Arial" w:eastAsia="Arial" w:hAnsi="Arial"/>
                <w:sz w:val="16"/>
                <w:szCs w:val="16"/>
                <w:color w:val="0000FF"/>
                <w:w w:val="99"/>
              </w:rPr>
            </w:pPr>
            <w:hyperlink r:id="rId248">
              <w:r>
                <w:rPr>
                  <w:rFonts w:ascii="Arial" w:cs="Arial" w:eastAsia="Arial" w:hAnsi="Arial"/>
                  <w:sz w:val="16"/>
                  <w:szCs w:val="16"/>
                  <w:color w:val="0000FF"/>
                  <w:w w:val="99"/>
                </w:rPr>
                <w:t>Company, N.A., as trustee and as Series 2022-2 Agent (incorporated by reference to Exhibit 10.1 to the Company's Current Report</w:t>
              </w:r>
            </w:hyperlink>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gridSpan w:val="27"/>
          </w:tcPr>
          <w:p>
            <w:pPr>
              <w:ind w:left="40"/>
              <w:spacing w:after="0" w:line="142" w:lineRule="exact"/>
              <w:rPr>
                <w:rFonts w:ascii="Arial" w:cs="Arial" w:eastAsia="Arial" w:hAnsi="Arial"/>
                <w:sz w:val="16"/>
                <w:szCs w:val="16"/>
                <w:color w:val="0000FF"/>
              </w:rPr>
            </w:pPr>
            <w:hyperlink r:id="rId248">
              <w:r>
                <w:rPr>
                  <w:rFonts w:ascii="Arial" w:cs="Arial" w:eastAsia="Arial" w:hAnsi="Arial"/>
                  <w:sz w:val="16"/>
                  <w:szCs w:val="16"/>
                  <w:color w:val="0000FF"/>
                </w:rPr>
                <w:t>on</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48">
              <w:r>
                <w:rPr>
                  <w:rFonts w:ascii="Arial" w:cs="Arial" w:eastAsia="Arial" w:hAnsi="Arial"/>
                  <w:sz w:val="16"/>
                  <w:szCs w:val="16"/>
                  <w:color w:val="0000FF"/>
                </w:rPr>
                <w:t>Form 8-K dated June 10, 2022).</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10.66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249">
              <w:r>
                <w:rPr>
                  <w:rFonts w:ascii="Arial" w:cs="Arial" w:eastAsia="Arial" w:hAnsi="Arial"/>
                  <w:sz w:val="16"/>
                  <w:szCs w:val="16"/>
                  <w:color w:val="0000FF"/>
                </w:rPr>
                <w:t>Series 2022-3 Supplement, dated as of July 21, 2022, between Avis Budget Rental Car Funding (AESOP) LLC and The Bank of New York</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249">
              <w:r>
                <w:rPr>
                  <w:rFonts w:ascii="Arial" w:cs="Arial" w:eastAsia="Arial" w:hAnsi="Arial"/>
                  <w:sz w:val="16"/>
                  <w:szCs w:val="16"/>
                  <w:color w:val="0000FF"/>
                </w:rPr>
                <w:t>Mellon Trust Company, N.A., as trustee and as Series 2022-3 Agent (Incorporated by reference to Exhibit 10.1 to the Company’s Current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49">
              <w:r>
                <w:rPr>
                  <w:rFonts w:ascii="Arial" w:cs="Arial" w:eastAsia="Arial" w:hAnsi="Arial"/>
                  <w:sz w:val="16"/>
                  <w:szCs w:val="16"/>
                  <w:color w:val="0000FF"/>
                </w:rPr>
                <w:t>Report on Form 8-K, dated July 22, 2022).</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10.67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250">
              <w:r>
                <w:rPr>
                  <w:rFonts w:ascii="Arial" w:cs="Arial" w:eastAsia="Arial" w:hAnsi="Arial"/>
                  <w:sz w:val="16"/>
                  <w:szCs w:val="16"/>
                  <w:color w:val="0000FF"/>
                </w:rPr>
                <w:t>Series 2022-4 Supplement, dated as of July 21, 2022, between Avis Budget Rental Car Funding (AESOP) LLC and The Bank of New York</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250">
              <w:r>
                <w:rPr>
                  <w:rFonts w:ascii="Arial" w:cs="Arial" w:eastAsia="Arial" w:hAnsi="Arial"/>
                  <w:sz w:val="16"/>
                  <w:szCs w:val="16"/>
                  <w:color w:val="0000FF"/>
                </w:rPr>
                <w:t>Mellon Trust Company, N.A., as trustee and Series 2022-4 Agent (Incorporated by reference to Exhibit 10.2 to the Company’s Current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50">
              <w:r>
                <w:rPr>
                  <w:rFonts w:ascii="Arial" w:cs="Arial" w:eastAsia="Arial" w:hAnsi="Arial"/>
                  <w:sz w:val="16"/>
                  <w:szCs w:val="16"/>
                  <w:color w:val="0000FF"/>
                </w:rPr>
                <w:t>Report on Form 8-K, dated July 22, 2022).</w:t>
              </w:r>
            </w:hyperlink>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10.68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bottom w:val="single" w:sz="8" w:color="0000FF"/>
            </w:tcBorders>
            <w:gridSpan w:val="25"/>
          </w:tcPr>
          <w:p>
            <w:pPr>
              <w:spacing w:after="0" w:line="169" w:lineRule="exact"/>
              <w:rPr>
                <w:rFonts w:ascii="Arial" w:cs="Arial" w:eastAsia="Arial" w:hAnsi="Arial"/>
                <w:sz w:val="16"/>
                <w:szCs w:val="16"/>
                <w:color w:val="0000FF"/>
              </w:rPr>
            </w:pPr>
            <w:hyperlink r:id="rId251">
              <w:r>
                <w:rPr>
                  <w:rFonts w:ascii="Arial" w:cs="Arial" w:eastAsia="Arial" w:hAnsi="Arial"/>
                  <w:sz w:val="16"/>
                  <w:szCs w:val="16"/>
                  <w:color w:val="0000FF"/>
                </w:rPr>
                <w:t>Series 2022-5 Supplement, dated as of November 29, 2022, between Avis Budget Rental Car Funding (AESOP) LLC and The Bank of</w:t>
              </w:r>
            </w:hyperlink>
          </w:p>
        </w:tc>
        <w:tc>
          <w:tcPr>
            <w:tcW w:w="420" w:type="dxa"/>
            <w:vAlign w:val="bottom"/>
            <w:tcBorders>
              <w:right w:val="single" w:sz="8" w:color="auto"/>
            </w:tcBorders>
            <w:gridSpan w:val="19"/>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4"/>
          </w:tcPr>
          <w:p>
            <w:pPr>
              <w:spacing w:after="0" w:line="142" w:lineRule="exact"/>
              <w:rPr>
                <w:rFonts w:ascii="Arial" w:cs="Arial" w:eastAsia="Arial" w:hAnsi="Arial"/>
                <w:sz w:val="16"/>
                <w:szCs w:val="16"/>
                <w:color w:val="0000FF"/>
              </w:rPr>
            </w:pPr>
            <w:hyperlink r:id="rId251">
              <w:r>
                <w:rPr>
                  <w:rFonts w:ascii="Arial" w:cs="Arial" w:eastAsia="Arial" w:hAnsi="Arial"/>
                  <w:sz w:val="16"/>
                  <w:szCs w:val="16"/>
                  <w:color w:val="0000FF"/>
                </w:rPr>
                <w:t>New York Mellon Trust Company, N.A., as trustee and as Series 2022-5 Agent (Incorporated by reference to Exhibit 10.1 to the Company’s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42"/>
          </w:tcPr>
          <w:p>
            <w:pPr>
              <w:spacing w:after="0" w:line="142" w:lineRule="exact"/>
              <w:rPr>
                <w:rFonts w:ascii="Arial" w:cs="Arial" w:eastAsia="Arial" w:hAnsi="Arial"/>
                <w:sz w:val="16"/>
                <w:szCs w:val="16"/>
                <w:color w:val="0000FF"/>
              </w:rPr>
            </w:pPr>
            <w:hyperlink r:id="rId251">
              <w:r>
                <w:rPr>
                  <w:rFonts w:ascii="Arial" w:cs="Arial" w:eastAsia="Arial" w:hAnsi="Arial"/>
                  <w:sz w:val="16"/>
                  <w:szCs w:val="16"/>
                  <w:color w:val="0000FF"/>
                </w:rPr>
                <w:t xml:space="preserve">Current Report on Form 8-K, dated December </w:t>
              </w:r>
              <w:r>
                <w:rPr>
                  <w:rFonts w:ascii="Times New Roman" w:cs="Times New Roman" w:eastAsia="Times New Roman" w:hAnsi="Times New Roman"/>
                  <w:sz w:val="16"/>
                  <w:szCs w:val="16"/>
                  <w:color w:val="0000FF"/>
                </w:rPr>
                <w:t>2</w:t>
              </w:r>
              <w:r>
                <w:rPr>
                  <w:rFonts w:ascii="Arial" w:cs="Arial" w:eastAsia="Arial" w:hAnsi="Arial"/>
                  <w:sz w:val="16"/>
                  <w:szCs w:val="16"/>
                  <w:color w:val="0000FF"/>
                </w:rPr>
                <w:t>, 2022).</w:t>
              </w:r>
            </w:hyperlink>
          </w:p>
        </w:tc>
        <w:tc>
          <w:tcPr>
            <w:tcW w:w="6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10.69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252">
              <w:r>
                <w:rPr>
                  <w:rFonts w:ascii="Arial" w:cs="Arial" w:eastAsia="Arial" w:hAnsi="Arial"/>
                  <w:sz w:val="16"/>
                  <w:szCs w:val="16"/>
                  <w:color w:val="0000FF"/>
                </w:rPr>
                <w:t>Series 2023-1 Supplement, dated as of January 17, 2023, between Avis Budget Rental Car Funding (AESOP) LLC and The Bank of New</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52">
              <w:r>
                <w:rPr>
                  <w:rFonts w:ascii="Arial" w:cs="Arial" w:eastAsia="Arial" w:hAnsi="Arial"/>
                  <w:sz w:val="16"/>
                  <w:szCs w:val="16"/>
                  <w:color w:val="0000FF"/>
                </w:rPr>
                <w:t>York Mellon Trust Company, N.A., as trustee and as Series 2023-1 Agent (incorporated by reference to Exhibit 10.1 to the Company's</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52">
              <w:r>
                <w:rPr>
                  <w:rFonts w:ascii="Arial" w:cs="Arial" w:eastAsia="Arial" w:hAnsi="Arial"/>
                  <w:sz w:val="16"/>
                  <w:szCs w:val="16"/>
                  <w:color w:val="0000FF"/>
                </w:rPr>
                <w:t>Current Report on Form 8-K dated January 20, 2023).</w:t>
              </w:r>
            </w:hyperlink>
          </w:p>
        </w:tc>
        <w:tc>
          <w:tcPr>
            <w:tcW w:w="60" w:type="dxa"/>
            <w:vAlign w:val="bottom"/>
            <w:gridSpan w:val="3"/>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10.70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253">
              <w:r>
                <w:rPr>
                  <w:rFonts w:ascii="Arial" w:cs="Arial" w:eastAsia="Arial" w:hAnsi="Arial"/>
                  <w:sz w:val="16"/>
                  <w:szCs w:val="16"/>
                  <w:color w:val="0000FF"/>
                </w:rPr>
                <w:t>Series 2023-2 Supplement, dated as of January 17, 2023, between Avis Budget Rental Car Funding (AESOP) LLC and The Bank of New</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York Mellon Trust Company, N.A., as trustee and as Series 2023-2 Agent (incorporated by reference to Exhibit 10.2 to the Company's</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Current Report on Form 8-K dated January 20, 2023).</w:t>
              </w:r>
            </w:hyperlink>
          </w:p>
        </w:tc>
        <w:tc>
          <w:tcPr>
            <w:tcW w:w="60" w:type="dxa"/>
            <w:vAlign w:val="bottom"/>
            <w:gridSpan w:val="3"/>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10.71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254">
              <w:r>
                <w:rPr>
                  <w:rFonts w:ascii="Arial" w:cs="Arial" w:eastAsia="Arial" w:hAnsi="Arial"/>
                  <w:sz w:val="16"/>
                  <w:szCs w:val="16"/>
                  <w:color w:val="0000FF"/>
                </w:rPr>
                <w:t>Sixth Amended and Restated Credit Agreement, dated as of July 9, 2021, among Avis Budget Holdings, LLC, Avis Budget Car Rental,</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rPr>
            </w:pPr>
            <w:hyperlink r:id="rId254">
              <w:r>
                <w:rPr>
                  <w:rFonts w:ascii="Arial" w:cs="Arial" w:eastAsia="Arial" w:hAnsi="Arial"/>
                  <w:sz w:val="16"/>
                  <w:szCs w:val="16"/>
                  <w:color w:val="0000FF"/>
                </w:rPr>
                <w:t>LLC, Avis Budget Group, Inc., the subsidiary borrowers from time to time party thereto, the financial institutions from time to time party</w:t>
              </w:r>
            </w:hyperlink>
          </w:p>
        </w:tc>
        <w:tc>
          <w:tcPr>
            <w:tcW w:w="20" w:type="dxa"/>
            <w:vAlign w:val="bottom"/>
            <w:tcBorders>
              <w:top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4"/>
          </w:tcPr>
          <w:p>
            <w:pPr>
              <w:spacing w:after="0" w:line="142" w:lineRule="exact"/>
              <w:rPr>
                <w:rFonts w:ascii="Arial" w:cs="Arial" w:eastAsia="Arial" w:hAnsi="Arial"/>
                <w:sz w:val="16"/>
                <w:szCs w:val="16"/>
                <w:color w:val="0000FF"/>
              </w:rPr>
            </w:pPr>
            <w:hyperlink r:id="rId254">
              <w:r>
                <w:rPr>
                  <w:rFonts w:ascii="Arial" w:cs="Arial" w:eastAsia="Arial" w:hAnsi="Arial"/>
                  <w:sz w:val="16"/>
                  <w:szCs w:val="16"/>
                  <w:color w:val="0000FF"/>
                </w:rPr>
                <w:t>thereto JPMorgan Chase Bank, N.A., as Administrative Agent (incorporated by reference to Exhibit 10.1 to the Company’s Current Report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54">
              <w:r>
                <w:rPr>
                  <w:rFonts w:ascii="Arial" w:cs="Arial" w:eastAsia="Arial" w:hAnsi="Arial"/>
                  <w:sz w:val="16"/>
                  <w:szCs w:val="16"/>
                  <w:color w:val="0000FF"/>
                </w:rPr>
                <w:t>on Form 8-K, dated July 13, 2021).</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10.72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255">
              <w:r>
                <w:rPr>
                  <w:rFonts w:ascii="Arial" w:cs="Arial" w:eastAsia="Arial" w:hAnsi="Arial"/>
                  <w:sz w:val="16"/>
                  <w:szCs w:val="16"/>
                  <w:color w:val="0000FF"/>
                </w:rPr>
                <w:t>First Amendment, dated as of March 16, 2022, to the Sixth Amended and Restated Credit Agreement, dated as of July 9, 2021, among</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55">
              <w:r>
                <w:rPr>
                  <w:rFonts w:ascii="Arial" w:cs="Arial" w:eastAsia="Arial" w:hAnsi="Arial"/>
                  <w:sz w:val="16"/>
                  <w:szCs w:val="16"/>
                  <w:color w:val="0000FF"/>
                </w:rPr>
                <w:t>Avis Budget Holdings, LLC, Avis Budget Car Rental, LLC, Avis Budget Group, Inc., the subsidiary borrowers from time to time party</w:t>
              </w:r>
            </w:hyperlink>
          </w:p>
        </w:tc>
        <w:tc>
          <w:tcPr>
            <w:tcW w:w="240" w:type="dxa"/>
            <w:vAlign w:val="bottom"/>
            <w:gridSpan w:val="11"/>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6"/>
            <w:shd w:val="clear" w:color="auto" w:fill="0000FF"/>
          </w:tcPr>
          <w:p>
            <w:pPr>
              <w:spacing w:after="0" w:line="20" w:lineRule="exact"/>
              <w:rPr>
                <w:sz w:val="1"/>
                <w:szCs w:val="1"/>
                <w:color w:val="auto"/>
              </w:rPr>
            </w:pPr>
          </w:p>
        </w:tc>
        <w:tc>
          <w:tcPr>
            <w:tcW w:w="3200" w:type="dxa"/>
            <w:vAlign w:val="bottom"/>
            <w:gridSpan w:val="7"/>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Borders>
              <w:right w:val="single" w:sz="8" w:color="auto"/>
            </w:tcBorders>
            <w:gridSpan w:val="3"/>
          </w:tcPr>
          <w:p>
            <w:pPr>
              <w:spacing w:after="0" w:line="20" w:lineRule="exact"/>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4"/>
          </w:tcPr>
          <w:p>
            <w:pPr>
              <w:spacing w:after="0" w:line="142" w:lineRule="exact"/>
              <w:rPr>
                <w:rFonts w:ascii="Arial" w:cs="Arial" w:eastAsia="Arial" w:hAnsi="Arial"/>
                <w:sz w:val="16"/>
                <w:szCs w:val="16"/>
                <w:color w:val="0000FF"/>
              </w:rPr>
            </w:pPr>
            <w:hyperlink r:id="rId255">
              <w:r>
                <w:rPr>
                  <w:rFonts w:ascii="Arial" w:cs="Arial" w:eastAsia="Arial" w:hAnsi="Arial"/>
                  <w:sz w:val="16"/>
                  <w:szCs w:val="16"/>
                  <w:color w:val="0000FF"/>
                </w:rPr>
                <w:t>thereto, the financial institutions from time to time party thereto and JPMorgan Chase Bank, N.A., as Administrative Agent (Incorporated by</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41"/>
          </w:tcPr>
          <w:p>
            <w:pPr>
              <w:spacing w:after="0" w:line="142" w:lineRule="exact"/>
              <w:rPr>
                <w:rFonts w:ascii="Arial" w:cs="Arial" w:eastAsia="Arial" w:hAnsi="Arial"/>
                <w:sz w:val="16"/>
                <w:szCs w:val="16"/>
                <w:color w:val="0000FF"/>
              </w:rPr>
            </w:pPr>
            <w:hyperlink r:id="rId255">
              <w:r>
                <w:rPr>
                  <w:rFonts w:ascii="Arial" w:cs="Arial" w:eastAsia="Arial" w:hAnsi="Arial"/>
                  <w:sz w:val="16"/>
                  <w:szCs w:val="16"/>
                  <w:color w:val="0000FF"/>
                </w:rPr>
                <w:t>reference to Exhibit 10.2 to the Company’s Current Report on Form 8-K, dated March 25, 2022).</w:t>
              </w:r>
            </w:hyperlink>
          </w:p>
        </w:tc>
        <w:tc>
          <w:tcPr>
            <w:tcW w:w="80" w:type="dxa"/>
            <w:vAlign w:val="bottom"/>
            <w:tcBorders>
              <w:right w:val="single" w:sz="8" w:color="auto"/>
            </w:tcBorders>
            <w:gridSpan w:val="3"/>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6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10.73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256">
              <w:r>
                <w:rPr>
                  <w:rFonts w:ascii="Arial" w:cs="Arial" w:eastAsia="Arial" w:hAnsi="Arial"/>
                  <w:sz w:val="16"/>
                  <w:szCs w:val="16"/>
                  <w:color w:val="0000FF"/>
                </w:rPr>
                <w:t>Second Amendment, dated as of March 24, 2022, to the Sixth Amended and Restated Credit Agreement, dated as of July 9, 2021, among</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256">
              <w:r>
                <w:rPr>
                  <w:rFonts w:ascii="Arial" w:cs="Arial" w:eastAsia="Arial" w:hAnsi="Arial"/>
                  <w:sz w:val="16"/>
                  <w:szCs w:val="16"/>
                  <w:color w:val="0000FF"/>
                </w:rPr>
                <w:t>Avis Budget Holdings, LLC, Avis Budget Car Rental, LLC, Avis Budget Group, Inc., the subsidiary borrowers from time to time party</w:t>
              </w:r>
            </w:hyperlink>
          </w:p>
        </w:tc>
        <w:tc>
          <w:tcPr>
            <w:tcW w:w="20" w:type="dxa"/>
            <w:vAlign w:val="bottom"/>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6"/>
            <w:shd w:val="clear" w:color="auto" w:fill="0000FF"/>
          </w:tcPr>
          <w:p>
            <w:pPr>
              <w:spacing w:after="0" w:line="20" w:lineRule="exact"/>
              <w:rPr>
                <w:sz w:val="1"/>
                <w:szCs w:val="1"/>
                <w:color w:val="auto"/>
              </w:rPr>
            </w:pPr>
          </w:p>
        </w:tc>
        <w:tc>
          <w:tcPr>
            <w:tcW w:w="3200" w:type="dxa"/>
            <w:vAlign w:val="bottom"/>
            <w:gridSpan w:val="7"/>
            <w:shd w:val="clear" w:color="auto" w:fill="0000FF"/>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c>
          <w:tcPr>
            <w:tcW w:w="140" w:type="dxa"/>
            <w:vAlign w:val="bottom"/>
            <w:tcBorders>
              <w:right w:val="single" w:sz="8" w:color="auto"/>
            </w:tcBorders>
            <w:gridSpan w:val="6"/>
          </w:tcPr>
          <w:p>
            <w:pPr>
              <w:spacing w:after="0" w:line="20" w:lineRule="exact"/>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4"/>
          </w:tcPr>
          <w:p>
            <w:pPr>
              <w:spacing w:after="0" w:line="142" w:lineRule="exact"/>
              <w:rPr>
                <w:rFonts w:ascii="Arial" w:cs="Arial" w:eastAsia="Arial" w:hAnsi="Arial"/>
                <w:sz w:val="16"/>
                <w:szCs w:val="16"/>
                <w:color w:val="0000FF"/>
              </w:rPr>
            </w:pPr>
            <w:hyperlink r:id="rId256">
              <w:r>
                <w:rPr>
                  <w:rFonts w:ascii="Arial" w:cs="Arial" w:eastAsia="Arial" w:hAnsi="Arial"/>
                  <w:sz w:val="16"/>
                  <w:szCs w:val="16"/>
                  <w:color w:val="0000FF"/>
                </w:rPr>
                <w:t>thereto, the financial institutions from time to time party thereto and JPMorgan Chase Bank, N.A., as Administrative Agent (Incorporated by</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41"/>
          </w:tcPr>
          <w:p>
            <w:pPr>
              <w:spacing w:after="0" w:line="142" w:lineRule="exact"/>
              <w:rPr>
                <w:rFonts w:ascii="Arial" w:cs="Arial" w:eastAsia="Arial" w:hAnsi="Arial"/>
                <w:sz w:val="16"/>
                <w:szCs w:val="16"/>
                <w:color w:val="0000FF"/>
              </w:rPr>
            </w:pPr>
            <w:hyperlink r:id="rId256">
              <w:r>
                <w:rPr>
                  <w:rFonts w:ascii="Arial" w:cs="Arial" w:eastAsia="Arial" w:hAnsi="Arial"/>
                  <w:sz w:val="16"/>
                  <w:szCs w:val="16"/>
                  <w:color w:val="0000FF"/>
                </w:rPr>
                <w:t>reference to Exhibit 10.1 to the Company’s Current Report on Form 8-K, dated March 25, 2022).</w:t>
              </w:r>
            </w:hyperlink>
          </w:p>
        </w:tc>
        <w:tc>
          <w:tcPr>
            <w:tcW w:w="80" w:type="dxa"/>
            <w:vAlign w:val="bottom"/>
            <w:tcBorders>
              <w:right w:val="single" w:sz="8" w:color="auto"/>
            </w:tcBorders>
            <w:gridSpan w:val="3"/>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6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10.74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257">
              <w:r>
                <w:rPr>
                  <w:rFonts w:ascii="Arial" w:cs="Arial" w:eastAsia="Arial" w:hAnsi="Arial"/>
                  <w:sz w:val="16"/>
                  <w:szCs w:val="16"/>
                  <w:color w:val="0000FF"/>
                </w:rPr>
                <w:t>Third Amendment, dated as of July 28, 2022, to the Sixth Amended and Restated Credit Agreement, dated as of July 9, 2021, among Avis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257">
              <w:r>
                <w:rPr>
                  <w:rFonts w:ascii="Arial" w:cs="Arial" w:eastAsia="Arial" w:hAnsi="Arial"/>
                  <w:sz w:val="16"/>
                  <w:szCs w:val="16"/>
                  <w:color w:val="0000FF"/>
                </w:rPr>
                <w:t>Budget Holdings, LLC, Avis Budget Car Rental, LLC, as borrower, Avis Budget Group, Inc., the subsidiary borrowers from time to time</w:t>
              </w:r>
            </w:hyperlink>
          </w:p>
        </w:tc>
        <w:tc>
          <w:tcPr>
            <w:tcW w:w="140" w:type="dxa"/>
            <w:vAlign w:val="bottom"/>
            <w:tcBorders>
              <w:right w:val="single" w:sz="8" w:color="auto"/>
            </w:tcBorders>
            <w:gridSpan w:val="6"/>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57">
              <w:r>
                <w:rPr>
                  <w:rFonts w:ascii="Arial" w:cs="Arial" w:eastAsia="Arial" w:hAnsi="Arial"/>
                  <w:sz w:val="16"/>
                  <w:szCs w:val="16"/>
                  <w:color w:val="0000FF"/>
                </w:rPr>
                <w:t>party thereto, the lenders from time to time party thereto, JPMorgan Chase Bank, N.A., as Administrative Agent, and the other parties</w:t>
              </w:r>
            </w:hyperlink>
          </w:p>
        </w:tc>
        <w:tc>
          <w:tcPr>
            <w:tcW w:w="460" w:type="dxa"/>
            <w:vAlign w:val="bottom"/>
            <w:tcBorders>
              <w:right w:val="single" w:sz="8" w:color="auto"/>
            </w:tcBorders>
            <w:gridSpan w:val="2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57">
              <w:r>
                <w:rPr>
                  <w:rFonts w:ascii="Arial" w:cs="Arial" w:eastAsia="Arial" w:hAnsi="Arial"/>
                  <w:sz w:val="16"/>
                  <w:szCs w:val="16"/>
                  <w:color w:val="0000FF"/>
                </w:rPr>
                <w:t>thereto (Incorporated by reference to Exhibit 10.1 to the Company’s Quarterly Report on Form 10-Q for the quarterly period ended</w:t>
              </w:r>
            </w:hyperlink>
          </w:p>
        </w:tc>
        <w:tc>
          <w:tcPr>
            <w:tcW w:w="540" w:type="dxa"/>
            <w:vAlign w:val="bottom"/>
            <w:tcBorders>
              <w:right w:val="single" w:sz="8" w:color="auto"/>
            </w:tcBorders>
            <w:gridSpan w:val="26"/>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0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57">
              <w:r>
                <w:rPr>
                  <w:rFonts w:ascii="Arial" w:cs="Arial" w:eastAsia="Arial" w:hAnsi="Arial"/>
                  <w:sz w:val="16"/>
                  <w:szCs w:val="16"/>
                  <w:color w:val="0000FF"/>
                </w:rPr>
                <w:t>September 30, 2022, dated November 1, 2022).</w:t>
              </w:r>
            </w:hyperlink>
          </w:p>
        </w:tc>
        <w:tc>
          <w:tcPr>
            <w:tcW w:w="760" w:type="dxa"/>
            <w:vAlign w:val="bottom"/>
            <w:tcBorders>
              <w:right w:val="single" w:sz="8" w:color="auto"/>
            </w:tcBorders>
            <w:gridSpan w:val="28"/>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10.75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4"/>
          </w:tcPr>
          <w:p>
            <w:pPr>
              <w:spacing w:after="0" w:line="169" w:lineRule="exact"/>
              <w:rPr>
                <w:sz w:val="20"/>
                <w:szCs w:val="20"/>
                <w:color w:val="auto"/>
              </w:rPr>
            </w:pPr>
            <w:r>
              <w:rPr>
                <w:rFonts w:ascii="Arial" w:cs="Arial" w:eastAsia="Arial" w:hAnsi="Arial"/>
                <w:sz w:val="16"/>
                <w:szCs w:val="16"/>
                <w:color w:val="0000FF"/>
              </w:rPr>
              <w:t>Offer Letter, dated May 17, 2022, between Ravi Simhambhatla and Avis Budget Group, Inc.†</w:t>
            </w: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6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10.76</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00" w:type="dxa"/>
            <w:vAlign w:val="bottom"/>
            <w:tcBorders>
              <w:top w:val="single" w:sz="8" w:color="auto"/>
              <w:right w:val="single" w:sz="8" w:color="auto"/>
            </w:tcBorders>
            <w:gridSpan w:val="11"/>
          </w:tcPr>
          <w:p>
            <w:pPr>
              <w:spacing w:after="0"/>
              <w:rPr>
                <w:sz w:val="20"/>
                <w:szCs w:val="20"/>
                <w:color w:val="auto"/>
              </w:rPr>
            </w:pPr>
            <w:r>
              <w:rPr>
                <w:rFonts w:ascii="Arial" w:cs="Arial" w:eastAsia="Arial" w:hAnsi="Arial"/>
                <w:sz w:val="16"/>
                <w:szCs w:val="16"/>
                <w:color w:val="0000FF"/>
              </w:rPr>
              <w:t>Fourth Amendment, dated as of February 6, 2023, to the Sixth Amended and Restated Credit Agreement, dated as of July 9, 2021, among</w:t>
            </w: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Avis Budget Holdings, LLC, Avis Budget Car Rental, LLC, as borrower, Avis Budget Group, Inc., the subsidiary borrowers from time to time</w:t>
            </w:r>
          </w:p>
        </w:tc>
        <w:tc>
          <w:tcPr>
            <w:tcW w:w="20" w:type="dxa"/>
            <w:vAlign w:val="bottom"/>
            <w:tcBorders>
              <w:bottom w:val="single" w:sz="8" w:color="0000FF"/>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gridSpan w:val="10"/>
          </w:tcPr>
          <w:p>
            <w:pPr>
              <w:spacing w:after="0" w:line="142" w:lineRule="exact"/>
              <w:rPr>
                <w:sz w:val="20"/>
                <w:szCs w:val="20"/>
                <w:color w:val="auto"/>
              </w:rPr>
            </w:pPr>
            <w:r>
              <w:rPr>
                <w:rFonts w:ascii="Arial" w:cs="Arial" w:eastAsia="Arial" w:hAnsi="Arial"/>
                <w:sz w:val="16"/>
                <w:szCs w:val="16"/>
                <w:color w:val="0000FF"/>
              </w:rPr>
              <w:t>party thereto, the lenders from time to time party thereto and JPMorgan Chase Bank, N.A., as Administrative Agent, and the other parties</w:t>
            </w:r>
          </w:p>
        </w:tc>
        <w:tc>
          <w:tcPr>
            <w:tcW w:w="8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thereto.</w:t>
            </w:r>
          </w:p>
        </w:tc>
        <w:tc>
          <w:tcPr>
            <w:tcW w:w="200" w:type="dxa"/>
            <w:vAlign w:val="bottom"/>
            <w:tcBorders>
              <w:right w:val="single" w:sz="8" w:color="auto"/>
            </w:tcBorders>
            <w:gridSpan w:val="3"/>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21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11"/>
          </w:tcPr>
          <w:p>
            <w:pPr>
              <w:spacing w:after="0" w:line="169" w:lineRule="exact"/>
              <w:rPr>
                <w:sz w:val="20"/>
                <w:szCs w:val="20"/>
                <w:color w:val="auto"/>
              </w:rPr>
            </w:pPr>
            <w:r>
              <w:rPr>
                <w:rFonts w:ascii="Arial" w:cs="Arial" w:eastAsia="Arial" w:hAnsi="Arial"/>
                <w:sz w:val="16"/>
                <w:szCs w:val="16"/>
                <w:color w:val="0000FF"/>
              </w:rPr>
              <w:t>Subsidiaries of Registrant.</w:t>
            </w: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23.1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11"/>
          </w:tcPr>
          <w:p>
            <w:pPr>
              <w:spacing w:after="0" w:line="169" w:lineRule="exact"/>
              <w:rPr>
                <w:sz w:val="20"/>
                <w:szCs w:val="20"/>
                <w:color w:val="auto"/>
              </w:rPr>
            </w:pPr>
            <w:r>
              <w:rPr>
                <w:rFonts w:ascii="Arial" w:cs="Arial" w:eastAsia="Arial" w:hAnsi="Arial"/>
                <w:sz w:val="16"/>
                <w:szCs w:val="16"/>
                <w:color w:val="0000FF"/>
              </w:rPr>
              <w:t>Consent of Deloitte &amp; Touche LLP.</w:t>
            </w: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11"/>
          </w:tcPr>
          <w:p>
            <w:pPr>
              <w:spacing w:after="0" w:line="169" w:lineRule="exact"/>
              <w:rPr>
                <w:sz w:val="20"/>
                <w:szCs w:val="20"/>
                <w:color w:val="auto"/>
              </w:rPr>
            </w:pPr>
            <w:r>
              <w:rPr>
                <w:rFonts w:ascii="Arial" w:cs="Arial" w:eastAsia="Arial" w:hAnsi="Arial"/>
                <w:sz w:val="16"/>
                <w:szCs w:val="16"/>
                <w:color w:val="0000FF"/>
              </w:rPr>
              <w:t>Certification of Chief Executive Officer pursuant to Rules 13(a)-14(a) and 15(d)-14(a) promulgated under the Securities Exchange Act of</w:t>
            </w: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1934, as amended.</w:t>
            </w:r>
          </w:p>
        </w:tc>
        <w:tc>
          <w:tcPr>
            <w:tcW w:w="280" w:type="dxa"/>
            <w:vAlign w:val="bottom"/>
            <w:tcBorders>
              <w:right w:val="single" w:sz="8" w:color="auto"/>
            </w:tcBorders>
            <w:gridSpan w:val="4"/>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11"/>
          </w:tcPr>
          <w:p>
            <w:pPr>
              <w:spacing w:after="0" w:line="169" w:lineRule="exact"/>
              <w:rPr>
                <w:sz w:val="20"/>
                <w:szCs w:val="20"/>
                <w:color w:val="auto"/>
              </w:rPr>
            </w:pPr>
            <w:r>
              <w:rPr>
                <w:rFonts w:ascii="Arial" w:cs="Arial" w:eastAsia="Arial" w:hAnsi="Arial"/>
                <w:sz w:val="16"/>
                <w:szCs w:val="16"/>
                <w:color w:val="0000FF"/>
              </w:rPr>
              <w:t>Certification of Chief Financial Officer pursuant to Rules 13(a)-14(a) and 15(d)-14(a) promulgated under the Securities Exchange Act of</w:t>
            </w: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1934, as amended.</w:t>
            </w:r>
          </w:p>
        </w:tc>
        <w:tc>
          <w:tcPr>
            <w:tcW w:w="340" w:type="dxa"/>
            <w:vAlign w:val="bottom"/>
            <w:tcBorders>
              <w:right w:val="single" w:sz="8" w:color="auto"/>
            </w:tcBorders>
            <w:gridSpan w:val="5"/>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11"/>
          </w:tcPr>
          <w:p>
            <w:pPr>
              <w:spacing w:after="0" w:line="169" w:lineRule="exact"/>
              <w:rPr>
                <w:sz w:val="20"/>
                <w:szCs w:val="20"/>
                <w:color w:val="auto"/>
              </w:rPr>
            </w:pPr>
            <w:r>
              <w:rPr>
                <w:rFonts w:ascii="Arial" w:cs="Arial" w:eastAsia="Arial" w:hAnsi="Arial"/>
                <w:sz w:val="16"/>
                <w:szCs w:val="16"/>
                <w:color w:val="0000FF"/>
              </w:rPr>
              <w:t>Certifications Pursuant to 18 U.S.C. Section 1350, as Adopted Pursuant to Section 906 of the Sarbanes-Oxley Act of 2002.</w:t>
            </w: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36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56"/>
        </w:trPr>
        <w:tc>
          <w:tcPr>
            <w:tcW w:w="114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6"/>
                <w:szCs w:val="16"/>
                <w:color w:val="auto"/>
              </w:rPr>
              <w:t>101.INS</w:t>
            </w: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right w:val="single" w:sz="8" w:color="auto"/>
            </w:tcBorders>
            <w:gridSpan w:val="11"/>
          </w:tcPr>
          <w:p>
            <w:pPr>
              <w:spacing w:after="0" w:line="155"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215"/>
        </w:trPr>
        <w:tc>
          <w:tcPr>
            <w:tcW w:w="114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6"/>
                <w:szCs w:val="16"/>
                <w:color w:val="auto"/>
              </w:rPr>
              <w:t>within the Inline XBRL document.</w:t>
            </w:r>
          </w:p>
        </w:tc>
      </w:tr>
      <w:tr>
        <w:trPr>
          <w:trHeight w:val="20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101.SCH</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6"/>
                <w:szCs w:val="16"/>
                <w:color w:val="auto"/>
              </w:rPr>
              <w:t>XBRL Taxonomy Extension Schema.</w:t>
            </w:r>
          </w:p>
        </w:tc>
      </w:tr>
      <w:tr>
        <w:trPr>
          <w:trHeight w:val="20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101.CAL</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0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101.DEF</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20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101.LAB</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6"/>
                <w:szCs w:val="16"/>
                <w:color w:val="auto"/>
              </w:rPr>
              <w:t>XBRL Taxonomy Extension Label Linkbase.</w:t>
            </w:r>
          </w:p>
        </w:tc>
      </w:tr>
      <w:tr>
        <w:trPr>
          <w:trHeight w:val="210"/>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101.PRE</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156"/>
        </w:trPr>
        <w:tc>
          <w:tcPr>
            <w:tcW w:w="114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6"/>
                <w:szCs w:val="16"/>
                <w:color w:val="auto"/>
              </w:rPr>
              <w:t>104</w:t>
            </w: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right w:val="single" w:sz="8" w:color="auto"/>
            </w:tcBorders>
            <w:gridSpan w:val="11"/>
          </w:tcPr>
          <w:p>
            <w:pPr>
              <w:spacing w:after="0" w:line="156" w:lineRule="exact"/>
              <w:rPr>
                <w:sz w:val="20"/>
                <w:szCs w:val="20"/>
                <w:color w:val="auto"/>
              </w:rPr>
            </w:pPr>
            <w:r>
              <w:rPr>
                <w:rFonts w:ascii="Arial" w:cs="Arial" w:eastAsia="Arial" w:hAnsi="Arial"/>
                <w:sz w:val="16"/>
                <w:szCs w:val="16"/>
                <w:color w:val="auto"/>
              </w:rPr>
              <w:t>The cover page from the Company’s Annual Report on Form 10-K for the year ended December 31, 2022, formatted as Inline XBRL and</w:t>
            </w:r>
          </w:p>
        </w:tc>
      </w:tr>
      <w:tr>
        <w:trPr>
          <w:trHeight w:val="215"/>
        </w:trPr>
        <w:tc>
          <w:tcPr>
            <w:tcW w:w="114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6"/>
                <w:szCs w:val="16"/>
                <w:color w:val="auto"/>
              </w:rPr>
              <w:t>contained in Exhibit 101.</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4" w:lineRule="exact"/>
        <w:rPr>
          <w:sz w:val="20"/>
          <w:szCs w:val="20"/>
          <w:color w:val="auto"/>
        </w:rPr>
      </w:pPr>
    </w:p>
    <w:p>
      <w:pPr>
        <w:ind w:left="1020" w:hanging="994"/>
        <w:spacing w:after="0"/>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Cendant Corporation is now known as Avis Budget Group, Inc.</w:t>
      </w:r>
    </w:p>
    <w:p>
      <w:pPr>
        <w:spacing w:after="0" w:line="32" w:lineRule="exact"/>
        <w:rPr>
          <w:sz w:val="20"/>
          <w:szCs w:val="20"/>
          <w:color w:val="auto"/>
        </w:rPr>
      </w:pPr>
    </w:p>
    <w:p>
      <w:pPr>
        <w:ind w:left="1020" w:hanging="994"/>
        <w:spacing w:after="0"/>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Cendant Car Rental Group, LLC (formerly known as Cendant Car Rental Group, Inc.) is now known as Avis Budget Car Rental, LLC.</w:t>
      </w:r>
    </w:p>
    <w:p>
      <w:pPr>
        <w:spacing w:after="0" w:line="32" w:lineRule="exact"/>
        <w:rPr>
          <w:rFonts w:ascii="Arial" w:cs="Arial" w:eastAsia="Arial" w:hAnsi="Arial"/>
          <w:sz w:val="16"/>
          <w:szCs w:val="16"/>
          <w:color w:val="auto"/>
        </w:rPr>
      </w:pPr>
    </w:p>
    <w:p>
      <w:pPr>
        <w:ind w:left="1020" w:right="40" w:hanging="994"/>
        <w:spacing w:after="0" w:line="246" w:lineRule="auto"/>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Cendant Rental Car Funding (AESOP) LLC, formerly known as AESOP Funding II L.L.C, is now known as Avis Budget Rental Car Funding (AESOP) LLC.</w:t>
      </w:r>
    </w:p>
    <w:p>
      <w:pPr>
        <w:ind w:left="1020" w:hanging="994"/>
        <w:spacing w:after="0"/>
        <w:tabs>
          <w:tab w:leader="none" w:pos="10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Avis Rent A Car System, Inc. is now known as Avis Rent A Car System, LLC.</w:t>
      </w:r>
    </w:p>
    <w:p>
      <w:pPr>
        <w:spacing w:after="0" w:line="32" w:lineRule="exact"/>
        <w:rPr>
          <w:sz w:val="20"/>
          <w:szCs w:val="20"/>
          <w:color w:val="auto"/>
        </w:rPr>
      </w:pPr>
    </w:p>
    <w:p>
      <w:pPr>
        <w:ind w:left="1020" w:hanging="994"/>
        <w:spacing w:after="0"/>
        <w:tabs>
          <w:tab w:leader="none" w:pos="10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Denotes management contract or compensatory plan.</w:t>
      </w:r>
    </w:p>
    <w:p>
      <w:pPr>
        <w:spacing w:after="0" w:line="32" w:lineRule="exact"/>
        <w:rPr>
          <w:sz w:val="20"/>
          <w:szCs w:val="20"/>
          <w:color w:val="auto"/>
        </w:rPr>
      </w:pPr>
    </w:p>
    <w:p>
      <w:pPr>
        <w:ind w:left="1020" w:right="40" w:hanging="994"/>
        <w:spacing w:after="0" w:line="251" w:lineRule="auto"/>
        <w:tabs>
          <w:tab w:leader="none" w:pos="10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H-6</w:t>
      </w:r>
    </w:p>
    <w:p>
      <w:pPr>
        <w:sectPr>
          <w:pgSz w:w="11900" w:h="16838" w:orient="portrait"/>
          <w:cols w:equalWidth="0" w:num="1">
            <w:col w:w="11260"/>
          </w:cols>
          <w:pgMar w:left="320" w:top="121" w:right="31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0"/>
          <w:szCs w:val="20"/>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AMENDMENT NO. 1 TO THE</w:t>
      </w:r>
    </w:p>
    <w:p>
      <w:pPr>
        <w:ind w:left="4320"/>
        <w:spacing w:after="0" w:line="197" w:lineRule="auto"/>
        <w:rPr>
          <w:sz w:val="20"/>
          <w:szCs w:val="20"/>
          <w:color w:val="auto"/>
        </w:rPr>
      </w:pPr>
      <w:r>
        <w:rPr>
          <w:rFonts w:ascii="Times New Roman" w:cs="Times New Roman" w:eastAsia="Times New Roman" w:hAnsi="Times New Roman"/>
          <w:sz w:val="20"/>
          <w:szCs w:val="20"/>
          <w:b w:val="1"/>
          <w:bCs w:val="1"/>
          <w:color w:val="auto"/>
        </w:rPr>
        <w:t>AVIS BUDGET GROUP, INC.</w:t>
      </w:r>
    </w:p>
    <w:p>
      <w:pPr>
        <w:ind w:left="2500"/>
        <w:spacing w:after="0"/>
        <w:rPr>
          <w:sz w:val="20"/>
          <w:szCs w:val="20"/>
          <w:color w:val="auto"/>
        </w:rPr>
      </w:pPr>
      <w:r>
        <w:rPr>
          <w:rFonts w:ascii="Times New Roman" w:cs="Times New Roman" w:eastAsia="Times New Roman" w:hAnsi="Times New Roman"/>
          <w:sz w:val="20"/>
          <w:szCs w:val="20"/>
          <w:b w:val="1"/>
          <w:bCs w:val="1"/>
          <w:color w:val="auto"/>
        </w:rPr>
        <w:t>NON-EMPLOYEE DIRECTORS DEFERRED COMPENSATION PLAN</w:t>
      </w:r>
    </w:p>
    <w:p>
      <w:pPr>
        <w:spacing w:after="0" w:line="9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December 8, 2022</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Amendment No. 1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December 8, 2022, to the Avis Budget Group, Inc. Non-Employee Directors</w:t>
      </w:r>
    </w:p>
    <w:p>
      <w:pPr>
        <w:spacing w:after="0" w:line="221" w:lineRule="auto"/>
        <w:rPr>
          <w:sz w:val="20"/>
          <w:szCs w:val="20"/>
          <w:color w:val="auto"/>
        </w:rPr>
      </w:pPr>
      <w:r>
        <w:rPr>
          <w:rFonts w:ascii="Times New Roman" w:cs="Times New Roman" w:eastAsia="Times New Roman" w:hAnsi="Times New Roman"/>
          <w:sz w:val="20"/>
          <w:szCs w:val="20"/>
          <w:color w:val="auto"/>
        </w:rPr>
        <w:t>Deferred Compensation Plan, amended and restated as of January 1, 2019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has been approved by the board of directors of Avis Budget Group,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w:t>
      </w:r>
    </w:p>
    <w:p>
      <w:pPr>
        <w:spacing w:after="0" w:line="11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Unless otherwise defined herein, all capitalized terms used herein shall have the meanings given them in the Plan.</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Authority to Amend the Plan</w:t>
      </w:r>
      <w:r>
        <w:rPr>
          <w:rFonts w:ascii="Times New Roman" w:cs="Times New Roman" w:eastAsia="Times New Roman" w:hAnsi="Times New Roman"/>
          <w:sz w:val="20"/>
          <w:szCs w:val="20"/>
          <w:color w:val="auto"/>
        </w:rPr>
        <w:t>. The Plan is being amended pursuant to Section 9.1 of the Plan.</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Amendment to the Plan</w:t>
      </w:r>
      <w:r>
        <w:rPr>
          <w:rFonts w:ascii="Times New Roman" w:cs="Times New Roman" w:eastAsia="Times New Roman" w:hAnsi="Times New Roman"/>
          <w:sz w:val="20"/>
          <w:szCs w:val="20"/>
          <w:color w:val="auto"/>
        </w:rPr>
        <w:t>. The last paragraph of the definition of “Change in Control,” immediately following clause (d)</w:t>
      </w:r>
    </w:p>
    <w:p>
      <w:pPr>
        <w:spacing w:after="0" w:line="221" w:lineRule="auto"/>
        <w:rPr>
          <w:sz w:val="20"/>
          <w:szCs w:val="20"/>
          <w:color w:val="auto"/>
        </w:rPr>
      </w:pPr>
      <w:r>
        <w:rPr>
          <w:rFonts w:ascii="Times New Roman" w:cs="Times New Roman" w:eastAsia="Times New Roman" w:hAnsi="Times New Roman"/>
          <w:sz w:val="20"/>
          <w:szCs w:val="20"/>
          <w:color w:val="auto"/>
        </w:rPr>
        <w:t>therein, contained in Section 2.4 of the Plan, is hereby amended by deleting such paragraph in its entirety and replacing such paragraph with the following:</w:t>
      </w:r>
    </w:p>
    <w:p>
      <w:pPr>
        <w:spacing w:after="0" w:line="121" w:lineRule="exact"/>
        <w:rPr>
          <w:sz w:val="20"/>
          <w:szCs w:val="20"/>
          <w:color w:val="auto"/>
        </w:rPr>
      </w:pPr>
    </w:p>
    <w:p>
      <w:pPr>
        <w:jc w:val="both"/>
        <w:ind w:left="660" w:right="580"/>
        <w:spacing w:after="0" w:line="268" w:lineRule="auto"/>
        <w:rPr>
          <w:sz w:val="20"/>
          <w:szCs w:val="20"/>
          <w:color w:val="auto"/>
        </w:rPr>
      </w:pPr>
      <w:r>
        <w:rPr>
          <w:rFonts w:ascii="Times New Roman" w:cs="Times New Roman" w:eastAsia="Times New Roman" w:hAnsi="Times New Roman"/>
          <w:sz w:val="20"/>
          <w:szCs w:val="20"/>
          <w:color w:val="auto"/>
        </w:rPr>
        <w:t>“Notwithstanding the foregoing, (a) a Change of Control shall not be deemed to occur for purposes of any payment hereunder unless such transaction also constitutes a “change in control event” for purposes of Section 409A of the Code, and (b) under no circumstances shall the acquisition or ownership by SRS Investment Management, LLC and/or its affiliates of stock of the Company constitute a Change of Control.”</w:t>
      </w:r>
    </w:p>
    <w:p>
      <w:pPr>
        <w:spacing w:after="0" w:line="80"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Section 4. </w:t>
      </w:r>
      <w:r>
        <w:rPr>
          <w:rFonts w:ascii="Times New Roman" w:cs="Times New Roman" w:eastAsia="Times New Roman" w:hAnsi="Times New Roman"/>
          <w:sz w:val="19"/>
          <w:szCs w:val="19"/>
          <w:u w:val="single" w:color="auto"/>
          <w:color w:val="auto"/>
        </w:rPr>
        <w:t>Effect of the Amendment</w:t>
      </w:r>
      <w:r>
        <w:rPr>
          <w:rFonts w:ascii="Times New Roman" w:cs="Times New Roman" w:eastAsia="Times New Roman" w:hAnsi="Times New Roman"/>
          <w:sz w:val="19"/>
          <w:szCs w:val="19"/>
          <w:color w:val="auto"/>
        </w:rPr>
        <w:t>. Except as expressly amended hereby, the Plan shall remain in full force and effect. Any reference to the Plan contained in any notice, request or other document executed concurrently with or after the execution and delivery of this</w:t>
      </w:r>
    </w:p>
    <w:p>
      <w:pPr>
        <w:spacing w:after="0" w:line="211" w:lineRule="auto"/>
        <w:rPr>
          <w:sz w:val="20"/>
          <w:szCs w:val="20"/>
          <w:color w:val="auto"/>
        </w:rPr>
      </w:pPr>
      <w:r>
        <w:rPr>
          <w:rFonts w:ascii="Times New Roman" w:cs="Times New Roman" w:eastAsia="Times New Roman" w:hAnsi="Times New Roman"/>
          <w:sz w:val="20"/>
          <w:szCs w:val="20"/>
          <w:color w:val="auto"/>
        </w:rPr>
        <w:t>Amendment shall be deemed to include this Amendment unless the context shall otherwise require. For the sake of clarity, this Amendment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shall not be effective with respect to deferrals (and irrevocable deferral elections) made pursuant to the Plan prior to the date hereof, to the extent required to comply with Section 409A of the Code.</w:t>
      </w:r>
    </w:p>
    <w:p>
      <w:pPr>
        <w:spacing w:after="0" w:line="94"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shall be construed and interpreted in accordance with the laws of the State of Delaware, without giving effect to the conflict of law principles thereof.</w:t>
      </w:r>
    </w:p>
    <w:p>
      <w:pPr>
        <w:spacing w:after="0" w:line="93"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in this Amendment are included herein for convenience of reference only and shall not constitute a part of this Amendment for any other purposes.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w:t>
      </w:r>
    </w:p>
    <w:p>
      <w:pPr>
        <w:sectPr>
          <w:pgSz w:w="11900" w:h="16838" w:orient="portrait"/>
          <w:cols w:equalWidth="0" w:num="1">
            <w:col w:w="11240"/>
          </w:cols>
          <w:pgMar w:left="320" w:top="114"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AVIS BUDGET GROUP, INC.</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SUPPLEMENTAL SAVINGS PLAN</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EFFECTIVE</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4890-7633-3880.1 / 035682-1128</w:t>
      </w:r>
    </w:p>
    <w:p>
      <w:pPr>
        <w:sectPr>
          <w:pgSz w:w="11900" w:h="16838" w:orient="portrait"/>
          <w:cols w:equalWidth="0" w:num="1">
            <w:col w:w="11220"/>
          </w:cols>
          <w:pgMar w:left="340" w:top="114" w:right="339" w:bottom="1440" w:gutter="0" w:footer="0" w:header="0"/>
        </w:sectPr>
      </w:pPr>
    </w:p>
    <w:bookmarkStart w:id="110" w:name="page111"/>
    <w:bookmarkEnd w:id="110"/>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60" w:type="dxa"/>
        <w:tblCellMar>
          <w:top w:w="0" w:type="dxa"/>
          <w:left w:w="0" w:type="dxa"/>
          <w:bottom w:w="0" w:type="dxa"/>
          <w:right w:w="0" w:type="dxa"/>
        </w:tblCellMar>
      </w:tblPr>
      <w:tr>
        <w:trPr>
          <w:trHeight w:val="258"/>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ARTICLE I - SPONSORSHIP AND PURPOSE OF PLAN</w:t>
            </w:r>
          </w:p>
        </w:tc>
        <w:tc>
          <w:tcPr>
            <w:tcW w:w="2940" w:type="dxa"/>
            <w:vAlign w:val="bottom"/>
          </w:tcPr>
          <w:p>
            <w:pPr>
              <w:ind w:left="2740"/>
              <w:spacing w:after="0"/>
              <w:rPr>
                <w:sz w:val="20"/>
                <w:szCs w:val="20"/>
                <w:color w:val="auto"/>
              </w:rPr>
            </w:pPr>
            <w:r>
              <w:rPr>
                <w:rFonts w:ascii="Times New Roman" w:cs="Times New Roman" w:eastAsia="Times New Roman" w:hAnsi="Times New Roman"/>
                <w:sz w:val="20"/>
                <w:szCs w:val="20"/>
                <w:color w:val="auto"/>
              </w:rPr>
              <w:t>1</w:t>
            </w:r>
          </w:p>
        </w:tc>
      </w:tr>
      <w:tr>
        <w:trPr>
          <w:trHeight w:val="499"/>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ARTICLE II - DEFINITIONS</w:t>
            </w:r>
          </w:p>
        </w:tc>
        <w:tc>
          <w:tcPr>
            <w:tcW w:w="2940" w:type="dxa"/>
            <w:vAlign w:val="bottom"/>
          </w:tcPr>
          <w:p>
            <w:pPr>
              <w:ind w:left="2740"/>
              <w:spacing w:after="0"/>
              <w:rPr>
                <w:sz w:val="20"/>
                <w:szCs w:val="20"/>
                <w:color w:val="auto"/>
              </w:rPr>
            </w:pPr>
            <w:r>
              <w:rPr>
                <w:rFonts w:ascii="Times New Roman" w:cs="Times New Roman" w:eastAsia="Times New Roman" w:hAnsi="Times New Roman"/>
                <w:sz w:val="20"/>
                <w:szCs w:val="20"/>
                <w:color w:val="auto"/>
              </w:rPr>
              <w:t>1</w:t>
            </w:r>
          </w:p>
        </w:tc>
      </w:tr>
      <w:tr>
        <w:trPr>
          <w:trHeight w:val="500"/>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ARTICLE III - PARTICIPATION</w:t>
            </w:r>
          </w:p>
        </w:tc>
        <w:tc>
          <w:tcPr>
            <w:tcW w:w="2940" w:type="dxa"/>
            <w:vAlign w:val="bottom"/>
          </w:tcPr>
          <w:p>
            <w:pPr>
              <w:ind w:left="2740"/>
              <w:spacing w:after="0"/>
              <w:rPr>
                <w:sz w:val="20"/>
                <w:szCs w:val="20"/>
                <w:color w:val="auto"/>
              </w:rPr>
            </w:pPr>
            <w:r>
              <w:rPr>
                <w:rFonts w:ascii="Times New Roman" w:cs="Times New Roman" w:eastAsia="Times New Roman" w:hAnsi="Times New Roman"/>
                <w:sz w:val="20"/>
                <w:szCs w:val="20"/>
                <w:color w:val="auto"/>
              </w:rPr>
              <w:t>4</w:t>
            </w:r>
          </w:p>
        </w:tc>
      </w:tr>
      <w:tr>
        <w:trPr>
          <w:trHeight w:val="499"/>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ARTICLE IV - ELECTIVE AND MATCHING DEFERRALS</w:t>
            </w:r>
          </w:p>
        </w:tc>
        <w:tc>
          <w:tcPr>
            <w:tcW w:w="2940" w:type="dxa"/>
            <w:vAlign w:val="bottom"/>
          </w:tcPr>
          <w:p>
            <w:pPr>
              <w:ind w:left="2740"/>
              <w:spacing w:after="0"/>
              <w:rPr>
                <w:sz w:val="20"/>
                <w:szCs w:val="20"/>
                <w:color w:val="auto"/>
              </w:rPr>
            </w:pPr>
            <w:r>
              <w:rPr>
                <w:rFonts w:ascii="Times New Roman" w:cs="Times New Roman" w:eastAsia="Times New Roman" w:hAnsi="Times New Roman"/>
                <w:sz w:val="20"/>
                <w:szCs w:val="20"/>
                <w:color w:val="auto"/>
              </w:rPr>
              <w:t>4</w:t>
            </w:r>
          </w:p>
        </w:tc>
      </w:tr>
      <w:tr>
        <w:trPr>
          <w:trHeight w:val="499"/>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ARTICLE V - ACCOUNTS</w:t>
            </w:r>
          </w:p>
        </w:tc>
        <w:tc>
          <w:tcPr>
            <w:tcW w:w="2940" w:type="dxa"/>
            <w:vAlign w:val="bottom"/>
          </w:tcPr>
          <w:p>
            <w:pPr>
              <w:ind w:left="2740"/>
              <w:spacing w:after="0"/>
              <w:rPr>
                <w:sz w:val="20"/>
                <w:szCs w:val="20"/>
                <w:color w:val="auto"/>
              </w:rPr>
            </w:pPr>
            <w:r>
              <w:rPr>
                <w:rFonts w:ascii="Times New Roman" w:cs="Times New Roman" w:eastAsia="Times New Roman" w:hAnsi="Times New Roman"/>
                <w:sz w:val="20"/>
                <w:szCs w:val="20"/>
                <w:color w:val="auto"/>
              </w:rPr>
              <w:t>6</w:t>
            </w:r>
          </w:p>
        </w:tc>
      </w:tr>
      <w:tr>
        <w:trPr>
          <w:trHeight w:val="500"/>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ARTICLE VI - PAYMENTS</w:t>
            </w:r>
          </w:p>
        </w:tc>
        <w:tc>
          <w:tcPr>
            <w:tcW w:w="2940" w:type="dxa"/>
            <w:vAlign w:val="bottom"/>
          </w:tcPr>
          <w:p>
            <w:pPr>
              <w:ind w:left="2740"/>
              <w:spacing w:after="0"/>
              <w:rPr>
                <w:sz w:val="20"/>
                <w:szCs w:val="20"/>
                <w:color w:val="auto"/>
              </w:rPr>
            </w:pPr>
            <w:r>
              <w:rPr>
                <w:rFonts w:ascii="Times New Roman" w:cs="Times New Roman" w:eastAsia="Times New Roman" w:hAnsi="Times New Roman"/>
                <w:sz w:val="20"/>
                <w:szCs w:val="20"/>
                <w:color w:val="auto"/>
              </w:rPr>
              <w:t>6</w:t>
            </w:r>
          </w:p>
        </w:tc>
      </w:tr>
      <w:tr>
        <w:trPr>
          <w:trHeight w:val="499"/>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ARTICLE VII - BENEFICIARY DESIGNATION</w:t>
            </w:r>
          </w:p>
        </w:tc>
        <w:tc>
          <w:tcPr>
            <w:tcW w:w="2940" w:type="dxa"/>
            <w:vAlign w:val="bottom"/>
          </w:tcPr>
          <w:p>
            <w:pPr>
              <w:ind w:left="2740"/>
              <w:spacing w:after="0"/>
              <w:rPr>
                <w:sz w:val="20"/>
                <w:szCs w:val="20"/>
                <w:color w:val="auto"/>
              </w:rPr>
            </w:pPr>
            <w:r>
              <w:rPr>
                <w:rFonts w:ascii="Times New Roman" w:cs="Times New Roman" w:eastAsia="Times New Roman" w:hAnsi="Times New Roman"/>
                <w:sz w:val="20"/>
                <w:szCs w:val="20"/>
                <w:color w:val="auto"/>
              </w:rPr>
              <w:t>8</w:t>
            </w:r>
          </w:p>
        </w:tc>
      </w:tr>
      <w:tr>
        <w:trPr>
          <w:trHeight w:val="499"/>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ARTICLE VIII - PLAN ADMINISTRATION</w:t>
            </w:r>
          </w:p>
        </w:tc>
        <w:tc>
          <w:tcPr>
            <w:tcW w:w="2940" w:type="dxa"/>
            <w:vAlign w:val="bottom"/>
          </w:tcPr>
          <w:p>
            <w:pPr>
              <w:ind w:left="2740"/>
              <w:spacing w:after="0"/>
              <w:rPr>
                <w:sz w:val="20"/>
                <w:szCs w:val="20"/>
                <w:color w:val="auto"/>
              </w:rPr>
            </w:pPr>
            <w:r>
              <w:rPr>
                <w:rFonts w:ascii="Times New Roman" w:cs="Times New Roman" w:eastAsia="Times New Roman" w:hAnsi="Times New Roman"/>
                <w:sz w:val="20"/>
                <w:szCs w:val="20"/>
                <w:color w:val="auto"/>
              </w:rPr>
              <w:t>9</w:t>
            </w:r>
          </w:p>
        </w:tc>
      </w:tr>
      <w:tr>
        <w:trPr>
          <w:trHeight w:val="500"/>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ARTICLE IX - AMENDMENT AND TERMINATION</w:t>
            </w:r>
          </w:p>
        </w:tc>
        <w:tc>
          <w:tcPr>
            <w:tcW w:w="2940" w:type="dxa"/>
            <w:vAlign w:val="bottom"/>
          </w:tcPr>
          <w:p>
            <w:pPr>
              <w:ind w:left="2740"/>
              <w:spacing w:after="0"/>
              <w:rPr>
                <w:sz w:val="20"/>
                <w:szCs w:val="20"/>
                <w:color w:val="auto"/>
              </w:rPr>
            </w:pPr>
            <w:r>
              <w:rPr>
                <w:rFonts w:ascii="Times New Roman" w:cs="Times New Roman" w:eastAsia="Times New Roman" w:hAnsi="Times New Roman"/>
                <w:sz w:val="20"/>
                <w:szCs w:val="20"/>
                <w:color w:val="auto"/>
                <w:w w:val="89"/>
              </w:rPr>
              <w:t>10</w:t>
            </w:r>
          </w:p>
        </w:tc>
      </w:tr>
      <w:tr>
        <w:trPr>
          <w:trHeight w:val="500"/>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ARTICLE X - MISCELLANEOUS</w:t>
            </w:r>
          </w:p>
        </w:tc>
        <w:tc>
          <w:tcPr>
            <w:tcW w:w="2940" w:type="dxa"/>
            <w:vAlign w:val="bottom"/>
          </w:tcPr>
          <w:p>
            <w:pPr>
              <w:ind w:left="2740"/>
              <w:spacing w:after="0"/>
              <w:rPr>
                <w:sz w:val="20"/>
                <w:szCs w:val="20"/>
                <w:color w:val="auto"/>
              </w:rPr>
            </w:pPr>
            <w:r>
              <w:rPr>
                <w:rFonts w:ascii="Times New Roman" w:cs="Times New Roman" w:eastAsia="Times New Roman" w:hAnsi="Times New Roman"/>
                <w:sz w:val="20"/>
                <w:szCs w:val="20"/>
                <w:color w:val="auto"/>
                <w:w w:val="89"/>
              </w:rPr>
              <w:t>11</w:t>
            </w:r>
          </w:p>
        </w:tc>
      </w:tr>
      <w:tr>
        <w:trPr>
          <w:trHeight w:val="500"/>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ARTICLE XI - FUNDING</w:t>
            </w:r>
          </w:p>
        </w:tc>
        <w:tc>
          <w:tcPr>
            <w:tcW w:w="2940" w:type="dxa"/>
            <w:vAlign w:val="bottom"/>
          </w:tcPr>
          <w:p>
            <w:pPr>
              <w:ind w:left="2740"/>
              <w:spacing w:after="0"/>
              <w:rPr>
                <w:sz w:val="20"/>
                <w:szCs w:val="20"/>
                <w:color w:val="auto"/>
              </w:rPr>
            </w:pPr>
            <w:r>
              <w:rPr>
                <w:rFonts w:ascii="Times New Roman" w:cs="Times New Roman" w:eastAsia="Times New Roman" w:hAnsi="Times New Roman"/>
                <w:sz w:val="20"/>
                <w:szCs w:val="20"/>
                <w:color w:val="auto"/>
                <w:w w:val="89"/>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color w:val="auto"/>
        </w:rPr>
        <w:t>i.</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4890-7633-3880.1 / 035682-1128</w:t>
      </w:r>
    </w:p>
    <w:p>
      <w:pPr>
        <w:sectPr>
          <w:pgSz w:w="11900" w:h="16838" w:orient="portrait"/>
          <w:cols w:equalWidth="0" w:num="1">
            <w:col w:w="11120"/>
          </w:cols>
          <w:pgMar w:left="340" w:top="100" w:right="439" w:bottom="1440" w:gutter="0" w:footer="0" w:header="0"/>
        </w:sectPr>
      </w:pPr>
    </w:p>
    <w:bookmarkStart w:id="111" w:name="page112"/>
    <w:bookmarkEnd w:id="111"/>
    <w:p>
      <w:pPr>
        <w:spacing w:after="0" w:line="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b w:val="1"/>
          <w:bCs w:val="1"/>
          <w:color w:val="auto"/>
        </w:rPr>
        <w:t>ARTICLE I - SPONSORSHIP AND PURPOSE OF PLAN</w:t>
      </w:r>
    </w:p>
    <w:p>
      <w:pPr>
        <w:spacing w:after="0" w:line="200" w:lineRule="exact"/>
        <w:rPr>
          <w:sz w:val="20"/>
          <w:szCs w:val="20"/>
          <w:color w:val="auto"/>
        </w:rPr>
      </w:pPr>
    </w:p>
    <w:p>
      <w:pPr>
        <w:spacing w:after="0" w:line="33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u w:val="single" w:color="auto"/>
          <w:color w:val="auto"/>
        </w:rPr>
        <w:t>Sponsorship</w:t>
      </w:r>
    </w:p>
    <w:p>
      <w:pPr>
        <w:spacing w:after="0" w:line="224" w:lineRule="exact"/>
        <w:rPr>
          <w:sz w:val="20"/>
          <w:szCs w:val="20"/>
          <w:color w:val="auto"/>
        </w:rPr>
      </w:pPr>
    </w:p>
    <w:p>
      <w:pPr>
        <w:jc w:val="both"/>
        <w:ind w:left="660"/>
        <w:spacing w:after="0" w:line="276" w:lineRule="auto"/>
        <w:rPr>
          <w:sz w:val="20"/>
          <w:szCs w:val="20"/>
          <w:color w:val="auto"/>
        </w:rPr>
      </w:pPr>
      <w:r>
        <w:rPr>
          <w:rFonts w:ascii="Times New Roman" w:cs="Times New Roman" w:eastAsia="Times New Roman" w:hAnsi="Times New Roman"/>
          <w:sz w:val="22"/>
          <w:szCs w:val="22"/>
          <w:color w:val="auto"/>
        </w:rPr>
        <w:t>Avis Budget Group, Inc. (the "Company") a corporation organized under the laws of the State of Delaware, sponsors the Avis Budget Group, Inc. Supplemental Savings Plan (the "Plan"), a non-qualified deferred compensation plan for the benefit of Participants and Beneficiaries (as defined herein). This Plan shall generally be effective January 1, 2023; however, the Plan will be effective as to each individual upon such individual becoming a Participant. The Plan is the result of amendments to the Avis Budget Group, Inc. Deferred Compensation Plan (the “Deferred Compensation Plan”) and the Avis Budget Group, Inc. Savings Restoration Plan (the “Savings Restoration Plan”) (collectively such plans shall be referred to as “Legacy Plans”), to merge such plans into the Plan effective January 1, 2023.</w:t>
      </w:r>
    </w:p>
    <w:p>
      <w:pPr>
        <w:spacing w:after="0" w:line="184" w:lineRule="exact"/>
        <w:rPr>
          <w:sz w:val="20"/>
          <w:szCs w:val="20"/>
          <w:color w:val="auto"/>
        </w:rPr>
      </w:pPr>
    </w:p>
    <w:p>
      <w:pPr>
        <w:jc w:val="both"/>
        <w:ind w:left="660"/>
        <w:spacing w:after="0" w:line="279" w:lineRule="auto"/>
        <w:rPr>
          <w:sz w:val="20"/>
          <w:szCs w:val="20"/>
          <w:color w:val="auto"/>
        </w:rPr>
      </w:pPr>
      <w:r>
        <w:rPr>
          <w:rFonts w:ascii="Times New Roman" w:cs="Times New Roman" w:eastAsia="Times New Roman" w:hAnsi="Times New Roman"/>
          <w:sz w:val="22"/>
          <w:szCs w:val="22"/>
          <w:color w:val="auto"/>
        </w:rPr>
        <w:t>Effective as of November 1, 2008, the Deferred Compensation Plan was amended to merge the Avis Rent A Car System, LLC Deferred Compensation Plan (referred to as the "Old ARAC Plan'') into the deferred Compensation Plan and to conform with certain other administrative or operational procedures. Except where specifically noted, the provisions of this document will apply to the Plan, the Deferred Compensation Plan, the Savings Restoration Plan and the Old ARAC Plan.</w:t>
      </w:r>
    </w:p>
    <w:p>
      <w:pPr>
        <w:spacing w:after="0" w:line="1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u w:val="single" w:color="auto"/>
          <w:color w:val="auto"/>
        </w:rPr>
        <w:t>Purpose of Plan</w:t>
      </w:r>
    </w:p>
    <w:p>
      <w:pPr>
        <w:spacing w:after="0" w:line="210" w:lineRule="exact"/>
        <w:rPr>
          <w:sz w:val="20"/>
          <w:szCs w:val="20"/>
          <w:color w:val="auto"/>
        </w:rPr>
      </w:pPr>
    </w:p>
    <w:p>
      <w:pPr>
        <w:jc w:val="both"/>
        <w:ind w:left="660" w:firstLine="1"/>
        <w:spacing w:after="0" w:line="261" w:lineRule="auto"/>
        <w:rPr>
          <w:sz w:val="20"/>
          <w:szCs w:val="20"/>
          <w:color w:val="auto"/>
        </w:rPr>
      </w:pPr>
      <w:r>
        <w:rPr>
          <w:rFonts w:ascii="Times New Roman" w:cs="Times New Roman" w:eastAsia="Times New Roman" w:hAnsi="Times New Roman"/>
          <w:sz w:val="22"/>
          <w:szCs w:val="22"/>
          <w:color w:val="auto"/>
        </w:rPr>
        <w:t>The Plan is intended to be an unfunded plan maintained primarily for the purpose of enabling certain employees to defer receipt of designated percentages or amounts of their Compensation and to provide a means for certain other deferrals of Compensation. The employees who participate in the Plan are a select group of management or highly compensated employees and this Plan shall be classified as a “top hat” plan.</w:t>
      </w:r>
    </w:p>
    <w:p>
      <w:pPr>
        <w:spacing w:after="0" w:line="151"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b w:val="1"/>
          <w:bCs w:val="1"/>
          <w:color w:val="auto"/>
        </w:rPr>
        <w:t>ARTICLE II - DEFINITIONS</w:t>
      </w:r>
    </w:p>
    <w:p>
      <w:pPr>
        <w:spacing w:after="0" w:line="183" w:lineRule="exact"/>
        <w:rPr>
          <w:sz w:val="20"/>
          <w:szCs w:val="20"/>
          <w:color w:val="auto"/>
        </w:rPr>
      </w:pPr>
    </w:p>
    <w:p>
      <w:pPr>
        <w:jc w:val="both"/>
        <w:ind w:left="660" w:hanging="3"/>
        <w:spacing w:after="0" w:line="236" w:lineRule="auto"/>
        <w:rPr>
          <w:sz w:val="20"/>
          <w:szCs w:val="20"/>
          <w:color w:val="auto"/>
        </w:rPr>
      </w:pPr>
      <w:r>
        <w:rPr>
          <w:rFonts w:ascii="Times New Roman" w:cs="Times New Roman" w:eastAsia="Times New Roman" w:hAnsi="Times New Roman"/>
          <w:sz w:val="22"/>
          <w:szCs w:val="22"/>
          <w:color w:val="auto"/>
        </w:rPr>
        <w:t>Wherever used herein, the following terms have the meanings set forth below, unless a different meaning is clearly required by the context:</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Account </w:t>
      </w:r>
      <w:r>
        <w:rPr>
          <w:rFonts w:ascii="Times New Roman" w:cs="Times New Roman" w:eastAsia="Times New Roman" w:hAnsi="Times New Roman"/>
          <w:sz w:val="21"/>
          <w:szCs w:val="21"/>
          <w:color w:val="auto"/>
        </w:rPr>
        <w:t>means, for each Participant, the account established for his or her benefit under Section 5.1.</w:t>
      </w:r>
    </w:p>
    <w:p>
      <w:pPr>
        <w:spacing w:after="0" w:line="179" w:lineRule="exact"/>
        <w:rPr>
          <w:sz w:val="20"/>
          <w:szCs w:val="20"/>
          <w:color w:val="auto"/>
        </w:rPr>
      </w:pPr>
    </w:p>
    <w:p>
      <w:pPr>
        <w:ind w:left="660" w:hanging="647"/>
        <w:spacing w:after="0" w:line="238"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Beneficiary </w:t>
      </w:r>
      <w:r>
        <w:rPr>
          <w:rFonts w:ascii="Times New Roman" w:cs="Times New Roman" w:eastAsia="Times New Roman" w:hAnsi="Times New Roman"/>
          <w:sz w:val="22"/>
          <w:szCs w:val="22"/>
          <w:color w:val="auto"/>
        </w:rPr>
        <w:t>means the person(s) or entity designated by the Participant in accordance with the provisions of Article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VII to receive benefits under the Plan as a result of a Participant's death.</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Board </w:t>
      </w:r>
      <w:r>
        <w:rPr>
          <w:rFonts w:ascii="Times New Roman" w:cs="Times New Roman" w:eastAsia="Times New Roman" w:hAnsi="Times New Roman"/>
          <w:sz w:val="21"/>
          <w:szCs w:val="21"/>
          <w:color w:val="auto"/>
        </w:rPr>
        <w:t>means the Board of Directors of the Company.</w:t>
      </w:r>
    </w:p>
    <w:p>
      <w:pPr>
        <w:spacing w:after="0" w:line="200" w:lineRule="exact"/>
        <w:rPr>
          <w:sz w:val="20"/>
          <w:szCs w:val="20"/>
          <w:color w:val="auto"/>
        </w:rPr>
      </w:pPr>
    </w:p>
    <w:p>
      <w:pPr>
        <w:spacing w:after="0" w:line="300" w:lineRule="exact"/>
        <w:rPr>
          <w:sz w:val="20"/>
          <w:szCs w:val="20"/>
          <w:color w:val="auto"/>
        </w:rPr>
      </w:pPr>
    </w:p>
    <w:p>
      <w:pPr>
        <w:jc w:val="center"/>
        <w:ind w:right="-499"/>
        <w:spacing w:after="0"/>
        <w:rPr>
          <w:sz w:val="20"/>
          <w:szCs w:val="20"/>
          <w:color w:val="auto"/>
        </w:rPr>
      </w:pPr>
      <w:r>
        <w:rPr>
          <w:rFonts w:ascii="Calibri" w:cs="Calibri" w:eastAsia="Calibri" w:hAnsi="Calibri"/>
          <w:sz w:val="20"/>
          <w:szCs w:val="20"/>
          <w:color w:val="auto"/>
        </w:rPr>
        <w:t>1</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4890-7633-3880.1 / 035682-1128</w:t>
      </w:r>
    </w:p>
    <w:p>
      <w:pPr>
        <w:sectPr>
          <w:pgSz w:w="11900" w:h="16838" w:orient="portrait"/>
          <w:cols w:equalWidth="0" w:num="1">
            <w:col w:w="10740"/>
          </w:cols>
          <w:pgMar w:left="320" w:top="1440" w:right="839" w:bottom="1440" w:gutter="0" w:footer="0" w:header="0"/>
        </w:sectPr>
      </w:pPr>
    </w:p>
    <w:bookmarkStart w:id="112" w:name="page113"/>
    <w:bookmarkEnd w:id="112"/>
    <w:p>
      <w:pPr>
        <w:spacing w:after="0" w:line="2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Change of Control </w:t>
      </w:r>
      <w:r>
        <w:rPr>
          <w:rFonts w:ascii="Times New Roman" w:cs="Times New Roman" w:eastAsia="Times New Roman" w:hAnsi="Times New Roman"/>
          <w:sz w:val="21"/>
          <w:szCs w:val="21"/>
          <w:color w:val="auto"/>
        </w:rPr>
        <w:t>means the date on which:</w:t>
      </w:r>
    </w:p>
    <w:p>
      <w:pPr>
        <w:spacing w:after="0" w:line="224" w:lineRule="exact"/>
        <w:rPr>
          <w:sz w:val="20"/>
          <w:szCs w:val="20"/>
          <w:color w:val="auto"/>
        </w:rPr>
      </w:pPr>
    </w:p>
    <w:p>
      <w:pPr>
        <w:jc w:val="both"/>
        <w:ind w:left="660" w:right="320" w:hanging="328"/>
        <w:spacing w:after="0" w:line="289" w:lineRule="auto"/>
        <w:tabs>
          <w:tab w:leader="none" w:pos="6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 one person, or more than one person acting as a group, acquires ownership of stock of the Company that, together with stock held by such person or group, constitutes more than 50 % of the total fair market value or total voting power of the stock of the Company;</w:t>
      </w:r>
    </w:p>
    <w:p>
      <w:pPr>
        <w:spacing w:after="0" w:line="193" w:lineRule="exact"/>
        <w:rPr>
          <w:rFonts w:ascii="Times New Roman" w:cs="Times New Roman" w:eastAsia="Times New Roman" w:hAnsi="Times New Roman"/>
          <w:sz w:val="21"/>
          <w:szCs w:val="21"/>
          <w:color w:val="auto"/>
        </w:rPr>
      </w:pPr>
    </w:p>
    <w:p>
      <w:pPr>
        <w:jc w:val="both"/>
        <w:ind w:left="660" w:right="320" w:hanging="328"/>
        <w:spacing w:after="0" w:line="289" w:lineRule="auto"/>
        <w:tabs>
          <w:tab w:leader="none" w:pos="658"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 one person, or more than one person acting as a group, acquires (or has acquired during the twelve-month period ending on the date of the most recent acquisition by such person or persons) ownership of stock of the Company possessing 30% or more of the total voting power of the stock of the Company;</w:t>
      </w:r>
    </w:p>
    <w:p>
      <w:pPr>
        <w:spacing w:after="0" w:line="193" w:lineRule="exact"/>
        <w:rPr>
          <w:rFonts w:ascii="Times New Roman" w:cs="Times New Roman" w:eastAsia="Times New Roman" w:hAnsi="Times New Roman"/>
          <w:sz w:val="21"/>
          <w:szCs w:val="21"/>
          <w:color w:val="auto"/>
        </w:rPr>
      </w:pPr>
    </w:p>
    <w:p>
      <w:pPr>
        <w:jc w:val="both"/>
        <w:ind w:left="660" w:right="320" w:hanging="328"/>
        <w:spacing w:after="0" w:line="289" w:lineRule="auto"/>
        <w:tabs>
          <w:tab w:leader="none" w:pos="6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majority of members of the Company's Board of Directors is replaced during any twelve-month period by directors whose appointment or election is not endorsed by a majority of the members of the Company's Board of Directors before the date of the appointment or election; or</w:t>
      </w:r>
    </w:p>
    <w:p>
      <w:pPr>
        <w:spacing w:after="0" w:line="193" w:lineRule="exact"/>
        <w:rPr>
          <w:rFonts w:ascii="Times New Roman" w:cs="Times New Roman" w:eastAsia="Times New Roman" w:hAnsi="Times New Roman"/>
          <w:sz w:val="21"/>
          <w:szCs w:val="21"/>
          <w:color w:val="auto"/>
        </w:rPr>
      </w:pPr>
    </w:p>
    <w:p>
      <w:pPr>
        <w:jc w:val="both"/>
        <w:ind w:left="660" w:right="320" w:hanging="328"/>
        <w:spacing w:after="0" w:line="282" w:lineRule="auto"/>
        <w:tabs>
          <w:tab w:leader="none" w:pos="658"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 one person, or more than one person acting as a group, acquires (or has acquired during the twelve-month periods ending on the date of the most recent acquisition by such person or persons) assets from the corporation that have at total gross fair market value equal to more than 40% of the total gross fair market value of all of the assets of the Company immediately before such acquisition or acquisitions.</w:t>
      </w:r>
    </w:p>
    <w:p>
      <w:pPr>
        <w:spacing w:after="0" w:line="161" w:lineRule="exact"/>
        <w:rPr>
          <w:sz w:val="20"/>
          <w:szCs w:val="20"/>
          <w:color w:val="auto"/>
        </w:rPr>
      </w:pPr>
    </w:p>
    <w:p>
      <w:pPr>
        <w:ind w:left="660"/>
        <w:spacing w:after="0" w:line="25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notwithstanding anything in the foregoing to the contrary, under no circumstances shall the acquisition or ownership by SRS Investment Management, LLC and/or its affiliates of stock of the Company constitute a Change of Control.</w:t>
      </w:r>
    </w:p>
    <w:p>
      <w:pPr>
        <w:spacing w:after="0" w:line="182" w:lineRule="exact"/>
        <w:rPr>
          <w:sz w:val="20"/>
          <w:szCs w:val="20"/>
          <w:color w:val="auto"/>
        </w:rPr>
      </w:pPr>
    </w:p>
    <w:p>
      <w:pPr>
        <w:jc w:val="both"/>
        <w:ind w:left="660" w:right="320" w:hanging="647"/>
        <w:spacing w:after="0" w:line="227"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Code </w:t>
      </w:r>
      <w:r>
        <w:rPr>
          <w:rFonts w:ascii="Times New Roman" w:cs="Times New Roman" w:eastAsia="Times New Roman" w:hAnsi="Times New Roman"/>
          <w:sz w:val="22"/>
          <w:szCs w:val="22"/>
          <w:color w:val="auto"/>
        </w:rPr>
        <w:t>means the Internal Revenue Code of 1986, as amended from time to time. Reference to any section or</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subsection of the Code includes reference to any comparable or succeeding provisions of any legislation which amends, supplements or replaces such section or subsection.</w:t>
      </w:r>
    </w:p>
    <w:p>
      <w:pPr>
        <w:spacing w:after="0" w:line="146" w:lineRule="exact"/>
        <w:rPr>
          <w:sz w:val="20"/>
          <w:szCs w:val="20"/>
          <w:color w:val="auto"/>
        </w:rPr>
      </w:pPr>
    </w:p>
    <w:p>
      <w:pPr>
        <w:jc w:val="both"/>
        <w:ind w:left="660" w:right="320" w:hanging="647"/>
        <w:spacing w:after="0" w:line="227"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Committee </w:t>
      </w:r>
      <w:r>
        <w:rPr>
          <w:rFonts w:ascii="Times New Roman" w:cs="Times New Roman" w:eastAsia="Times New Roman" w:hAnsi="Times New Roman"/>
          <w:sz w:val="22"/>
          <w:szCs w:val="22"/>
          <w:color w:val="auto"/>
        </w:rPr>
        <w:t>means a Committee of one or more persons appointed by the Board to administer the Plan. In the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absence of such appointment, or if, due to resignation or other cause, no appointed members remain, the Board shall be the Committee.</w:t>
      </w:r>
    </w:p>
    <w:p>
      <w:pPr>
        <w:spacing w:after="0" w:line="146" w:lineRule="exact"/>
        <w:rPr>
          <w:sz w:val="20"/>
          <w:szCs w:val="20"/>
          <w:color w:val="auto"/>
        </w:rPr>
      </w:pPr>
    </w:p>
    <w:p>
      <w:pPr>
        <w:jc w:val="both"/>
        <w:ind w:left="660" w:right="320" w:hanging="647"/>
        <w:spacing w:after="0" w:line="238"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Compensation </w:t>
      </w:r>
      <w:r>
        <w:rPr>
          <w:rFonts w:ascii="Times New Roman" w:cs="Times New Roman" w:eastAsia="Times New Roman" w:hAnsi="Times New Roman"/>
          <w:sz w:val="22"/>
          <w:szCs w:val="22"/>
          <w:color w:val="auto"/>
        </w:rPr>
        <w:t>means a Participant’s annual base salary and annual bonus received from the Employer as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compensation for services.</w:t>
      </w:r>
    </w:p>
    <w:p>
      <w:pPr>
        <w:spacing w:after="0" w:line="146" w:lineRule="exact"/>
        <w:rPr>
          <w:sz w:val="20"/>
          <w:szCs w:val="20"/>
          <w:color w:val="auto"/>
        </w:rPr>
      </w:pPr>
    </w:p>
    <w:p>
      <w:pPr>
        <w:jc w:val="both"/>
        <w:ind w:left="660" w:right="320" w:hanging="647"/>
        <w:spacing w:after="0" w:line="227"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2.8</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Disabled or Disability </w:t>
      </w:r>
      <w:r>
        <w:rPr>
          <w:rFonts w:ascii="Times New Roman" w:cs="Times New Roman" w:eastAsia="Times New Roman" w:hAnsi="Times New Roman"/>
          <w:sz w:val="22"/>
          <w:szCs w:val="22"/>
          <w:color w:val="auto"/>
        </w:rPr>
        <w:t>means the inability of a Participant to engage in any substantial, gainful activity by reason of</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any medically determinable physical or mental impairment which can be expected to result in death or which has lasted or can be expected to last for a continuous period of not less than 12 months, and the</w:t>
      </w:r>
    </w:p>
    <w:p>
      <w:pPr>
        <w:spacing w:after="0" w:line="200" w:lineRule="exact"/>
        <w:rPr>
          <w:sz w:val="20"/>
          <w:szCs w:val="20"/>
          <w:color w:val="auto"/>
        </w:rPr>
      </w:pPr>
    </w:p>
    <w:p>
      <w:pPr>
        <w:spacing w:after="0" w:line="267" w:lineRule="exact"/>
        <w:rPr>
          <w:sz w:val="20"/>
          <w:szCs w:val="20"/>
          <w:color w:val="auto"/>
        </w:rPr>
      </w:pPr>
    </w:p>
    <w:p>
      <w:pPr>
        <w:jc w:val="center"/>
        <w:ind w:right="-179"/>
        <w:spacing w:after="0"/>
        <w:rPr>
          <w:sz w:val="20"/>
          <w:szCs w:val="20"/>
          <w:color w:val="auto"/>
        </w:rPr>
      </w:pPr>
      <w:r>
        <w:rPr>
          <w:rFonts w:ascii="Calibri" w:cs="Calibri" w:eastAsia="Calibri" w:hAnsi="Calibri"/>
          <w:sz w:val="20"/>
          <w:szCs w:val="20"/>
          <w:color w:val="auto"/>
        </w:rPr>
        <w:t>2</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4890-7633-3880.1 / 035682-1128</w:t>
      </w:r>
    </w:p>
    <w:p>
      <w:pPr>
        <w:sectPr>
          <w:pgSz w:w="11900" w:h="16838" w:orient="portrait"/>
          <w:cols w:equalWidth="0" w:num="1">
            <w:col w:w="11060"/>
          </w:cols>
          <w:pgMar w:left="320" w:top="1440" w:right="519" w:bottom="1440" w:gutter="0" w:footer="0" w:header="0"/>
        </w:sectPr>
      </w:pPr>
    </w:p>
    <w:bookmarkStart w:id="113" w:name="page114"/>
    <w:bookmarkEnd w:id="113"/>
    <w:p>
      <w:pPr>
        <w:ind w:left="660"/>
        <w:spacing w:after="0"/>
        <w:rPr>
          <w:sz w:val="20"/>
          <w:szCs w:val="20"/>
          <w:color w:val="auto"/>
        </w:rPr>
      </w:pPr>
      <w:r>
        <w:rPr>
          <w:rFonts w:ascii="Times New Roman" w:cs="Times New Roman" w:eastAsia="Times New Roman" w:hAnsi="Times New Roman"/>
          <w:sz w:val="22"/>
          <w:szCs w:val="22"/>
          <w:color w:val="auto"/>
        </w:rPr>
        <w:t>permanence and degree of which shall be supported by medical evidence satisfactory to the Committee.</w:t>
      </w:r>
    </w:p>
    <w:p>
      <w:pPr>
        <w:spacing w:after="0" w:line="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2.9</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Election Form </w:t>
      </w:r>
      <w:r>
        <w:rPr>
          <w:rFonts w:ascii="Times New Roman" w:cs="Times New Roman" w:eastAsia="Times New Roman" w:hAnsi="Times New Roman"/>
          <w:sz w:val="21"/>
          <w:szCs w:val="21"/>
          <w:color w:val="auto"/>
        </w:rPr>
        <w:t>means the participation election form as approved and prescribed by the Committee.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2.10</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Elective Deferral </w:t>
      </w:r>
      <w:r>
        <w:rPr>
          <w:rFonts w:ascii="Times New Roman" w:cs="Times New Roman" w:eastAsia="Times New Roman" w:hAnsi="Times New Roman"/>
          <w:sz w:val="21"/>
          <w:szCs w:val="21"/>
          <w:color w:val="auto"/>
        </w:rPr>
        <w:t>means the portion of Compensation which is deferred by a Participant under Section 4.1.</w:t>
      </w:r>
    </w:p>
    <w:p>
      <w:pPr>
        <w:spacing w:after="0" w:line="179" w:lineRule="exact"/>
        <w:rPr>
          <w:sz w:val="20"/>
          <w:szCs w:val="20"/>
          <w:color w:val="auto"/>
        </w:rPr>
      </w:pPr>
    </w:p>
    <w:p>
      <w:pPr>
        <w:jc w:val="both"/>
        <w:ind w:left="640" w:hanging="647"/>
        <w:spacing w:after="0" w:line="214" w:lineRule="auto"/>
        <w:tabs>
          <w:tab w:leader="none" w:pos="620" w:val="left"/>
        </w:tabs>
        <w:rPr>
          <w:sz w:val="20"/>
          <w:szCs w:val="20"/>
          <w:color w:val="auto"/>
        </w:rPr>
      </w:pPr>
      <w:r>
        <w:rPr>
          <w:rFonts w:ascii="Times New Roman" w:cs="Times New Roman" w:eastAsia="Times New Roman" w:hAnsi="Times New Roman"/>
          <w:sz w:val="22"/>
          <w:szCs w:val="22"/>
          <w:b w:val="1"/>
          <w:bCs w:val="1"/>
          <w:color w:val="auto"/>
        </w:rPr>
        <w:t>2.11</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Eligible Employee </w:t>
      </w:r>
      <w:r>
        <w:rPr>
          <w:rFonts w:ascii="Times New Roman" w:cs="Times New Roman" w:eastAsia="Times New Roman" w:hAnsi="Times New Roman"/>
          <w:sz w:val="22"/>
          <w:szCs w:val="22"/>
          <w:color w:val="auto"/>
        </w:rPr>
        <w:t>means each employee of the Employer who is determined by the Employer, in its sole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discretion, to be eligible to participate in the Plan. Generally, an employee will be eligible to participate in the Plan if he or she is in compensation grade A or B. An employee who was eligible to participate in the Deferred Compensation Plan or the Savings Restoration Plan shall be eligible to participate in this Plan with respect to the amounts that were previously deferred or contributed under the Legacy Plans prior to the Effective Date; however, no such Legacy Plan participant shall be eligible to make Elective Deferrals or have Matching Deferrals made on their behalf under this Plan unless designated by the Employer to participate in such manner.</w:t>
      </w:r>
    </w:p>
    <w:p>
      <w:pPr>
        <w:spacing w:after="0" w:line="14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2.12</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Employer </w:t>
      </w:r>
      <w:r>
        <w:rPr>
          <w:rFonts w:ascii="Times New Roman" w:cs="Times New Roman" w:eastAsia="Times New Roman" w:hAnsi="Times New Roman"/>
          <w:sz w:val="21"/>
          <w:szCs w:val="21"/>
          <w:color w:val="auto"/>
        </w:rPr>
        <w:t>means the Company, any successor to all or a major portion of the Company's assets or business which</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assumes the obligations of the Company, and each other entity that is affiliated with the Company which adopts the Plan with the consent of the Company, provided that the Company shall have the sole power to amend the Plan.</w:t>
      </w:r>
    </w:p>
    <w:p>
      <w:pPr>
        <w:spacing w:after="0" w:line="146" w:lineRule="exact"/>
        <w:rPr>
          <w:sz w:val="20"/>
          <w:szCs w:val="20"/>
          <w:color w:val="auto"/>
        </w:rPr>
      </w:pPr>
    </w:p>
    <w:p>
      <w:pPr>
        <w:jc w:val="both"/>
        <w:ind w:left="660" w:hanging="647"/>
        <w:spacing w:after="0" w:line="227"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2.13</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ERISA </w:t>
      </w:r>
      <w:r>
        <w:rPr>
          <w:rFonts w:ascii="Times New Roman" w:cs="Times New Roman" w:eastAsia="Times New Roman" w:hAnsi="Times New Roman"/>
          <w:sz w:val="22"/>
          <w:szCs w:val="22"/>
          <w:color w:val="auto"/>
        </w:rPr>
        <w:t>means the Employee Retirement Income Security Act of 1974, as amended from time to time. Reference to</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any section or subsection of ERISA includes reference to any comparable or succeeding provisions of any legislation which amends, supplements or replaces such section or subsection.</w:t>
      </w:r>
    </w:p>
    <w:p>
      <w:pPr>
        <w:spacing w:after="0" w:line="146"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2.14</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Matching Deferral </w:t>
      </w:r>
      <w:r>
        <w:rPr>
          <w:rFonts w:ascii="Times New Roman" w:cs="Times New Roman" w:eastAsia="Times New Roman" w:hAnsi="Times New Roman"/>
          <w:sz w:val="22"/>
          <w:szCs w:val="22"/>
          <w:color w:val="auto"/>
        </w:rPr>
        <w:t>means a deferral provided at the Employer's discretion for a Participant's benefit as described in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Section 4.3.</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2.15</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Participant </w:t>
      </w:r>
      <w:r>
        <w:rPr>
          <w:rFonts w:ascii="Times New Roman" w:cs="Times New Roman" w:eastAsia="Times New Roman" w:hAnsi="Times New Roman"/>
          <w:sz w:val="21"/>
          <w:szCs w:val="21"/>
          <w:color w:val="auto"/>
        </w:rPr>
        <w:t>means any individual who participates in the Plan in accordance with Article III.</w:t>
      </w:r>
    </w:p>
    <w:p>
      <w:pPr>
        <w:spacing w:after="0" w:line="17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2.16</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Plan </w:t>
      </w:r>
      <w:r>
        <w:rPr>
          <w:rFonts w:ascii="Times New Roman" w:cs="Times New Roman" w:eastAsia="Times New Roman" w:hAnsi="Times New Roman"/>
          <w:sz w:val="22"/>
          <w:szCs w:val="22"/>
          <w:color w:val="auto"/>
        </w:rPr>
        <w:t>means this Avis Budget Group, Inc. Supplemental Savings Plan, as amended from time to time. Effective</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November 1, 2008, this term shall be interpreted to include the Old ARAC Plan.</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2.17</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Plan Year </w:t>
      </w:r>
      <w:r>
        <w:rPr>
          <w:rFonts w:ascii="Times New Roman" w:cs="Times New Roman" w:eastAsia="Times New Roman" w:hAnsi="Times New Roman"/>
          <w:sz w:val="21"/>
          <w:szCs w:val="21"/>
          <w:color w:val="auto"/>
        </w:rPr>
        <w:t>means the twelve consecutive month period ending each December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w:t>
      </w:r>
    </w:p>
    <w:p>
      <w:pPr>
        <w:spacing w:after="0" w:line="122" w:lineRule="exact"/>
        <w:rPr>
          <w:sz w:val="20"/>
          <w:szCs w:val="20"/>
          <w:color w:val="auto"/>
        </w:rPr>
      </w:pPr>
    </w:p>
    <w:p>
      <w:pPr>
        <w:jc w:val="both"/>
        <w:ind w:left="660" w:hanging="647"/>
        <w:spacing w:after="0" w:line="227"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2.18</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Termination of Employment </w:t>
      </w:r>
      <w:r>
        <w:rPr>
          <w:rFonts w:ascii="Times New Roman" w:cs="Times New Roman" w:eastAsia="Times New Roman" w:hAnsi="Times New Roman"/>
          <w:sz w:val="22"/>
          <w:szCs w:val="22"/>
          <w:color w:val="auto"/>
        </w:rPr>
        <w:t>means a Participant's separation from the service of the Employer by reason of</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resignation, discharge, or retirement. Separation from service as a result of a transfer to an affiliate or subsidiary of the Employer does not constitute Termination of Employment.</w:t>
      </w:r>
    </w:p>
    <w:p>
      <w:pPr>
        <w:spacing w:after="0" w:line="200" w:lineRule="exact"/>
        <w:rPr>
          <w:sz w:val="20"/>
          <w:szCs w:val="20"/>
          <w:color w:val="auto"/>
        </w:rPr>
      </w:pPr>
    </w:p>
    <w:p>
      <w:pPr>
        <w:spacing w:after="0" w:line="281" w:lineRule="exact"/>
        <w:rPr>
          <w:sz w:val="20"/>
          <w:szCs w:val="20"/>
          <w:color w:val="auto"/>
        </w:rPr>
      </w:pPr>
    </w:p>
    <w:p>
      <w:pPr>
        <w:jc w:val="center"/>
        <w:ind w:right="-499"/>
        <w:spacing w:after="0"/>
        <w:rPr>
          <w:sz w:val="20"/>
          <w:szCs w:val="20"/>
          <w:color w:val="auto"/>
        </w:rPr>
      </w:pPr>
      <w:r>
        <w:rPr>
          <w:rFonts w:ascii="Calibri" w:cs="Calibri" w:eastAsia="Calibri" w:hAnsi="Calibri"/>
          <w:sz w:val="20"/>
          <w:szCs w:val="20"/>
          <w:color w:val="auto"/>
        </w:rPr>
        <w:t>3</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4890-7633-3880.1 / 035682-1128</w:t>
      </w:r>
    </w:p>
    <w:p>
      <w:pPr>
        <w:sectPr>
          <w:pgSz w:w="11900" w:h="16838" w:orient="portrait"/>
          <w:cols w:equalWidth="0" w:num="1">
            <w:col w:w="10740"/>
          </w:cols>
          <w:pgMar w:left="320" w:top="1260" w:right="839" w:bottom="1440" w:gutter="0" w:footer="0" w:header="0"/>
        </w:sectPr>
      </w:pPr>
    </w:p>
    <w:bookmarkStart w:id="114" w:name="page115"/>
    <w:bookmarkEnd w:id="114"/>
    <w:p>
      <w:pPr>
        <w:spacing w:after="0" w:line="356" w:lineRule="exact"/>
        <w:rPr>
          <w:sz w:val="20"/>
          <w:szCs w:val="20"/>
          <w:color w:val="auto"/>
        </w:rPr>
      </w:pPr>
    </w:p>
    <w:p>
      <w:pPr>
        <w:jc w:val="both"/>
        <w:ind w:left="660" w:right="320" w:hanging="647"/>
        <w:spacing w:after="0" w:line="238"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2.19</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Trusts </w:t>
      </w:r>
      <w:r>
        <w:rPr>
          <w:rFonts w:ascii="Times New Roman" w:cs="Times New Roman" w:eastAsia="Times New Roman" w:hAnsi="Times New Roman"/>
          <w:sz w:val="22"/>
          <w:szCs w:val="22"/>
          <w:color w:val="auto"/>
        </w:rPr>
        <w:t>means the trusts established by the Company that identifies the Plan as a plan with respect to which assets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are to be held by a Trustee.</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2.20</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Trustee </w:t>
      </w:r>
      <w:r>
        <w:rPr>
          <w:rFonts w:ascii="Times New Roman" w:cs="Times New Roman" w:eastAsia="Times New Roman" w:hAnsi="Times New Roman"/>
          <w:sz w:val="21"/>
          <w:szCs w:val="21"/>
          <w:color w:val="auto"/>
        </w:rPr>
        <w:t>means the trustee or trustees under a Trust.</w:t>
      </w:r>
    </w:p>
    <w:p>
      <w:pPr>
        <w:spacing w:after="0" w:line="179" w:lineRule="exact"/>
        <w:rPr>
          <w:sz w:val="20"/>
          <w:szCs w:val="20"/>
          <w:color w:val="auto"/>
        </w:rPr>
      </w:pPr>
    </w:p>
    <w:p>
      <w:pPr>
        <w:jc w:val="both"/>
        <w:ind w:left="660" w:right="320" w:hanging="647"/>
        <w:spacing w:after="0" w:line="227"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2.21</w:t>
      </w:r>
      <w:r>
        <w:rPr>
          <w:sz w:val="20"/>
          <w:szCs w:val="20"/>
          <w:color w:val="auto"/>
        </w:rPr>
        <w:tab/>
      </w:r>
      <w:r>
        <w:rPr>
          <w:rFonts w:ascii="Times New Roman" w:cs="Times New Roman" w:eastAsia="Times New Roman" w:hAnsi="Times New Roman"/>
          <w:sz w:val="22"/>
          <w:szCs w:val="22"/>
          <w:b w:val="1"/>
          <w:bCs w:val="1"/>
          <w:u w:val="single" w:color="auto"/>
          <w:color w:val="auto"/>
        </w:rPr>
        <w:t xml:space="preserve">Unforeseen Emergency </w:t>
      </w:r>
      <w:r>
        <w:rPr>
          <w:rFonts w:ascii="Times New Roman" w:cs="Times New Roman" w:eastAsia="Times New Roman" w:hAnsi="Times New Roman"/>
          <w:sz w:val="22"/>
          <w:szCs w:val="22"/>
          <w:color w:val="auto"/>
        </w:rPr>
        <w:t>means a severe financial hardship arising from illness or accident of the Participant,</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Participant's spouse or dependents; casualty loss; or other similar extraordinary and unforeseeable circumstances arising as a result of events beyond the control of the Participant.</w:t>
      </w:r>
    </w:p>
    <w:p>
      <w:pPr>
        <w:spacing w:after="0" w:line="14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ARTICLE III - PARTICIPATION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u w:val="single" w:color="auto"/>
          <w:color w:val="auto"/>
        </w:rPr>
        <w:t>Commencement of Participation</w:t>
      </w:r>
    </w:p>
    <w:p>
      <w:pPr>
        <w:spacing w:after="0" w:line="224" w:lineRule="exact"/>
        <w:rPr>
          <w:sz w:val="20"/>
          <w:szCs w:val="20"/>
          <w:color w:val="auto"/>
        </w:rPr>
      </w:pPr>
    </w:p>
    <w:p>
      <w:pPr>
        <w:jc w:val="both"/>
        <w:ind w:left="660" w:right="320"/>
        <w:spacing w:after="0" w:line="289" w:lineRule="auto"/>
        <w:rPr>
          <w:sz w:val="20"/>
          <w:szCs w:val="20"/>
          <w:color w:val="auto"/>
        </w:rPr>
      </w:pPr>
      <w:r>
        <w:rPr>
          <w:rFonts w:ascii="Times New Roman" w:cs="Times New Roman" w:eastAsia="Times New Roman" w:hAnsi="Times New Roman"/>
          <w:sz w:val="22"/>
          <w:szCs w:val="22"/>
          <w:color w:val="auto"/>
        </w:rPr>
        <w:t>Any Eligible Employee who elects to defer part of his or her Compensation in accordance with Section 4.1 shall become a Participant in the Plan as of the date such deferrals commence in accordance with Section 4.1. Participants under the Old ARAC Plan are automatically deemed Participants of the Plan as of November 1, 2008.</w:t>
      </w:r>
    </w:p>
    <w:p>
      <w:pPr>
        <w:spacing w:after="0" w:line="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u w:val="single" w:color="auto"/>
          <w:color w:val="auto"/>
        </w:rPr>
        <w:t>Continued Participation</w:t>
      </w:r>
    </w:p>
    <w:p>
      <w:pPr>
        <w:spacing w:after="0" w:line="210"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A Participant in the Plan shall continue to be a Participant so long as any amount remains credited to his or her Account. Notwithstanding the foregoing, Participation in respect of any calendar year is not a guarantee of participation in respect of any future calendar year.</w:t>
      </w:r>
    </w:p>
    <w:p>
      <w:pPr>
        <w:spacing w:after="0" w:line="14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ARTICLE IV - ELECTIVE AND MATCHING DEFERRALS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u w:val="single" w:color="auto"/>
          <w:color w:val="auto"/>
        </w:rPr>
        <w:t>Elective Deferrals</w:t>
      </w:r>
    </w:p>
    <w:p>
      <w:pPr>
        <w:spacing w:after="0" w:line="224" w:lineRule="exact"/>
        <w:rPr>
          <w:sz w:val="20"/>
          <w:szCs w:val="20"/>
          <w:color w:val="auto"/>
        </w:rPr>
      </w:pPr>
    </w:p>
    <w:p>
      <w:pPr>
        <w:jc w:val="both"/>
        <w:ind w:left="660" w:right="320"/>
        <w:spacing w:after="0" w:line="276" w:lineRule="auto"/>
        <w:rPr>
          <w:sz w:val="20"/>
          <w:szCs w:val="20"/>
          <w:color w:val="auto"/>
        </w:rPr>
      </w:pPr>
      <w:r>
        <w:rPr>
          <w:rFonts w:ascii="Times New Roman" w:cs="Times New Roman" w:eastAsia="Times New Roman" w:hAnsi="Times New Roman"/>
          <w:sz w:val="22"/>
          <w:szCs w:val="22"/>
          <w:color w:val="auto"/>
        </w:rPr>
        <w:t>Any individual who becomes an Eligible Employee at the time he or she is hired by an Employer may, by making an election in the manner which the Committee has designated within 30 days following the date on which the Committee gives such individual written notice that the individual is an Eligible Employee, elect to defer a percentage or dollar amount of one or more payments of Compensation, on such terms as the Committee may permit, which are earned by and payable to the Participant after the date on which the individual files the Election Form. Such election will be effective only for the Plan Year to which it relates. Provided, however, no elective deferrals of base salary may be made under the Plan with respect to Participants who are eligible to participate in the Employer’s 401(k) plan, until the Participant has made the maximum elective deferrals permitted under Code Sections 402(g) and 401(a) (17) to the Employer’s 401(k) Plan. At such time, the elected percentage or dollar amount of Compensation shall commence being contributed to the Plan.</w:t>
      </w: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Calibri" w:cs="Calibri" w:eastAsia="Calibri" w:hAnsi="Calibri"/>
          <w:sz w:val="20"/>
          <w:szCs w:val="20"/>
          <w:color w:val="auto"/>
        </w:rPr>
        <w:t>4</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4890-7633-3880.1 / 035682-1128</w:t>
      </w:r>
    </w:p>
    <w:p>
      <w:pPr>
        <w:sectPr>
          <w:pgSz w:w="11900" w:h="16838" w:orient="portrait"/>
          <w:cols w:equalWidth="0" w:num="1">
            <w:col w:w="11060"/>
          </w:cols>
          <w:pgMar w:left="320" w:top="1440" w:right="519" w:bottom="1440" w:gutter="0" w:footer="0" w:header="0"/>
        </w:sectPr>
      </w:pPr>
    </w:p>
    <w:bookmarkStart w:id="115" w:name="page116"/>
    <w:bookmarkEnd w:id="115"/>
    <w:p>
      <w:pPr>
        <w:jc w:val="both"/>
        <w:ind w:left="660"/>
        <w:spacing w:after="0" w:line="282" w:lineRule="auto"/>
        <w:rPr>
          <w:sz w:val="20"/>
          <w:szCs w:val="20"/>
          <w:color w:val="auto"/>
        </w:rPr>
      </w:pPr>
      <w:r>
        <w:rPr>
          <w:rFonts w:ascii="Times New Roman" w:cs="Times New Roman" w:eastAsia="Times New Roman" w:hAnsi="Times New Roman"/>
          <w:sz w:val="22"/>
          <w:szCs w:val="22"/>
          <w:color w:val="auto"/>
        </w:rPr>
        <w:t>Any other Eligible Employee may elect to defer a percentage or dollar amount of one or more payments of Compensation, on such terms as the Committee may permit by making an election in the manner which the Committee has designated prior to the first day of such succeeding Plan Year. Such election shall be effective only for the Plan Year succeeding the Plan Year in which the election is made.</w:t>
      </w:r>
    </w:p>
    <w:p>
      <w:pPr>
        <w:spacing w:after="0" w:line="13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u w:val="single" w:color="auto"/>
          <w:color w:val="auto"/>
        </w:rPr>
        <w:t>Elective Deferral Limitations</w:t>
      </w:r>
    </w:p>
    <w:p>
      <w:pPr>
        <w:spacing w:after="0" w:line="210" w:lineRule="exact"/>
        <w:rPr>
          <w:sz w:val="20"/>
          <w:szCs w:val="20"/>
          <w:color w:val="auto"/>
        </w:rPr>
      </w:pPr>
    </w:p>
    <w:p>
      <w:pPr>
        <w:jc w:val="both"/>
        <w:ind w:left="660" w:right="20" w:firstLine="11"/>
        <w:spacing w:after="0" w:line="257" w:lineRule="auto"/>
        <w:rPr>
          <w:sz w:val="20"/>
          <w:szCs w:val="20"/>
          <w:color w:val="auto"/>
        </w:rPr>
      </w:pPr>
      <w:r>
        <w:rPr>
          <w:rFonts w:ascii="Times New Roman" w:cs="Times New Roman" w:eastAsia="Times New Roman" w:hAnsi="Times New Roman"/>
          <w:sz w:val="22"/>
          <w:szCs w:val="22"/>
          <w:color w:val="auto"/>
        </w:rPr>
        <w:t>No dollar limitation exists on the total amount of Compensation that may be deferred under the Plan. However, each component of Compensation is subject to a separate deferral percentage limitation. For each Plan Year, a Participant may not defer more than:</w:t>
      </w:r>
    </w:p>
    <w:p>
      <w:pPr>
        <w:spacing w:after="0" w:line="159" w:lineRule="exact"/>
        <w:rPr>
          <w:sz w:val="20"/>
          <w:szCs w:val="20"/>
          <w:color w:val="auto"/>
        </w:rPr>
      </w:pPr>
    </w:p>
    <w:p>
      <w:pPr>
        <w:ind w:left="1000" w:hanging="344"/>
        <w:spacing w:after="0"/>
        <w:tabs>
          <w:tab w:leader="none" w:pos="100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75% of annual base salary; and</w:t>
      </w:r>
    </w:p>
    <w:p>
      <w:pPr>
        <w:ind w:left="980" w:hanging="324"/>
        <w:spacing w:after="0"/>
        <w:tabs>
          <w:tab w:leader="none" w:pos="98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98 % of annual bonus.</w:t>
      </w:r>
    </w:p>
    <w:p>
      <w:pPr>
        <w:spacing w:after="0" w:line="28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u w:val="single" w:color="auto"/>
          <w:color w:val="auto"/>
        </w:rPr>
        <w:t>Matching Deferrals</w:t>
      </w:r>
    </w:p>
    <w:p>
      <w:pPr>
        <w:spacing w:after="0" w:line="22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22"/>
          <w:szCs w:val="22"/>
          <w:color w:val="auto"/>
        </w:rPr>
        <w:t>The Employer has the sole discretion to credit Matching Deferrals in the Accounts of any or all Eligible Employees in any amount it feels appropriate. However, in no event will such Matching Deferral exceed 6% of such Eligible Employee's Compensation for any Plan Year, after offsetting Compensation which was taken into account in computing matching contributions under the Employer’s 401(k) Plan.</w:t>
      </w:r>
    </w:p>
    <w:p>
      <w:pPr>
        <w:spacing w:after="0" w:line="175" w:lineRule="exact"/>
        <w:rPr>
          <w:sz w:val="20"/>
          <w:szCs w:val="20"/>
          <w:color w:val="auto"/>
        </w:rPr>
      </w:pPr>
    </w:p>
    <w:p>
      <w:pPr>
        <w:jc w:val="both"/>
        <w:ind w:left="660"/>
        <w:spacing w:after="0" w:line="277" w:lineRule="auto"/>
        <w:rPr>
          <w:sz w:val="20"/>
          <w:szCs w:val="20"/>
          <w:color w:val="auto"/>
        </w:rPr>
      </w:pPr>
      <w:r>
        <w:rPr>
          <w:rFonts w:ascii="Times New Roman" w:cs="Times New Roman" w:eastAsia="Times New Roman" w:hAnsi="Times New Roman"/>
          <w:sz w:val="22"/>
          <w:szCs w:val="22"/>
          <w:color w:val="auto"/>
        </w:rPr>
        <w:t>Matching Deferrals may, in any calendar year that the Employer deems appropriate, be made to Eligible Employees in an amount equal to (i) the percentage of bonus pay that has been deferred under this Plan up to a maximum of 6% of bonus pay; and (ii) the amount of matching contributions which would have been made under the Employer’s 401(k) plan had such plan not limited matching contributions to those contributions made on account of elective deferrals which do not exceed the Code section 402(g) limit; however, the maximum elective deferral percentage upon which Matching Deferrals may be made is 6% and Matching Deferrals shall not be made upon Compensation which exceeds the Code section 401(a)(17) limit for such calendar year.</w:t>
      </w:r>
    </w:p>
    <w:p>
      <w:pPr>
        <w:spacing w:after="0" w:line="18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22"/>
          <w:szCs w:val="22"/>
          <w:color w:val="auto"/>
        </w:rPr>
        <w:t>In addition, in any year that the Employer deems appropriate, Matching Deferrals shall be made, at a percentage level established by the Employer on Compensation which exceeds the Code section 401(a)(17) limit irrespective of whether the Eligible Employee’s elective deferrals under the Employer’s 401(k) plan reached the Code section 402(g) limit.</w:t>
      </w:r>
    </w:p>
    <w:p>
      <w:pPr>
        <w:spacing w:after="0" w:line="13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4.4</w:t>
      </w:r>
      <w:r>
        <w:rPr>
          <w:sz w:val="20"/>
          <w:szCs w:val="20"/>
          <w:color w:val="auto"/>
        </w:rPr>
        <w:tab/>
      </w:r>
      <w:r>
        <w:rPr>
          <w:rFonts w:ascii="Times New Roman" w:cs="Times New Roman" w:eastAsia="Times New Roman" w:hAnsi="Times New Roman"/>
          <w:sz w:val="21"/>
          <w:szCs w:val="21"/>
          <w:b w:val="1"/>
          <w:bCs w:val="1"/>
          <w:u w:val="single" w:color="auto"/>
          <w:color w:val="auto"/>
        </w:rPr>
        <w:t>Vesting</w:t>
      </w:r>
    </w:p>
    <w:p>
      <w:pPr>
        <w:spacing w:after="0" w:line="200" w:lineRule="exact"/>
        <w:rPr>
          <w:sz w:val="20"/>
          <w:szCs w:val="20"/>
          <w:color w:val="auto"/>
        </w:rPr>
      </w:pPr>
    </w:p>
    <w:p>
      <w:pPr>
        <w:spacing w:after="0" w:line="314" w:lineRule="exact"/>
        <w:rPr>
          <w:sz w:val="20"/>
          <w:szCs w:val="20"/>
          <w:color w:val="auto"/>
        </w:rPr>
      </w:pPr>
    </w:p>
    <w:p>
      <w:pPr>
        <w:jc w:val="center"/>
        <w:ind w:right="-499"/>
        <w:spacing w:after="0"/>
        <w:rPr>
          <w:sz w:val="20"/>
          <w:szCs w:val="20"/>
          <w:color w:val="auto"/>
        </w:rPr>
      </w:pPr>
      <w:r>
        <w:rPr>
          <w:rFonts w:ascii="Calibri" w:cs="Calibri" w:eastAsia="Calibri" w:hAnsi="Calibri"/>
          <w:sz w:val="20"/>
          <w:szCs w:val="20"/>
          <w:color w:val="auto"/>
        </w:rPr>
        <w:t>5</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4890-7633-3880.1 / 035682-1128</w:t>
      </w:r>
    </w:p>
    <w:p>
      <w:pPr>
        <w:sectPr>
          <w:pgSz w:w="11900" w:h="16838" w:orient="portrait"/>
          <w:cols w:equalWidth="0" w:num="1">
            <w:col w:w="10740"/>
          </w:cols>
          <w:pgMar w:left="320" w:top="1273" w:right="839" w:bottom="1440" w:gutter="0" w:footer="0" w:header="0"/>
        </w:sectPr>
      </w:pPr>
    </w:p>
    <w:bookmarkStart w:id="116" w:name="page117"/>
    <w:bookmarkEnd w:id="116"/>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A Participant shall be immediately vested in, and shall have a nonforfeitable right to, all Elective Deferrals, Matching Deferrals, and all income and gain attributable thereto, credited to his or her Account; provided, however, that the existence of such right shall not be deemed to vest in any Participant any right, title or interest in or to any specific assets of the Employer.</w:t>
      </w:r>
    </w:p>
    <w:p>
      <w:pPr>
        <w:spacing w:after="0" w:line="1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ARTICLE V - ACCOUNTS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u w:val="single" w:color="auto"/>
          <w:color w:val="auto"/>
        </w:rPr>
        <w:t>Accounts</w:t>
      </w:r>
    </w:p>
    <w:p>
      <w:pPr>
        <w:spacing w:after="0" w:line="224" w:lineRule="exact"/>
        <w:rPr>
          <w:sz w:val="20"/>
          <w:szCs w:val="20"/>
          <w:color w:val="auto"/>
        </w:rPr>
      </w:pPr>
    </w:p>
    <w:p>
      <w:pPr>
        <w:jc w:val="both"/>
        <w:ind w:left="660"/>
        <w:spacing w:after="0" w:line="275" w:lineRule="auto"/>
        <w:rPr>
          <w:sz w:val="20"/>
          <w:szCs w:val="20"/>
          <w:color w:val="auto"/>
        </w:rPr>
      </w:pPr>
      <w:r>
        <w:rPr>
          <w:rFonts w:ascii="Times New Roman" w:cs="Times New Roman" w:eastAsia="Times New Roman" w:hAnsi="Times New Roman"/>
          <w:sz w:val="22"/>
          <w:szCs w:val="22"/>
          <w:color w:val="auto"/>
        </w:rPr>
        <w:t>The Committee shall establish an Account for each Participant reflecting Elective Deferrals and Matching Deferrals made for the Participant's benefit together with any adjustments for income, gain or loss and any payments from the Account. The Committee may cause the Trustee to maintain and invest separate asset accounts corresponding to each Participant's Account. The Committee shall establish sub accounts for each Participant that has more than one election in effect under Section 6.1 and such other sub-accounts as are necessary for the proper administration of the Plan, including a sub-account for amounts deferred (and any subsequent earnings related thereto) under the Old ARAC Plan. The Committee shall periodically, but no less frequently than annually, provide the Participant with a statement of his or her Account reflecting the income, gains and losses (realized and unrealized), amounts of deferrals, and distributions of such Account since the prior statement.</w:t>
      </w:r>
    </w:p>
    <w:p>
      <w:pPr>
        <w:spacing w:after="0" w:line="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u w:val="single" w:color="auto"/>
          <w:color w:val="auto"/>
        </w:rPr>
        <w:t>Investments</w:t>
      </w:r>
    </w:p>
    <w:p>
      <w:pPr>
        <w:spacing w:after="0" w:line="224" w:lineRule="exact"/>
        <w:rPr>
          <w:sz w:val="20"/>
          <w:szCs w:val="20"/>
          <w:color w:val="auto"/>
        </w:rPr>
      </w:pPr>
    </w:p>
    <w:p>
      <w:pPr>
        <w:jc w:val="both"/>
        <w:ind w:left="660"/>
        <w:spacing w:after="0" w:line="289" w:lineRule="auto"/>
        <w:rPr>
          <w:sz w:val="20"/>
          <w:szCs w:val="20"/>
          <w:color w:val="auto"/>
        </w:rPr>
      </w:pPr>
      <w:r>
        <w:rPr>
          <w:rFonts w:ascii="Times New Roman" w:cs="Times New Roman" w:eastAsia="Times New Roman" w:hAnsi="Times New Roman"/>
          <w:sz w:val="22"/>
          <w:szCs w:val="22"/>
          <w:color w:val="auto"/>
        </w:rPr>
        <w:t>The assets of the Trust shall be invested in such investments as the Trustee shall determine. The Trustee may (but is not required to) consider the Employer's or a Participant's investment preferences when investing the assets attributable to a Participant's Account.</w:t>
      </w:r>
    </w:p>
    <w:p>
      <w:pPr>
        <w:spacing w:after="0" w:line="12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ARTICLE VI - PAYMENTS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1"/>
          <w:szCs w:val="21"/>
          <w:b w:val="1"/>
          <w:bCs w:val="1"/>
          <w:u w:val="single" w:color="auto"/>
          <w:color w:val="auto"/>
        </w:rPr>
        <w:t>Election As to Time and Form of Payment</w:t>
      </w:r>
    </w:p>
    <w:p>
      <w:pPr>
        <w:spacing w:after="0" w:line="22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22"/>
          <w:szCs w:val="22"/>
          <w:color w:val="auto"/>
        </w:rPr>
        <w:t>A Participant shall elect (on the Election Form used to elect to defer Compensation under Section 4.1) the date at which his or her Account will commence to be paid in cash. The Participant may elect distribution to occur on a specified date or on the date that is six months after Termination of Employment. The Participant shall also elect thereon for payments to be paid in either:</w:t>
      </w:r>
    </w:p>
    <w:p>
      <w:pPr>
        <w:spacing w:after="0" w:line="67" w:lineRule="exact"/>
        <w:rPr>
          <w:sz w:val="20"/>
          <w:szCs w:val="20"/>
          <w:color w:val="auto"/>
        </w:rPr>
      </w:pPr>
    </w:p>
    <w:p>
      <w:pPr>
        <w:ind w:left="1020" w:hanging="364"/>
        <w:spacing w:after="0"/>
        <w:tabs>
          <w:tab w:leader="none" w:pos="102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single lump-sum payment; or</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82" w:lineRule="auto"/>
        <w:tabs>
          <w:tab w:leader="none" w:pos="111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series of annual installments paid over a period elected by the Participant of up to 10 years, the amount of each installment to equal the balance of his or her Account immediately prior to the installment divided by the number of installments</w:t>
      </w:r>
    </w:p>
    <w:p>
      <w:pPr>
        <w:spacing w:after="0" w:line="249" w:lineRule="exact"/>
        <w:rPr>
          <w:sz w:val="20"/>
          <w:szCs w:val="20"/>
          <w:color w:val="auto"/>
        </w:rPr>
      </w:pPr>
    </w:p>
    <w:p>
      <w:pPr>
        <w:jc w:val="center"/>
        <w:ind w:right="-499"/>
        <w:spacing w:after="0"/>
        <w:rPr>
          <w:sz w:val="20"/>
          <w:szCs w:val="20"/>
          <w:color w:val="auto"/>
        </w:rPr>
      </w:pPr>
      <w:r>
        <w:rPr>
          <w:rFonts w:ascii="Calibri" w:cs="Calibri" w:eastAsia="Calibri" w:hAnsi="Calibri"/>
          <w:sz w:val="20"/>
          <w:szCs w:val="20"/>
          <w:color w:val="auto"/>
        </w:rPr>
        <w:t>6</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4890-7633-3880.1 / 035682-1128</w:t>
      </w:r>
    </w:p>
    <w:p>
      <w:pPr>
        <w:sectPr>
          <w:pgSz w:w="11900" w:h="16838" w:orient="portrait"/>
          <w:cols w:equalWidth="0" w:num="1">
            <w:col w:w="10740"/>
          </w:cols>
          <w:pgMar w:left="320" w:top="1341" w:right="839" w:bottom="1440" w:gutter="0" w:footer="0" w:header="0"/>
        </w:sectPr>
      </w:pPr>
    </w:p>
    <w:bookmarkStart w:id="117" w:name="page118"/>
    <w:bookmarkEnd w:id="117"/>
    <w:p>
      <w:pPr>
        <w:ind w:left="660"/>
        <w:spacing w:after="0"/>
        <w:rPr>
          <w:sz w:val="20"/>
          <w:szCs w:val="20"/>
          <w:color w:val="auto"/>
        </w:rPr>
      </w:pPr>
      <w:r>
        <w:rPr>
          <w:rFonts w:ascii="Times New Roman" w:cs="Times New Roman" w:eastAsia="Times New Roman" w:hAnsi="Times New Roman"/>
          <w:sz w:val="22"/>
          <w:szCs w:val="22"/>
          <w:color w:val="auto"/>
        </w:rPr>
        <w:t>remaining to be paid.</w:t>
      </w:r>
    </w:p>
    <w:p>
      <w:pPr>
        <w:spacing w:after="0" w:line="274" w:lineRule="exact"/>
        <w:rPr>
          <w:sz w:val="20"/>
          <w:szCs w:val="20"/>
          <w:color w:val="auto"/>
        </w:rPr>
      </w:pPr>
    </w:p>
    <w:p>
      <w:pPr>
        <w:jc w:val="both"/>
        <w:ind w:left="660"/>
        <w:spacing w:after="0" w:line="277" w:lineRule="auto"/>
        <w:rPr>
          <w:sz w:val="20"/>
          <w:szCs w:val="20"/>
          <w:color w:val="auto"/>
        </w:rPr>
      </w:pPr>
      <w:r>
        <w:rPr>
          <w:rFonts w:ascii="Times New Roman" w:cs="Times New Roman" w:eastAsia="Times New Roman" w:hAnsi="Times New Roman"/>
          <w:sz w:val="22"/>
          <w:szCs w:val="22"/>
          <w:color w:val="auto"/>
        </w:rPr>
        <w:t>Such distribution election detailing the time and form of payment will need to be made on an annual basis with respect to each year's deferral and will only be effective for Elective Deferrals and Matching Contributions made for the Plan Year beginning after the date of the election. If an election under this Section is not made timely or is deemed invalid by the Committee, the default time of distribution for such deferral will be six months after Termination of Employment and the default form of payment will be a single-lump sum payment. Except as provided in Sections 6.2, 6.3 or 6.4, payment of a Participant's Account shall be made in accordance with the Participant's elections under this Section 6.1.</w:t>
      </w:r>
    </w:p>
    <w:p>
      <w:pPr>
        <w:spacing w:after="0" w:line="211" w:lineRule="exact"/>
        <w:rPr>
          <w:sz w:val="20"/>
          <w:szCs w:val="20"/>
          <w:color w:val="auto"/>
        </w:rPr>
      </w:pPr>
    </w:p>
    <w:p>
      <w:pPr>
        <w:jc w:val="both"/>
        <w:ind w:left="660"/>
        <w:spacing w:after="0" w:line="296" w:lineRule="auto"/>
        <w:rPr>
          <w:sz w:val="20"/>
          <w:szCs w:val="20"/>
          <w:color w:val="auto"/>
        </w:rPr>
      </w:pPr>
      <w:r>
        <w:rPr>
          <w:rFonts w:ascii="Times New Roman" w:cs="Times New Roman" w:eastAsia="Times New Roman" w:hAnsi="Times New Roman"/>
          <w:sz w:val="22"/>
          <w:szCs w:val="22"/>
          <w:color w:val="auto"/>
        </w:rPr>
        <w:t>All elections as to time and form of payment made under one or both of the Legacy Plans shall remain operative under this Plan.</w:t>
      </w:r>
    </w:p>
    <w:p>
      <w:pPr>
        <w:spacing w:after="0" w:line="307" w:lineRule="exact"/>
        <w:rPr>
          <w:sz w:val="20"/>
          <w:szCs w:val="20"/>
          <w:color w:val="auto"/>
        </w:rPr>
      </w:pPr>
    </w:p>
    <w:p>
      <w:pPr>
        <w:jc w:val="both"/>
        <w:ind w:left="660"/>
        <w:spacing w:after="0" w:line="276" w:lineRule="auto"/>
        <w:rPr>
          <w:sz w:val="20"/>
          <w:szCs w:val="20"/>
          <w:color w:val="auto"/>
        </w:rPr>
      </w:pPr>
      <w:r>
        <w:rPr>
          <w:rFonts w:ascii="Times New Roman" w:cs="Times New Roman" w:eastAsia="Times New Roman" w:hAnsi="Times New Roman"/>
          <w:sz w:val="22"/>
          <w:szCs w:val="22"/>
          <w:color w:val="auto"/>
        </w:rPr>
        <w:t>Notwithstanding the foregoing, a Participant shall be permitted to elect to further defer his or her lump sum distribution or series of installment payments by filing an election (a “second election”) that does not take effect until 12 months after the date the election is filed, that provides for the distribution to be made or to commence no earlier than the fifth (5th) anniversary of the date the distribution would have been made but for this election; this election may provide for the deferred distribution to be in either a lump sum or in a series of annual installments over any period of years not in excess of ten (10) years; provided, however, that any such election must be in compliance with the provisions of Code Section 409A(a)(4)(C) and Treasury Regulation Section 1.409A-2(b), and provided, further, that once a second election has been made, it may not be made again.</w:t>
      </w:r>
    </w:p>
    <w:p>
      <w:pPr>
        <w:spacing w:after="0" w:line="211"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22"/>
          <w:szCs w:val="22"/>
          <w:color w:val="auto"/>
        </w:rPr>
        <w:t>Notwithstanding the above, upon a Participant's Termination of Employment, in the event such Participant's Account balance is less than $25,000, such Account balance shall be distributed on the date that is six months following such Termination of Employment in the form of a single lump-sum payment.</w:t>
      </w:r>
    </w:p>
    <w:p>
      <w:pPr>
        <w:spacing w:after="0" w:line="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u w:val="single" w:color="auto"/>
          <w:color w:val="auto"/>
        </w:rPr>
        <w:t>Change of Control</w:t>
      </w:r>
    </w:p>
    <w:p>
      <w:pPr>
        <w:spacing w:after="0" w:line="224" w:lineRule="exact"/>
        <w:rPr>
          <w:sz w:val="20"/>
          <w:szCs w:val="20"/>
          <w:color w:val="auto"/>
        </w:rPr>
      </w:pPr>
    </w:p>
    <w:p>
      <w:pPr>
        <w:jc w:val="both"/>
        <w:ind w:left="660"/>
        <w:spacing w:after="0" w:line="296" w:lineRule="auto"/>
        <w:rPr>
          <w:sz w:val="20"/>
          <w:szCs w:val="20"/>
          <w:color w:val="auto"/>
        </w:rPr>
      </w:pPr>
      <w:r>
        <w:rPr>
          <w:rFonts w:ascii="Times New Roman" w:cs="Times New Roman" w:eastAsia="Times New Roman" w:hAnsi="Times New Roman"/>
          <w:sz w:val="22"/>
          <w:szCs w:val="22"/>
          <w:color w:val="auto"/>
        </w:rPr>
        <w:t>Notwithstanding Section 6.1, as soon as possible following a Change of Control, each Participant shall be paid his or her entire Account balance in a single lump sum.</w:t>
      </w:r>
    </w:p>
    <w:p>
      <w:pPr>
        <w:spacing w:after="0" w:line="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1"/>
          <w:szCs w:val="21"/>
          <w:b w:val="1"/>
          <w:bCs w:val="1"/>
          <w:u w:val="single" w:color="auto"/>
          <w:color w:val="auto"/>
        </w:rPr>
        <w:t>Disability</w:t>
      </w:r>
    </w:p>
    <w:p>
      <w:pPr>
        <w:spacing w:after="0" w:line="224" w:lineRule="exact"/>
        <w:rPr>
          <w:sz w:val="20"/>
          <w:szCs w:val="20"/>
          <w:color w:val="auto"/>
        </w:rPr>
      </w:pPr>
    </w:p>
    <w:p>
      <w:pPr>
        <w:jc w:val="both"/>
        <w:ind w:left="660"/>
        <w:spacing w:after="0" w:line="289" w:lineRule="auto"/>
        <w:rPr>
          <w:sz w:val="20"/>
          <w:szCs w:val="20"/>
          <w:color w:val="auto"/>
        </w:rPr>
      </w:pPr>
      <w:r>
        <w:rPr>
          <w:rFonts w:ascii="Times New Roman" w:cs="Times New Roman" w:eastAsia="Times New Roman" w:hAnsi="Times New Roman"/>
          <w:sz w:val="22"/>
          <w:szCs w:val="22"/>
          <w:color w:val="auto"/>
        </w:rPr>
        <w:t>Notwithstanding Section 6.1, if a Participant becomes Disabled prior to the complete distribution of his or her Account, the balance of the Account shall be paid as soon as practicable to the Participant, in the form elected by the Participant pursuant to Section 6.1.</w:t>
      </w:r>
    </w:p>
    <w:p>
      <w:pPr>
        <w:spacing w:after="0" w:line="348" w:lineRule="exact"/>
        <w:rPr>
          <w:sz w:val="20"/>
          <w:szCs w:val="20"/>
          <w:color w:val="auto"/>
        </w:rPr>
      </w:pPr>
    </w:p>
    <w:p>
      <w:pPr>
        <w:jc w:val="center"/>
        <w:ind w:right="-499"/>
        <w:spacing w:after="0"/>
        <w:rPr>
          <w:sz w:val="20"/>
          <w:szCs w:val="20"/>
          <w:color w:val="auto"/>
        </w:rPr>
      </w:pPr>
      <w:r>
        <w:rPr>
          <w:rFonts w:ascii="Calibri" w:cs="Calibri" w:eastAsia="Calibri" w:hAnsi="Calibri"/>
          <w:sz w:val="20"/>
          <w:szCs w:val="20"/>
          <w:color w:val="auto"/>
        </w:rPr>
        <w:t>7</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4890-7633-3880.1 / 035682-1128</w:t>
      </w:r>
    </w:p>
    <w:p>
      <w:pPr>
        <w:sectPr>
          <w:pgSz w:w="11900" w:h="16838" w:orient="portrait"/>
          <w:cols w:equalWidth="0" w:num="1">
            <w:col w:w="10740"/>
          </w:cols>
          <w:pgMar w:left="320" w:top="1273" w:right="839" w:bottom="1440" w:gutter="0" w:footer="0" w:header="0"/>
        </w:sectPr>
      </w:pPr>
    </w:p>
    <w:bookmarkStart w:id="118" w:name="page119"/>
    <w:bookmarkEnd w:id="118"/>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6.4</w:t>
      </w:r>
      <w:r>
        <w:rPr>
          <w:sz w:val="20"/>
          <w:szCs w:val="20"/>
          <w:color w:val="auto"/>
        </w:rPr>
        <w:tab/>
      </w:r>
      <w:r>
        <w:rPr>
          <w:rFonts w:ascii="Times New Roman" w:cs="Times New Roman" w:eastAsia="Times New Roman" w:hAnsi="Times New Roman"/>
          <w:sz w:val="21"/>
          <w:szCs w:val="21"/>
          <w:b w:val="1"/>
          <w:bCs w:val="1"/>
          <w:u w:val="single" w:color="auto"/>
          <w:color w:val="auto"/>
        </w:rPr>
        <w:t>Death</w:t>
      </w:r>
    </w:p>
    <w:p>
      <w:pPr>
        <w:spacing w:after="0" w:line="224" w:lineRule="exact"/>
        <w:rPr>
          <w:sz w:val="20"/>
          <w:szCs w:val="20"/>
          <w:color w:val="auto"/>
        </w:rPr>
      </w:pPr>
    </w:p>
    <w:p>
      <w:pPr>
        <w:jc w:val="both"/>
        <w:ind w:left="660"/>
        <w:spacing w:after="0" w:line="289" w:lineRule="auto"/>
        <w:rPr>
          <w:sz w:val="20"/>
          <w:szCs w:val="20"/>
          <w:color w:val="auto"/>
        </w:rPr>
      </w:pPr>
      <w:r>
        <w:rPr>
          <w:rFonts w:ascii="Times New Roman" w:cs="Times New Roman" w:eastAsia="Times New Roman" w:hAnsi="Times New Roman"/>
          <w:sz w:val="22"/>
          <w:szCs w:val="22"/>
          <w:color w:val="auto"/>
        </w:rPr>
        <w:t>Notwithstanding Section 6.1, if a Participant dies prior to the complete distribution of his or her Account, the balance of the Account shall be paid as soon as practicable to the Participant's designated Beneficiary or Beneficiaries, elected by the Participant pursuant to Section 7.</w:t>
      </w:r>
    </w:p>
    <w:p>
      <w:pPr>
        <w:spacing w:after="0" w:line="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6.5</w:t>
      </w:r>
      <w:r>
        <w:rPr>
          <w:sz w:val="20"/>
          <w:szCs w:val="20"/>
          <w:color w:val="auto"/>
        </w:rPr>
        <w:tab/>
      </w:r>
      <w:r>
        <w:rPr>
          <w:rFonts w:ascii="Times New Roman" w:cs="Times New Roman" w:eastAsia="Times New Roman" w:hAnsi="Times New Roman"/>
          <w:sz w:val="21"/>
          <w:szCs w:val="21"/>
          <w:b w:val="1"/>
          <w:bCs w:val="1"/>
          <w:u w:val="single" w:color="auto"/>
          <w:color w:val="auto"/>
        </w:rPr>
        <w:t>Unforseen Emergency</w:t>
      </w:r>
    </w:p>
    <w:p>
      <w:pPr>
        <w:spacing w:after="0" w:line="224" w:lineRule="exact"/>
        <w:rPr>
          <w:sz w:val="20"/>
          <w:szCs w:val="20"/>
          <w:color w:val="auto"/>
        </w:rPr>
      </w:pPr>
    </w:p>
    <w:p>
      <w:pPr>
        <w:jc w:val="both"/>
        <w:ind w:left="660"/>
        <w:spacing w:after="0" w:line="279" w:lineRule="auto"/>
        <w:rPr>
          <w:sz w:val="20"/>
          <w:szCs w:val="20"/>
          <w:color w:val="auto"/>
        </w:rPr>
      </w:pPr>
      <w:r>
        <w:rPr>
          <w:rFonts w:ascii="Times New Roman" w:cs="Times New Roman" w:eastAsia="Times New Roman" w:hAnsi="Times New Roman"/>
          <w:sz w:val="22"/>
          <w:szCs w:val="22"/>
          <w:color w:val="auto"/>
        </w:rPr>
        <w:t>A Participant may request distribution of amounts previously deferred under the Old ARAC Plan (and any subsequent earnings related thereto) upon an Unforeseen Emergency. Such distribution is limited to amounts reasonably necessary to meet the emergency and pay any anticipated tax on the distribution. The Committee retains the right to make a final determination if a Participant's need meets the definition of Unforeseen Emergency and all decisions are final.</w:t>
      </w:r>
    </w:p>
    <w:p>
      <w:pPr>
        <w:spacing w:after="0" w:line="2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6.6</w:t>
      </w:r>
      <w:r>
        <w:rPr>
          <w:sz w:val="20"/>
          <w:szCs w:val="20"/>
          <w:color w:val="auto"/>
        </w:rPr>
        <w:tab/>
      </w:r>
      <w:r>
        <w:rPr>
          <w:rFonts w:ascii="Times New Roman" w:cs="Times New Roman" w:eastAsia="Times New Roman" w:hAnsi="Times New Roman"/>
          <w:sz w:val="19"/>
          <w:szCs w:val="19"/>
          <w:b w:val="1"/>
          <w:bCs w:val="1"/>
          <w:u w:val="single" w:color="auto"/>
          <w:color w:val="auto"/>
        </w:rPr>
        <w:t>Taxes</w:t>
      </w:r>
    </w:p>
    <w:p>
      <w:pPr>
        <w:spacing w:after="0" w:line="224" w:lineRule="exact"/>
        <w:rPr>
          <w:sz w:val="20"/>
          <w:szCs w:val="20"/>
          <w:color w:val="auto"/>
        </w:rPr>
      </w:pPr>
    </w:p>
    <w:p>
      <w:pPr>
        <w:jc w:val="both"/>
        <w:ind w:left="660"/>
        <w:spacing w:after="0" w:line="292" w:lineRule="auto"/>
        <w:rPr>
          <w:sz w:val="20"/>
          <w:szCs w:val="20"/>
          <w:color w:val="auto"/>
        </w:rPr>
      </w:pPr>
      <w:r>
        <w:rPr>
          <w:rFonts w:ascii="Times New Roman" w:cs="Times New Roman" w:eastAsia="Times New Roman" w:hAnsi="Times New Roman"/>
          <w:sz w:val="22"/>
          <w:szCs w:val="22"/>
          <w:color w:val="auto"/>
        </w:rPr>
        <w:t>All federal, state or local taxes that the Committee determines are required to be withheld from any payments made pursuant to this Article VI shall be withheld</w:t>
      </w:r>
      <w:r>
        <w:rPr>
          <w:rFonts w:ascii="Calibri" w:cs="Calibri" w:eastAsia="Calibri" w:hAnsi="Calibri"/>
          <w:sz w:val="19"/>
          <w:szCs w:val="19"/>
          <w:color w:val="auto"/>
        </w:rPr>
        <w:t>.</w:t>
      </w:r>
    </w:p>
    <w:p>
      <w:pPr>
        <w:spacing w:after="0" w:line="14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ARTICLE VII - BENEFICIARY DESIGNATION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b w:val="1"/>
          <w:bCs w:val="1"/>
          <w:u w:val="single" w:color="auto"/>
          <w:color w:val="auto"/>
        </w:rPr>
        <w:t>Designation</w:t>
      </w:r>
    </w:p>
    <w:p>
      <w:pPr>
        <w:spacing w:after="0" w:line="224" w:lineRule="exact"/>
        <w:rPr>
          <w:sz w:val="20"/>
          <w:szCs w:val="20"/>
          <w:color w:val="auto"/>
        </w:rPr>
      </w:pPr>
    </w:p>
    <w:p>
      <w:pPr>
        <w:jc w:val="both"/>
        <w:ind w:left="660"/>
        <w:spacing w:after="0" w:line="276" w:lineRule="auto"/>
        <w:rPr>
          <w:sz w:val="20"/>
          <w:szCs w:val="20"/>
          <w:color w:val="auto"/>
        </w:rPr>
      </w:pPr>
      <w:r>
        <w:rPr>
          <w:rFonts w:ascii="Times New Roman" w:cs="Times New Roman" w:eastAsia="Times New Roman" w:hAnsi="Times New Roman"/>
          <w:sz w:val="22"/>
          <w:szCs w:val="22"/>
          <w:color w:val="auto"/>
        </w:rPr>
        <w:t>Upon enrollment in the Plan, each Participant shall file with the Committee a written designation of one or more persons as the Beneficiary who shall be entitled to receive the amount, if any, payable under the Plan upon the Participant's death. A Participant may, from time to time, revoke or change his or her Beneficiary designation without the consent of any prior Beneficiary by filing a new such designation with the Committee on a form designated by the Committee for such purpose. The most recent such designation received by the Committee shall be controlling and shall be effective upon receipt and acceptance by the Committee; provided, however, that no designation, or change or revocation thereof, shall be effective unless received by the Committee prior to the Participant's death.</w:t>
      </w:r>
    </w:p>
    <w:p>
      <w:pPr>
        <w:spacing w:after="0" w:line="3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u w:val="single" w:color="auto"/>
          <w:color w:val="auto"/>
        </w:rPr>
        <w:t>Failure to designate Beneficiary</w:t>
      </w:r>
    </w:p>
    <w:p>
      <w:pPr>
        <w:spacing w:after="0" w:line="22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22"/>
          <w:szCs w:val="22"/>
          <w:color w:val="auto"/>
        </w:rPr>
        <w:t>If no such Beneficiary designation is in effect at the time of a Participant's death, or if no designated Beneficiary survives the Participant, or if such designation conflicts with law, the Participant's estate shall be deemed to have been designated as the Beneficiary and shall receive the payment of the amount, if any, payable under the Plan upon the Participant's death. If the Committee is in doubt as to the right of any</w:t>
      </w:r>
    </w:p>
    <w:p>
      <w:pPr>
        <w:spacing w:after="0" w:line="357" w:lineRule="exact"/>
        <w:rPr>
          <w:sz w:val="20"/>
          <w:szCs w:val="20"/>
          <w:color w:val="auto"/>
        </w:rPr>
      </w:pPr>
    </w:p>
    <w:p>
      <w:pPr>
        <w:jc w:val="center"/>
        <w:ind w:right="-499"/>
        <w:spacing w:after="0"/>
        <w:rPr>
          <w:sz w:val="20"/>
          <w:szCs w:val="20"/>
          <w:color w:val="auto"/>
        </w:rPr>
      </w:pPr>
      <w:r>
        <w:rPr>
          <w:rFonts w:ascii="Calibri" w:cs="Calibri" w:eastAsia="Calibri" w:hAnsi="Calibri"/>
          <w:sz w:val="20"/>
          <w:szCs w:val="20"/>
          <w:color w:val="auto"/>
        </w:rPr>
        <w:t>8</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4890-7633-3880.1 / 035682-1128</w:t>
      </w:r>
    </w:p>
    <w:p>
      <w:pPr>
        <w:sectPr>
          <w:pgSz w:w="11900" w:h="16838" w:orient="portrait"/>
          <w:cols w:equalWidth="0" w:num="1">
            <w:col w:w="10740"/>
          </w:cols>
          <w:pgMar w:left="320" w:top="1337" w:right="839" w:bottom="1440" w:gutter="0" w:footer="0" w:header="0"/>
        </w:sectPr>
      </w:pPr>
    </w:p>
    <w:bookmarkStart w:id="119" w:name="page120"/>
    <w:bookmarkEnd w:id="119"/>
    <w:p>
      <w:pPr>
        <w:jc w:val="both"/>
        <w:ind w:left="660"/>
        <w:spacing w:after="0" w:line="289" w:lineRule="auto"/>
        <w:rPr>
          <w:sz w:val="20"/>
          <w:szCs w:val="20"/>
          <w:color w:val="auto"/>
        </w:rPr>
      </w:pPr>
      <w:r>
        <w:rPr>
          <w:rFonts w:ascii="Times New Roman" w:cs="Times New Roman" w:eastAsia="Times New Roman" w:hAnsi="Times New Roman"/>
          <w:sz w:val="22"/>
          <w:szCs w:val="22"/>
          <w:color w:val="auto"/>
        </w:rPr>
        <w:t>person to receive such amount, the Committee may retain such amount, without liability for any interest thereon, until the rights thereto are determined, or the Committee may pay such amount into any court of appropriate jurisdiction and such payment shall be a complete discharge of the obligations of the Employer under the Plan.</w:t>
      </w:r>
    </w:p>
    <w:p>
      <w:pPr>
        <w:spacing w:after="0" w:line="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u w:val="single" w:color="auto"/>
          <w:color w:val="auto"/>
        </w:rPr>
        <w:t>Payment to Representatives</w:t>
      </w:r>
    </w:p>
    <w:p>
      <w:pPr>
        <w:spacing w:after="0" w:line="224" w:lineRule="exact"/>
        <w:rPr>
          <w:sz w:val="20"/>
          <w:szCs w:val="20"/>
          <w:color w:val="auto"/>
        </w:rPr>
      </w:pPr>
    </w:p>
    <w:p>
      <w:pPr>
        <w:jc w:val="both"/>
        <w:ind w:left="660"/>
        <w:spacing w:after="0" w:line="277" w:lineRule="auto"/>
        <w:rPr>
          <w:sz w:val="20"/>
          <w:szCs w:val="20"/>
          <w:color w:val="auto"/>
        </w:rPr>
      </w:pPr>
      <w:r>
        <w:rPr>
          <w:rFonts w:ascii="Times New Roman" w:cs="Times New Roman" w:eastAsia="Times New Roman" w:hAnsi="Times New Roman"/>
          <w:sz w:val="22"/>
          <w:szCs w:val="22"/>
          <w:color w:val="auto"/>
        </w:rPr>
        <w:t>If the Committee determines that a Participant or Beneficiary is legally incapable of giving valid receipt and discharge for the payment due from this Plan, such amounts shall be paid to a duly appointed and acting guardian, if any. If no such guardian is appointed and acting, the Committee may retain such amount, without liability for any interest thereon, until the rights thereto are determined, or the Committee may pay such amount into any court of appropriate jurisdiction on behalf of the Participant or Beneficiary and such payment shall be a complete discharge of the obligations of the Employer under the Plan.</w:t>
      </w:r>
    </w:p>
    <w:p>
      <w:pPr>
        <w:spacing w:after="0" w:line="134" w:lineRule="exact"/>
        <w:rPr>
          <w:sz w:val="20"/>
          <w:szCs w:val="20"/>
          <w:color w:val="auto"/>
        </w:rPr>
      </w:pPr>
    </w:p>
    <w:p>
      <w:pPr>
        <w:ind w:right="2840" w:firstLine="3672"/>
        <w:spacing w:after="0" w:line="430" w:lineRule="auto"/>
        <w:rPr>
          <w:sz w:val="20"/>
          <w:szCs w:val="20"/>
          <w:color w:val="auto"/>
        </w:rPr>
      </w:pPr>
      <w:r>
        <w:rPr>
          <w:rFonts w:ascii="Times New Roman" w:cs="Times New Roman" w:eastAsia="Times New Roman" w:hAnsi="Times New Roman"/>
          <w:sz w:val="22"/>
          <w:szCs w:val="22"/>
          <w:b w:val="1"/>
          <w:bCs w:val="1"/>
          <w:color w:val="auto"/>
        </w:rPr>
        <w:t xml:space="preserve">ARTICLE VIII - PLAN ADMINISTRATION 8.1 </w:t>
      </w:r>
      <w:r>
        <w:rPr>
          <w:rFonts w:ascii="Times New Roman" w:cs="Times New Roman" w:eastAsia="Times New Roman" w:hAnsi="Times New Roman"/>
          <w:sz w:val="22"/>
          <w:szCs w:val="22"/>
          <w:b w:val="1"/>
          <w:bCs w:val="1"/>
          <w:u w:val="single" w:color="auto"/>
          <w:color w:val="auto"/>
        </w:rPr>
        <w:t>Powers and Duties of the Committee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Committee shall have absolute discretion with respect to the operation, interpretation and administration of the</w:t>
      </w:r>
    </w:p>
    <w:p>
      <w:pPr>
        <w:spacing w:after="0" w:line="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Plan. The Committee's powers and duties shall include, but not be limited to:</w:t>
      </w:r>
    </w:p>
    <w:p>
      <w:pPr>
        <w:spacing w:after="0" w:line="247" w:lineRule="exact"/>
        <w:rPr>
          <w:sz w:val="20"/>
          <w:szCs w:val="20"/>
          <w:color w:val="auto"/>
        </w:rPr>
      </w:pPr>
    </w:p>
    <w:p>
      <w:pPr>
        <w:ind w:left="1040" w:hanging="384"/>
        <w:spacing w:after="0"/>
        <w:tabs>
          <w:tab w:leader="none" w:pos="10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Establishing Accounts for Participants;</w:t>
      </w:r>
    </w:p>
    <w:p>
      <w:pPr>
        <w:spacing w:after="0" w:line="246"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Determining eligibility for, and amount of, distributions from the Plan;</w:t>
      </w:r>
    </w:p>
    <w:p>
      <w:pPr>
        <w:spacing w:after="0" w:line="138"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Adopting, interpreting, altering, amending or revoking rules and regulations necessary to administer the Plan;</w:t>
      </w:r>
    </w:p>
    <w:p>
      <w:pPr>
        <w:spacing w:after="0" w:line="152"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Delegating ministerial duties and employing outside professionals as may be required; and</w:t>
      </w:r>
    </w:p>
    <w:p>
      <w:pPr>
        <w:spacing w:after="0" w:line="138" w:lineRule="exact"/>
        <w:rPr>
          <w:rFonts w:ascii="Times New Roman" w:cs="Times New Roman" w:eastAsia="Times New Roman" w:hAnsi="Times New Roman"/>
          <w:sz w:val="22"/>
          <w:szCs w:val="22"/>
          <w:color w:val="auto"/>
        </w:rPr>
      </w:pPr>
    </w:p>
    <w:p>
      <w:pPr>
        <w:ind w:left="660" w:hanging="4"/>
        <w:spacing w:after="0" w:line="296" w:lineRule="auto"/>
        <w:tabs>
          <w:tab w:leader="none" w:pos="106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Entering into agreements or taking such other actions on behalf of the Employer as are necessary to implement the Plan.</w:t>
      </w:r>
    </w:p>
    <w:p>
      <w:pPr>
        <w:spacing w:after="0" w:line="172" w:lineRule="exact"/>
        <w:rPr>
          <w:sz w:val="20"/>
          <w:szCs w:val="20"/>
          <w:color w:val="auto"/>
        </w:rPr>
      </w:pPr>
    </w:p>
    <w:p>
      <w:pPr>
        <w:jc w:val="both"/>
        <w:ind w:left="660"/>
        <w:spacing w:after="0" w:line="277" w:lineRule="auto"/>
        <w:rPr>
          <w:sz w:val="20"/>
          <w:szCs w:val="20"/>
          <w:color w:val="auto"/>
        </w:rPr>
      </w:pPr>
      <w:r>
        <w:rPr>
          <w:rFonts w:ascii="Times New Roman" w:cs="Times New Roman" w:eastAsia="Times New Roman" w:hAnsi="Times New Roman"/>
          <w:sz w:val="22"/>
          <w:szCs w:val="22"/>
          <w:color w:val="auto"/>
        </w:rPr>
        <w:t>Participants are not prohibited from serving as members of the Committee. If an individual is both a Participant and a member of the Committee, such individual is prohibited from making any decision with respect to his or her own participation in, or individual benefits under, the Plan. Any action of the Committee may be taken by a vote or written consent of the majority of the Committee members entitled to act. Any Committee member shall be entitled to represent the Committee, including the signing of any certificate or other written direction, with regard to any action</w:t>
      </w:r>
    </w:p>
    <w:p>
      <w:pPr>
        <w:spacing w:after="0" w:line="200" w:lineRule="exact"/>
        <w:rPr>
          <w:sz w:val="20"/>
          <w:szCs w:val="20"/>
          <w:color w:val="auto"/>
        </w:rPr>
      </w:pPr>
    </w:p>
    <w:p>
      <w:pPr>
        <w:spacing w:after="0" w:line="269" w:lineRule="exact"/>
        <w:rPr>
          <w:sz w:val="20"/>
          <w:szCs w:val="20"/>
          <w:color w:val="auto"/>
        </w:rPr>
      </w:pPr>
    </w:p>
    <w:p>
      <w:pPr>
        <w:jc w:val="center"/>
        <w:ind w:right="-499"/>
        <w:spacing w:after="0"/>
        <w:rPr>
          <w:sz w:val="20"/>
          <w:szCs w:val="20"/>
          <w:color w:val="auto"/>
        </w:rPr>
      </w:pPr>
      <w:r>
        <w:rPr>
          <w:rFonts w:ascii="Calibri" w:cs="Calibri" w:eastAsia="Calibri" w:hAnsi="Calibri"/>
          <w:sz w:val="20"/>
          <w:szCs w:val="20"/>
          <w:color w:val="auto"/>
        </w:rPr>
        <w:t>9</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4890-7633-3880.1 / 035682-1128</w:t>
      </w:r>
    </w:p>
    <w:p>
      <w:pPr>
        <w:sectPr>
          <w:pgSz w:w="11900" w:h="16838" w:orient="portrait"/>
          <w:cols w:equalWidth="0" w:num="1">
            <w:col w:w="10740"/>
          </w:cols>
          <w:pgMar w:left="320" w:top="1273" w:right="839" w:bottom="1440" w:gutter="0" w:footer="0" w:header="0"/>
        </w:sectPr>
      </w:pPr>
    </w:p>
    <w:bookmarkStart w:id="120" w:name="page121"/>
    <w:bookmarkEnd w:id="120"/>
    <w:p>
      <w:pPr>
        <w:ind w:left="660"/>
        <w:spacing w:after="0"/>
        <w:rPr>
          <w:sz w:val="20"/>
          <w:szCs w:val="20"/>
          <w:color w:val="auto"/>
        </w:rPr>
      </w:pPr>
      <w:r>
        <w:rPr>
          <w:rFonts w:ascii="Times New Roman" w:cs="Times New Roman" w:eastAsia="Times New Roman" w:hAnsi="Times New Roman"/>
          <w:sz w:val="22"/>
          <w:szCs w:val="22"/>
          <w:color w:val="auto"/>
        </w:rPr>
        <w:t>approved by the Committee.</w:t>
      </w:r>
    </w:p>
    <w:p>
      <w:pPr>
        <w:spacing w:after="0" w:line="20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8.2</w:t>
      </w:r>
      <w:r>
        <w:rPr>
          <w:sz w:val="20"/>
          <w:szCs w:val="20"/>
          <w:color w:val="auto"/>
        </w:rPr>
        <w:tab/>
      </w:r>
      <w:r>
        <w:rPr>
          <w:rFonts w:ascii="Times New Roman" w:cs="Times New Roman" w:eastAsia="Times New Roman" w:hAnsi="Times New Roman"/>
          <w:sz w:val="21"/>
          <w:szCs w:val="21"/>
          <w:b w:val="1"/>
          <w:bCs w:val="1"/>
          <w:u w:val="single" w:color="auto"/>
          <w:color w:val="auto"/>
        </w:rPr>
        <w:t>Information</w:t>
      </w:r>
    </w:p>
    <w:p>
      <w:pPr>
        <w:spacing w:after="0" w:line="224" w:lineRule="exact"/>
        <w:rPr>
          <w:sz w:val="20"/>
          <w:szCs w:val="20"/>
          <w:color w:val="auto"/>
        </w:rPr>
      </w:pPr>
    </w:p>
    <w:p>
      <w:pPr>
        <w:jc w:val="both"/>
        <w:ind w:left="660"/>
        <w:spacing w:after="0" w:line="289" w:lineRule="auto"/>
        <w:rPr>
          <w:sz w:val="20"/>
          <w:szCs w:val="20"/>
          <w:color w:val="auto"/>
        </w:rPr>
      </w:pPr>
      <w:r>
        <w:rPr>
          <w:rFonts w:ascii="Times New Roman" w:cs="Times New Roman" w:eastAsia="Times New Roman" w:hAnsi="Times New Roman"/>
          <w:sz w:val="22"/>
          <w:szCs w:val="22"/>
          <w:color w:val="auto"/>
        </w:rPr>
        <w:t>To enable the Committee to perform its functions, the Employer shall supply full and timely information to the Committee on all matters relating to the compensation of Participants, their employment, retirement, death, termination of employment, and such other pertinent facts as the Committee may require.</w:t>
      </w:r>
    </w:p>
    <w:p>
      <w:pPr>
        <w:spacing w:after="0" w:line="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8.3</w:t>
      </w:r>
      <w:r>
        <w:rPr>
          <w:sz w:val="20"/>
          <w:szCs w:val="20"/>
          <w:color w:val="auto"/>
        </w:rPr>
        <w:tab/>
      </w:r>
      <w:r>
        <w:rPr>
          <w:rFonts w:ascii="Times New Roman" w:cs="Times New Roman" w:eastAsia="Times New Roman" w:hAnsi="Times New Roman"/>
          <w:sz w:val="21"/>
          <w:szCs w:val="21"/>
          <w:b w:val="1"/>
          <w:bCs w:val="1"/>
          <w:u w:val="single" w:color="auto"/>
          <w:color w:val="auto"/>
        </w:rPr>
        <w:t>Claims Procedure</w:t>
      </w:r>
    </w:p>
    <w:p>
      <w:pPr>
        <w:spacing w:after="0" w:line="224"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21"/>
          <w:szCs w:val="21"/>
          <w:color w:val="auto"/>
        </w:rPr>
        <w:t>In the event a claim by a Participant relating to the amount of any distribution is denied, such person will be given written notice by the Committee of such denial, which shall set forth the reason for denial. The Participant may, within sixty (60) days after receiving the notice, request a review of such denial by filing notice in writing with the Committee. The Committee, in its discretion, may request a meeting with the Participant to clarify any matters it deems pertinent. The Committee will render a written decision within sixty (60) days after receipt of such request, stating the reason for its decision. If the Committee is unable to respond within sixty (60) days, an additional sixty</w:t>
      </w:r>
    </w:p>
    <w:p>
      <w:pPr>
        <w:spacing w:after="0" w:line="1" w:lineRule="exact"/>
        <w:rPr>
          <w:sz w:val="20"/>
          <w:szCs w:val="20"/>
          <w:color w:val="auto"/>
        </w:rPr>
      </w:pPr>
    </w:p>
    <w:p>
      <w:pPr>
        <w:jc w:val="both"/>
        <w:ind w:left="660" w:hanging="4"/>
        <w:spacing w:after="0" w:line="277" w:lineRule="auto"/>
        <w:tabs>
          <w:tab w:leader="none" w:pos="110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may be taken by the Committee to respond. The Participant will be notified if the additional time is necessary by the end of the initial sixty (60) day period. The determination of the Committee as to any disputed questions or issues arising under the Plan and all interpretations, determinations and decisions of the Committee with respect to any claim hereunder shall be final, conclusive and binding upon all persons</w:t>
      </w:r>
      <w:r>
        <w:rPr>
          <w:rFonts w:ascii="Calibri" w:cs="Calibri" w:eastAsia="Calibri" w:hAnsi="Calibri"/>
          <w:sz w:val="19"/>
          <w:szCs w:val="19"/>
          <w:color w:val="auto"/>
        </w:rPr>
        <w:t>.</w:t>
      </w:r>
    </w:p>
    <w:p>
      <w:pPr>
        <w:spacing w:after="0" w:line="16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ARTICLE IX - AMENDMENT AND TERMINATION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9.1</w:t>
      </w:r>
      <w:r>
        <w:rPr>
          <w:sz w:val="20"/>
          <w:szCs w:val="20"/>
          <w:color w:val="auto"/>
        </w:rPr>
        <w:tab/>
      </w:r>
      <w:r>
        <w:rPr>
          <w:rFonts w:ascii="Times New Roman" w:cs="Times New Roman" w:eastAsia="Times New Roman" w:hAnsi="Times New Roman"/>
          <w:sz w:val="21"/>
          <w:szCs w:val="21"/>
          <w:b w:val="1"/>
          <w:bCs w:val="1"/>
          <w:u w:val="single" w:color="auto"/>
          <w:color w:val="auto"/>
        </w:rPr>
        <w:t>Amendments</w:t>
      </w:r>
    </w:p>
    <w:p>
      <w:pPr>
        <w:spacing w:after="0" w:line="22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22"/>
          <w:szCs w:val="22"/>
          <w:color w:val="auto"/>
        </w:rPr>
        <w:t>Except as expressly provided in Section 9.3 hereof, the Company, in its sole discretion, by action of its Board or other governing body charged with the management of the Company, or its designee, may amend the Plan, in whole or in part, at any time.</w:t>
      </w:r>
    </w:p>
    <w:p>
      <w:pPr>
        <w:spacing w:after="0" w:line="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u w:val="single" w:color="auto"/>
          <w:color w:val="auto"/>
        </w:rPr>
        <w:t>Termination</w:t>
      </w:r>
    </w:p>
    <w:p>
      <w:pPr>
        <w:spacing w:after="0" w:line="224" w:lineRule="exact"/>
        <w:rPr>
          <w:sz w:val="20"/>
          <w:szCs w:val="20"/>
          <w:color w:val="auto"/>
        </w:rPr>
      </w:pPr>
    </w:p>
    <w:p>
      <w:pPr>
        <w:jc w:val="both"/>
        <w:ind w:left="660"/>
        <w:spacing w:after="0" w:line="277" w:lineRule="auto"/>
        <w:rPr>
          <w:sz w:val="20"/>
          <w:szCs w:val="20"/>
          <w:color w:val="auto"/>
        </w:rPr>
      </w:pPr>
      <w:r>
        <w:rPr>
          <w:rFonts w:ascii="Times New Roman" w:cs="Times New Roman" w:eastAsia="Times New Roman" w:hAnsi="Times New Roman"/>
          <w:sz w:val="22"/>
          <w:szCs w:val="22"/>
          <w:color w:val="auto"/>
        </w:rPr>
        <w:t>This Plan is strictly a voluntary undertaking on the part of the Employer and shall not be deemed to constitute a contract between the Employer and any Eligible Employee (or any other employee) or a consideration for, or an inducement or condition of employment for, the performance of the services by any Eligible Employee (or other employee). The Company reserves the right to terminate the Plan at any time, subject to Section 9.3, by an instrument in writing which has been executed on the Company's behalf by its duly authorized officer. Upon termination, the Company may elect to</w:t>
      </w:r>
    </w:p>
    <w:p>
      <w:pPr>
        <w:spacing w:after="0" w:line="200" w:lineRule="exact"/>
        <w:rPr>
          <w:sz w:val="20"/>
          <w:szCs w:val="20"/>
          <w:color w:val="auto"/>
        </w:rPr>
      </w:pPr>
    </w:p>
    <w:p>
      <w:pPr>
        <w:spacing w:after="0" w:line="269" w:lineRule="exact"/>
        <w:rPr>
          <w:sz w:val="20"/>
          <w:szCs w:val="20"/>
          <w:color w:val="auto"/>
        </w:rPr>
      </w:pPr>
    </w:p>
    <w:p>
      <w:pPr>
        <w:jc w:val="center"/>
        <w:ind w:right="-499"/>
        <w:spacing w:after="0"/>
        <w:rPr>
          <w:sz w:val="20"/>
          <w:szCs w:val="20"/>
          <w:color w:val="auto"/>
        </w:rPr>
      </w:pPr>
      <w:r>
        <w:rPr>
          <w:rFonts w:ascii="Calibri" w:cs="Calibri" w:eastAsia="Calibri" w:hAnsi="Calibri"/>
          <w:sz w:val="20"/>
          <w:szCs w:val="20"/>
          <w:color w:val="auto"/>
        </w:rPr>
        <w:t>10</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4890-7633-3880.1 / 035682-1128</w:t>
      </w:r>
    </w:p>
    <w:p>
      <w:pPr>
        <w:sectPr>
          <w:pgSz w:w="11900" w:h="16838" w:orient="portrait"/>
          <w:cols w:equalWidth="0" w:num="1">
            <w:col w:w="10740"/>
          </w:cols>
          <w:pgMar w:left="320" w:top="1273" w:right="839" w:bottom="1440" w:gutter="0" w:footer="0" w:header="0"/>
        </w:sectPr>
      </w:pPr>
    </w:p>
    <w:bookmarkStart w:id="121" w:name="page122"/>
    <w:bookmarkEnd w:id="121"/>
    <w:p>
      <w:pPr>
        <w:ind w:left="960" w:hanging="304"/>
        <w:spacing w:after="0"/>
        <w:tabs>
          <w:tab w:leader="none" w:pos="96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continue to maintain the Plan to pay benefits hereunder as they become due as if the Plan had not terminated or</w:t>
      </w:r>
    </w:p>
    <w:p>
      <w:pPr>
        <w:spacing w:after="0" w:line="42" w:lineRule="exact"/>
        <w:rPr>
          <w:rFonts w:ascii="Times New Roman" w:cs="Times New Roman" w:eastAsia="Times New Roman" w:hAnsi="Times New Roman"/>
          <w:sz w:val="21"/>
          <w:szCs w:val="21"/>
          <w:color w:val="auto"/>
        </w:rPr>
      </w:pPr>
    </w:p>
    <w:p>
      <w:pPr>
        <w:ind w:left="660" w:hanging="4"/>
        <w:spacing w:after="0" w:line="309" w:lineRule="auto"/>
        <w:tabs>
          <w:tab w:leader="none" w:pos="98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to Participants (or their beneficiaries) the balance of their Accounts no sooner than twelve months and no later than 24 months after the Plan termination is effective.</w:t>
      </w:r>
    </w:p>
    <w:p>
      <w:pPr>
        <w:spacing w:after="0" w:line="105"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22"/>
          <w:szCs w:val="22"/>
          <w:color w:val="auto"/>
        </w:rPr>
        <w:t>For purposes of the preceding sentence, in the event the Company chooses to implement clause (b), such termination and liquidation of the Plan shall be subject to the following limitations:</w:t>
      </w:r>
    </w:p>
    <w:p>
      <w:pPr>
        <w:spacing w:after="0" w:line="191" w:lineRule="exact"/>
        <w:rPr>
          <w:sz w:val="20"/>
          <w:szCs w:val="20"/>
          <w:color w:val="auto"/>
        </w:rPr>
      </w:pPr>
    </w:p>
    <w:p>
      <w:pPr>
        <w:ind w:left="660" w:hanging="4"/>
        <w:spacing w:after="0" w:line="296" w:lineRule="auto"/>
        <w:tabs>
          <w:tab w:leader="none" w:pos="112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and liquidation may not occur proximate to a downturn in the financial health of the Company or the Employer;</w:t>
      </w:r>
    </w:p>
    <w:p>
      <w:pPr>
        <w:spacing w:after="0" w:line="158" w:lineRule="exact"/>
        <w:rPr>
          <w:rFonts w:ascii="Times New Roman" w:cs="Times New Roman" w:eastAsia="Times New Roman" w:hAnsi="Times New Roman"/>
          <w:sz w:val="22"/>
          <w:szCs w:val="22"/>
          <w:color w:val="auto"/>
        </w:rPr>
      </w:pPr>
    </w:p>
    <w:p>
      <w:pPr>
        <w:jc w:val="both"/>
        <w:ind w:left="660" w:hanging="4"/>
        <w:spacing w:after="0" w:line="289" w:lineRule="auto"/>
        <w:tabs>
          <w:tab w:leader="none" w:pos="115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Employer must terminate and liquidate all other plans, programs and arrangements it sponsors that would be aggregated with the Plan under Treasury Regulation 1.409A-1(c) if any Participant had deferred compensation under such plans, programs and arrangements; and</w:t>
      </w:r>
    </w:p>
    <w:p>
      <w:pPr>
        <w:spacing w:after="0" w:line="166" w:lineRule="exact"/>
        <w:rPr>
          <w:rFonts w:ascii="Times New Roman" w:cs="Times New Roman" w:eastAsia="Times New Roman" w:hAnsi="Times New Roman"/>
          <w:sz w:val="22"/>
          <w:szCs w:val="22"/>
          <w:color w:val="auto"/>
        </w:rPr>
      </w:pPr>
    </w:p>
    <w:p>
      <w:pPr>
        <w:jc w:val="both"/>
        <w:ind w:left="660" w:hanging="4"/>
        <w:spacing w:after="0" w:line="289" w:lineRule="auto"/>
        <w:tabs>
          <w:tab w:leader="none" w:pos="118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Employer may not adopt a new plan that would be aggregated with the Plan under Treasury Regulation 1.409A-1(c) if any Participant had participated in such plan for a period of three years following the date the termination and liquidation become irrevocable.</w:t>
      </w:r>
    </w:p>
    <w:p>
      <w:pPr>
        <w:spacing w:after="0" w:line="1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1"/>
          <w:szCs w:val="21"/>
          <w:b w:val="1"/>
          <w:bCs w:val="1"/>
          <w:u w:val="single" w:color="auto"/>
          <w:color w:val="auto"/>
        </w:rPr>
        <w:t>Protection of Benefit</w:t>
      </w:r>
    </w:p>
    <w:p>
      <w:pPr>
        <w:spacing w:after="0" w:line="22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22"/>
          <w:szCs w:val="22"/>
          <w:color w:val="auto"/>
        </w:rPr>
        <w:t>No amendment or termination of this Plan shall reduce the rights of any Participant with respect to amounts allocated to a Participant's Account prior to the date of such amendment or termination without the Participant's express written consent.</w:t>
      </w:r>
    </w:p>
    <w:p>
      <w:pPr>
        <w:spacing w:after="0" w:line="1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ARTICLE X - MISCELLANEOUS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10.1</w:t>
      </w:r>
      <w:r>
        <w:rPr>
          <w:sz w:val="20"/>
          <w:szCs w:val="20"/>
          <w:color w:val="auto"/>
        </w:rPr>
        <w:tab/>
      </w:r>
      <w:r>
        <w:rPr>
          <w:rFonts w:ascii="Times New Roman" w:cs="Times New Roman" w:eastAsia="Times New Roman" w:hAnsi="Times New Roman"/>
          <w:sz w:val="21"/>
          <w:szCs w:val="21"/>
          <w:b w:val="1"/>
          <w:bCs w:val="1"/>
          <w:u w:val="single" w:color="auto"/>
          <w:color w:val="auto"/>
        </w:rPr>
        <w:t>Tax Withholding</w:t>
      </w:r>
    </w:p>
    <w:p>
      <w:pPr>
        <w:spacing w:after="0" w:line="224" w:lineRule="exact"/>
        <w:rPr>
          <w:sz w:val="20"/>
          <w:szCs w:val="20"/>
          <w:color w:val="auto"/>
        </w:rPr>
      </w:pPr>
    </w:p>
    <w:p>
      <w:pPr>
        <w:jc w:val="both"/>
        <w:ind w:left="660"/>
        <w:spacing w:after="0" w:line="296" w:lineRule="auto"/>
        <w:rPr>
          <w:sz w:val="20"/>
          <w:szCs w:val="20"/>
          <w:color w:val="auto"/>
        </w:rPr>
      </w:pPr>
      <w:r>
        <w:rPr>
          <w:rFonts w:ascii="Times New Roman" w:cs="Times New Roman" w:eastAsia="Times New Roman" w:hAnsi="Times New Roman"/>
          <w:sz w:val="22"/>
          <w:szCs w:val="22"/>
          <w:color w:val="auto"/>
        </w:rPr>
        <w:t>The Employer shall have the right to deduct an amount sufficient in the opinion of the Employer to satisfy all federal, state and other governmental tax withholding requirements relating to any distribution from the Plan.</w:t>
      </w:r>
    </w:p>
    <w:p>
      <w:pPr>
        <w:spacing w:after="0" w:line="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1"/>
          <w:szCs w:val="21"/>
          <w:b w:val="1"/>
          <w:bCs w:val="1"/>
          <w:u w:val="single" w:color="auto"/>
          <w:color w:val="auto"/>
        </w:rPr>
        <w:t>Offset to Benefits</w:t>
      </w:r>
    </w:p>
    <w:p>
      <w:pPr>
        <w:spacing w:after="0" w:line="224" w:lineRule="exact"/>
        <w:rPr>
          <w:sz w:val="20"/>
          <w:szCs w:val="20"/>
          <w:color w:val="auto"/>
        </w:rPr>
      </w:pPr>
    </w:p>
    <w:p>
      <w:pPr>
        <w:jc w:val="both"/>
        <w:ind w:left="660"/>
        <w:spacing w:after="0" w:line="305" w:lineRule="auto"/>
        <w:rPr>
          <w:sz w:val="20"/>
          <w:szCs w:val="20"/>
          <w:color w:val="auto"/>
        </w:rPr>
      </w:pPr>
      <w:r>
        <w:rPr>
          <w:rFonts w:ascii="Times New Roman" w:cs="Times New Roman" w:eastAsia="Times New Roman" w:hAnsi="Times New Roman"/>
          <w:sz w:val="22"/>
          <w:szCs w:val="22"/>
          <w:color w:val="auto"/>
        </w:rPr>
        <w:t>Amounts payable to the Participant under the Plan may be offset by any reasonable monetary claims the Employer has against the Participant.</w:t>
      </w:r>
    </w:p>
    <w:p>
      <w:pPr>
        <w:spacing w:after="0" w:line="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1"/>
          <w:szCs w:val="21"/>
          <w:b w:val="1"/>
          <w:bCs w:val="1"/>
          <w:u w:val="single" w:color="auto"/>
          <w:color w:val="auto"/>
        </w:rPr>
        <w:t>Inalienability</w:t>
      </w:r>
    </w:p>
    <w:p>
      <w:pPr>
        <w:spacing w:after="0" w:line="224" w:lineRule="exact"/>
        <w:rPr>
          <w:sz w:val="20"/>
          <w:szCs w:val="20"/>
          <w:color w:val="auto"/>
        </w:rPr>
      </w:pPr>
    </w:p>
    <w:p>
      <w:pPr>
        <w:jc w:val="both"/>
        <w:ind w:left="660"/>
        <w:spacing w:after="0" w:line="296" w:lineRule="auto"/>
        <w:rPr>
          <w:sz w:val="20"/>
          <w:szCs w:val="20"/>
          <w:color w:val="auto"/>
        </w:rPr>
      </w:pPr>
      <w:r>
        <w:rPr>
          <w:rFonts w:ascii="Times New Roman" w:cs="Times New Roman" w:eastAsia="Times New Roman" w:hAnsi="Times New Roman"/>
          <w:sz w:val="22"/>
          <w:szCs w:val="22"/>
          <w:color w:val="auto"/>
        </w:rPr>
        <w:t>Except as provided in Section 10.2 hereof, a Participant's right to payments under this Plan are not subject in any manner to anticipation, alienation, sale, transfer,</w:t>
      </w:r>
    </w:p>
    <w:p>
      <w:pPr>
        <w:spacing w:after="0" w:line="341" w:lineRule="exact"/>
        <w:rPr>
          <w:sz w:val="20"/>
          <w:szCs w:val="20"/>
          <w:color w:val="auto"/>
        </w:rPr>
      </w:pPr>
    </w:p>
    <w:p>
      <w:pPr>
        <w:jc w:val="center"/>
        <w:ind w:right="-499"/>
        <w:spacing w:after="0"/>
        <w:rPr>
          <w:sz w:val="20"/>
          <w:szCs w:val="20"/>
          <w:color w:val="auto"/>
        </w:rPr>
      </w:pPr>
      <w:r>
        <w:rPr>
          <w:rFonts w:ascii="Calibri" w:cs="Calibri" w:eastAsia="Calibri" w:hAnsi="Calibri"/>
          <w:sz w:val="20"/>
          <w:szCs w:val="20"/>
          <w:color w:val="auto"/>
        </w:rPr>
        <w:t>11</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4890-7633-3880.1 / 035682-1128</w:t>
      </w:r>
    </w:p>
    <w:p>
      <w:pPr>
        <w:sectPr>
          <w:pgSz w:w="11900" w:h="16838" w:orient="portrait"/>
          <w:cols w:equalWidth="0" w:num="1">
            <w:col w:w="10740"/>
          </w:cols>
          <w:pgMar w:left="320" w:top="1273" w:right="839" w:bottom="1440" w:gutter="0" w:footer="0" w:header="0"/>
        </w:sectPr>
      </w:pPr>
    </w:p>
    <w:bookmarkStart w:id="122" w:name="page123"/>
    <w:bookmarkEnd w:id="122"/>
    <w:p>
      <w:pPr>
        <w:jc w:val="both"/>
        <w:ind w:left="660"/>
        <w:spacing w:after="0" w:line="289" w:lineRule="auto"/>
        <w:rPr>
          <w:sz w:val="20"/>
          <w:szCs w:val="20"/>
          <w:color w:val="auto"/>
        </w:rPr>
      </w:pPr>
      <w:r>
        <w:rPr>
          <w:rFonts w:ascii="Times New Roman" w:cs="Times New Roman" w:eastAsia="Times New Roman" w:hAnsi="Times New Roman"/>
          <w:sz w:val="22"/>
          <w:szCs w:val="22"/>
          <w:color w:val="auto"/>
        </w:rPr>
        <w:t>assignment, pledge, encumbrance, attachment, or garnishment by creditors of the Participant. In no event shall the Employer make any payment under this Plan to any person or entity other than the Participant or Beneficiary, unless required by law.</w:t>
      </w:r>
    </w:p>
    <w:p>
      <w:pPr>
        <w:spacing w:after="0" w:line="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10.4</w:t>
      </w:r>
      <w:r>
        <w:rPr>
          <w:sz w:val="20"/>
          <w:szCs w:val="20"/>
          <w:color w:val="auto"/>
        </w:rPr>
        <w:tab/>
      </w:r>
      <w:r>
        <w:rPr>
          <w:rFonts w:ascii="Times New Roman" w:cs="Times New Roman" w:eastAsia="Times New Roman" w:hAnsi="Times New Roman"/>
          <w:sz w:val="21"/>
          <w:szCs w:val="21"/>
          <w:b w:val="1"/>
          <w:bCs w:val="1"/>
          <w:u w:val="single" w:color="auto"/>
          <w:color w:val="auto"/>
        </w:rPr>
        <w:t>Employment</w:t>
      </w:r>
    </w:p>
    <w:p>
      <w:pPr>
        <w:spacing w:after="0" w:line="224" w:lineRule="exact"/>
        <w:rPr>
          <w:sz w:val="20"/>
          <w:szCs w:val="20"/>
          <w:color w:val="auto"/>
        </w:rPr>
      </w:pPr>
    </w:p>
    <w:p>
      <w:pPr>
        <w:jc w:val="both"/>
        <w:ind w:left="660"/>
        <w:spacing w:after="0" w:line="279" w:lineRule="auto"/>
        <w:rPr>
          <w:sz w:val="20"/>
          <w:szCs w:val="20"/>
          <w:color w:val="auto"/>
        </w:rPr>
      </w:pPr>
      <w:r>
        <w:rPr>
          <w:rFonts w:ascii="Times New Roman" w:cs="Times New Roman" w:eastAsia="Times New Roman" w:hAnsi="Times New Roman"/>
          <w:sz w:val="22"/>
          <w:szCs w:val="22"/>
          <w:color w:val="auto"/>
        </w:rPr>
        <w:t>The adoption and maintenance of this Plan does not constitute a contract between the Employer and any Participant and is not consideration for the employment of any person. Nothing contained herein gives any Participant the right to be retained in the employ of the Employer or derogates from the right of the Employer to discharge any Participant at any time and for any reason without regard to the effect of such discharge upon his or her rights as a Participant in the Plan.</w:t>
      </w:r>
    </w:p>
    <w:p>
      <w:pPr>
        <w:spacing w:after="0" w:line="2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10.5</w:t>
      </w:r>
      <w:r>
        <w:rPr>
          <w:sz w:val="20"/>
          <w:szCs w:val="20"/>
          <w:color w:val="auto"/>
        </w:rPr>
        <w:tab/>
      </w:r>
      <w:r>
        <w:rPr>
          <w:rFonts w:ascii="Times New Roman" w:cs="Times New Roman" w:eastAsia="Times New Roman" w:hAnsi="Times New Roman"/>
          <w:sz w:val="21"/>
          <w:szCs w:val="21"/>
          <w:b w:val="1"/>
          <w:bCs w:val="1"/>
          <w:u w:val="single" w:color="auto"/>
          <w:color w:val="auto"/>
        </w:rPr>
        <w:t>Indemnity of Committee</w:t>
      </w:r>
    </w:p>
    <w:p>
      <w:pPr>
        <w:spacing w:after="0" w:line="22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22"/>
          <w:szCs w:val="22"/>
          <w:color w:val="auto"/>
        </w:rPr>
        <w:t>The Employer indemnifies and holds harmless the Committee and its designees from and against any and all losses resulting from any liability to which the Committee may be subjected by reason of any act or conduct (except willful misconduct or gross negligence) in its official capacity in the administration of this Plan, including all costs and expenses reasonably incurred in its defense, in case the Employer fails to provide such defense.</w:t>
      </w:r>
    </w:p>
    <w:p>
      <w:pPr>
        <w:spacing w:after="0" w:line="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10.6</w:t>
      </w:r>
      <w:r>
        <w:rPr>
          <w:sz w:val="20"/>
          <w:szCs w:val="20"/>
          <w:color w:val="auto"/>
        </w:rPr>
        <w:tab/>
      </w:r>
      <w:r>
        <w:rPr>
          <w:rFonts w:ascii="Times New Roman" w:cs="Times New Roman" w:eastAsia="Times New Roman" w:hAnsi="Times New Roman"/>
          <w:sz w:val="21"/>
          <w:szCs w:val="21"/>
          <w:b w:val="1"/>
          <w:bCs w:val="1"/>
          <w:u w:val="single" w:color="auto"/>
          <w:color w:val="auto"/>
        </w:rPr>
        <w:t>Liability</w:t>
      </w:r>
    </w:p>
    <w:p>
      <w:pPr>
        <w:spacing w:after="0" w:line="224" w:lineRule="exact"/>
        <w:rPr>
          <w:sz w:val="20"/>
          <w:szCs w:val="20"/>
          <w:color w:val="auto"/>
        </w:rPr>
      </w:pPr>
    </w:p>
    <w:p>
      <w:pPr>
        <w:jc w:val="both"/>
        <w:ind w:left="660"/>
        <w:spacing w:after="0" w:line="296" w:lineRule="auto"/>
        <w:rPr>
          <w:sz w:val="20"/>
          <w:szCs w:val="20"/>
          <w:color w:val="auto"/>
        </w:rPr>
      </w:pPr>
      <w:r>
        <w:rPr>
          <w:rFonts w:ascii="Times New Roman" w:cs="Times New Roman" w:eastAsia="Times New Roman" w:hAnsi="Times New Roman"/>
          <w:sz w:val="22"/>
          <w:szCs w:val="22"/>
          <w:color w:val="auto"/>
        </w:rPr>
        <w:t>No member of the Board, the Committee, or management of the Employer shall be liable to any person for any action taken under the Plan.</w:t>
      </w:r>
    </w:p>
    <w:p>
      <w:pPr>
        <w:spacing w:after="0" w:line="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10.7</w:t>
      </w:r>
      <w:r>
        <w:rPr>
          <w:sz w:val="20"/>
          <w:szCs w:val="20"/>
          <w:color w:val="auto"/>
        </w:rPr>
        <w:tab/>
      </w:r>
      <w:r>
        <w:rPr>
          <w:rFonts w:ascii="Times New Roman" w:cs="Times New Roman" w:eastAsia="Times New Roman" w:hAnsi="Times New Roman"/>
          <w:sz w:val="21"/>
          <w:szCs w:val="21"/>
          <w:b w:val="1"/>
          <w:bCs w:val="1"/>
          <w:u w:val="single" w:color="auto"/>
          <w:color w:val="auto"/>
        </w:rPr>
        <w:t>Rules of Construction</w:t>
      </w:r>
    </w:p>
    <w:p>
      <w:pPr>
        <w:spacing w:after="0" w:line="224" w:lineRule="exact"/>
        <w:rPr>
          <w:sz w:val="20"/>
          <w:szCs w:val="20"/>
          <w:color w:val="auto"/>
        </w:rPr>
      </w:pPr>
    </w:p>
    <w:p>
      <w:pPr>
        <w:ind w:left="660" w:hanging="4"/>
        <w:spacing w:after="0" w:line="296" w:lineRule="auto"/>
        <w:tabs>
          <w:tab w:leader="none" w:pos="112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Governing Law. The construction and operation of this Plan are governed by the laws of the State of Delaware, except to the extent superseded by federal law.</w:t>
      </w:r>
    </w:p>
    <w:p>
      <w:pPr>
        <w:spacing w:after="0" w:line="50" w:lineRule="exact"/>
        <w:rPr>
          <w:rFonts w:ascii="Times New Roman" w:cs="Times New Roman" w:eastAsia="Times New Roman" w:hAnsi="Times New Roman"/>
          <w:sz w:val="22"/>
          <w:szCs w:val="22"/>
          <w:color w:val="auto"/>
        </w:rPr>
      </w:pPr>
    </w:p>
    <w:p>
      <w:pPr>
        <w:ind w:left="660" w:hanging="4"/>
        <w:spacing w:after="0" w:line="309" w:lineRule="auto"/>
        <w:tabs>
          <w:tab w:leader="none" w:pos="115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 The headings of Articles, Sections and Subsections are for reference only and are not to be utilized in construing the Plan.</w:t>
      </w:r>
    </w:p>
    <w:p>
      <w:pPr>
        <w:spacing w:after="0" w:line="37" w:lineRule="exact"/>
        <w:rPr>
          <w:rFonts w:ascii="Times New Roman" w:cs="Times New Roman" w:eastAsia="Times New Roman" w:hAnsi="Times New Roman"/>
          <w:sz w:val="22"/>
          <w:szCs w:val="22"/>
          <w:color w:val="auto"/>
        </w:rPr>
      </w:pPr>
    </w:p>
    <w:p>
      <w:pPr>
        <w:ind w:left="660" w:hanging="4"/>
        <w:spacing w:after="0" w:line="296" w:lineRule="auto"/>
        <w:tabs>
          <w:tab w:leader="none" w:pos="114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Gender. Unless clearly inappropriate, all pronouns of whatever gender refer indifferently to persons or objects of any gender.</w:t>
      </w:r>
    </w:p>
    <w:p>
      <w:pPr>
        <w:spacing w:after="0" w:line="50"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Singular and Plural. Unless clearly inappropriate, singular terms refer also to the plural number and vice versa.</w:t>
      </w:r>
    </w:p>
    <w:p>
      <w:pPr>
        <w:spacing w:after="0" w:line="123" w:lineRule="exact"/>
        <w:rPr>
          <w:rFonts w:ascii="Times New Roman" w:cs="Times New Roman" w:eastAsia="Times New Roman" w:hAnsi="Times New Roman"/>
          <w:sz w:val="21"/>
          <w:szCs w:val="21"/>
          <w:color w:val="auto"/>
        </w:rPr>
      </w:pPr>
    </w:p>
    <w:p>
      <w:pPr>
        <w:jc w:val="both"/>
        <w:ind w:left="660" w:hanging="4"/>
        <w:spacing w:after="0" w:line="225" w:lineRule="auto"/>
        <w:tabs>
          <w:tab w:leader="none" w:pos="113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Severability. If any provision of this Plan is held illegal or invalid for any reason, the remaining provisions are to remain in full force and effect and to be reformed, construed and enforced in accordance with the purposes of the Plan as if the illegal or invalid provision did not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99"/>
        <w:spacing w:after="0"/>
        <w:rPr>
          <w:sz w:val="20"/>
          <w:szCs w:val="20"/>
          <w:color w:val="auto"/>
        </w:rPr>
      </w:pPr>
      <w:r>
        <w:rPr>
          <w:rFonts w:ascii="Calibri" w:cs="Calibri" w:eastAsia="Calibri" w:hAnsi="Calibri"/>
          <w:sz w:val="20"/>
          <w:szCs w:val="20"/>
          <w:color w:val="auto"/>
        </w:rPr>
        <w:t>12</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4890-7633-3880.1 / 035682-1128</w:t>
      </w:r>
    </w:p>
    <w:p>
      <w:pPr>
        <w:sectPr>
          <w:pgSz w:w="11900" w:h="16838" w:orient="portrait"/>
          <w:cols w:equalWidth="0" w:num="1">
            <w:col w:w="10740"/>
          </w:cols>
          <w:pgMar w:left="320" w:top="1273" w:right="839" w:bottom="1440" w:gutter="0" w:footer="0" w:header="0"/>
        </w:sectPr>
      </w:pPr>
    </w:p>
    <w:bookmarkStart w:id="123" w:name="page124"/>
    <w:bookmarkEnd w:id="123"/>
    <w:p>
      <w:pPr>
        <w:spacing w:after="0" w:line="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ARTICLE XI - FUNDING</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11.1</w:t>
      </w:r>
      <w:r>
        <w:rPr>
          <w:sz w:val="20"/>
          <w:szCs w:val="20"/>
          <w:color w:val="auto"/>
        </w:rPr>
        <w:tab/>
      </w:r>
      <w:r>
        <w:rPr>
          <w:rFonts w:ascii="Times New Roman" w:cs="Times New Roman" w:eastAsia="Times New Roman" w:hAnsi="Times New Roman"/>
          <w:sz w:val="21"/>
          <w:szCs w:val="21"/>
          <w:b w:val="1"/>
          <w:bCs w:val="1"/>
          <w:u w:val="single" w:color="auto"/>
          <w:color w:val="auto"/>
        </w:rPr>
        <w:t>Unfunded Plan</w:t>
      </w:r>
    </w:p>
    <w:p>
      <w:pPr>
        <w:spacing w:after="0" w:line="224" w:lineRule="exact"/>
        <w:rPr>
          <w:sz w:val="20"/>
          <w:szCs w:val="20"/>
          <w:color w:val="auto"/>
        </w:rPr>
      </w:pPr>
    </w:p>
    <w:p>
      <w:pPr>
        <w:jc w:val="both"/>
        <w:ind w:left="660"/>
        <w:spacing w:after="0" w:line="277" w:lineRule="auto"/>
        <w:rPr>
          <w:sz w:val="20"/>
          <w:szCs w:val="20"/>
          <w:color w:val="auto"/>
        </w:rPr>
      </w:pPr>
      <w:r>
        <w:rPr>
          <w:rFonts w:ascii="Times New Roman" w:cs="Times New Roman" w:eastAsia="Times New Roman" w:hAnsi="Times New Roman"/>
          <w:sz w:val="22"/>
          <w:szCs w:val="22"/>
          <w:color w:val="auto"/>
        </w:rPr>
        <w:t>This Plan is intended to be unfunded for tax purposes and all distributions hereunder shall be made out of the general assets of the Employer. No Participant or Beneficiary shall have any right, title, interest, or claim in or to any assets of the Employer other than as an unsecured creditor. The Plan constitutes only an unsecured commitment by the Employer to pay benefits to the extent, and subject to the limitations, provided for herein. Although, this Plan constitutes an "employee benefit plan" within the meaning of Section 3(3) of the Employee Retirement Income Security Act of 1974 ("ERISA"), it is intended to cover only a select group of management or highly compensated employees pursuant to Sections 201, 301 and 401 of ERISA.</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11.2</w:t>
      </w:r>
      <w:r>
        <w:rPr>
          <w:sz w:val="20"/>
          <w:szCs w:val="20"/>
          <w:color w:val="auto"/>
        </w:rPr>
        <w:tab/>
      </w:r>
      <w:r>
        <w:rPr>
          <w:rFonts w:ascii="Times New Roman" w:cs="Times New Roman" w:eastAsia="Times New Roman" w:hAnsi="Times New Roman"/>
          <w:sz w:val="19"/>
          <w:szCs w:val="19"/>
          <w:b w:val="1"/>
          <w:bCs w:val="1"/>
          <w:u w:val="single" w:color="auto"/>
          <w:color w:val="auto"/>
        </w:rPr>
        <w:t>Trusts</w:t>
      </w:r>
    </w:p>
    <w:p>
      <w:pPr>
        <w:spacing w:after="0" w:line="224" w:lineRule="exact"/>
        <w:rPr>
          <w:sz w:val="20"/>
          <w:szCs w:val="20"/>
          <w:color w:val="auto"/>
        </w:rPr>
      </w:pPr>
    </w:p>
    <w:p>
      <w:pPr>
        <w:jc w:val="both"/>
        <w:ind w:left="660"/>
        <w:spacing w:after="0" w:line="277" w:lineRule="auto"/>
        <w:rPr>
          <w:sz w:val="20"/>
          <w:szCs w:val="20"/>
          <w:color w:val="auto"/>
        </w:rPr>
      </w:pPr>
      <w:r>
        <w:rPr>
          <w:rFonts w:ascii="Times New Roman" w:cs="Times New Roman" w:eastAsia="Times New Roman" w:hAnsi="Times New Roman"/>
          <w:sz w:val="22"/>
          <w:szCs w:val="22"/>
          <w:color w:val="auto"/>
        </w:rPr>
        <w:t>Notwithstanding the foregoing, the Employer has the discretion to contribute amounts allocated to Participants’ Accounts to one or more irrevocable grantor trusts. The assets of such Trusts shall be available to the creditors of the Employer in the event of bankruptcy or insolvency. To the extent of the Trusts’ assets, amounts due under the Plan shall be payable first from any such Trust to Participants before any claim is made against the Employer. The Committee may provide direction to a Trustee or custodian on behalf of the Employer as it deems necessary to provide for the proper distribution of benefits from the Trusts.</w:t>
      </w:r>
    </w:p>
    <w:p>
      <w:pPr>
        <w:spacing w:after="0" w:line="138" w:lineRule="exact"/>
        <w:rPr>
          <w:sz w:val="20"/>
          <w:szCs w:val="20"/>
          <w:color w:val="auto"/>
        </w:rPr>
      </w:pPr>
    </w:p>
    <w:p>
      <w:pPr>
        <w:jc w:val="both"/>
        <w:ind w:left="660"/>
        <w:spacing w:after="0" w:line="207" w:lineRule="auto"/>
        <w:rPr>
          <w:sz w:val="20"/>
          <w:szCs w:val="20"/>
          <w:color w:val="auto"/>
        </w:rPr>
      </w:pPr>
      <w:r>
        <w:rPr>
          <w:rFonts w:ascii="Times New Roman" w:cs="Times New Roman" w:eastAsia="Times New Roman" w:hAnsi="Times New Roman"/>
          <w:sz w:val="22"/>
          <w:szCs w:val="22"/>
          <w:color w:val="auto"/>
        </w:rPr>
        <w:t>IN WITNESS WHEREOF, and as evidence of the adoption of this Plan by the Company, it has caused the same to be signed by its officers thereunto duly authorized, and its corporate seal to be affixed thereto, this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November, 2022.</w:t>
      </w:r>
    </w:p>
    <w:p>
      <w:pPr>
        <w:sectPr>
          <w:pgSz w:w="11900" w:h="16838" w:orient="portrait"/>
          <w:cols w:equalWidth="0" w:num="1">
            <w:col w:w="10740"/>
          </w:cols>
          <w:pgMar w:left="320" w:top="1440" w:right="839" w:bottom="1440" w:gutter="0" w:footer="0" w:header="0"/>
        </w:sect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ATTEST</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[Corporate Seal]</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AVIS BUDGET GROUP,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Jean Sera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Jean M. Sera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Senior Vice President &amp; General Counsel</w:t>
      </w:r>
    </w:p>
    <w:p>
      <w:pPr>
        <w:spacing w:after="0" w:line="200" w:lineRule="exact"/>
        <w:rPr>
          <w:sz w:val="20"/>
          <w:szCs w:val="20"/>
          <w:color w:val="auto"/>
        </w:rPr>
      </w:pPr>
    </w:p>
    <w:p>
      <w:pPr>
        <w:sectPr>
          <w:pgSz w:w="11900" w:h="16838" w:orient="portrait"/>
          <w:cols w:equalWidth="0" w:num="2">
            <w:col w:w="4240" w:space="720"/>
            <w:col w:w="5780"/>
          </w:cols>
          <w:pgMar w:left="320" w:top="1440" w:right="839" w:bottom="1440" w:gutter="0" w:footer="0" w:header="0"/>
          <w:type w:val="continuous"/>
        </w:sectPr>
      </w:pPr>
    </w:p>
    <w:p>
      <w:pPr>
        <w:spacing w:after="0" w:line="200" w:lineRule="exact"/>
        <w:rPr>
          <w:sz w:val="20"/>
          <w:szCs w:val="20"/>
          <w:color w:val="auto"/>
        </w:rPr>
      </w:pPr>
    </w:p>
    <w:p>
      <w:pPr>
        <w:spacing w:after="0" w:line="375" w:lineRule="exact"/>
        <w:rPr>
          <w:sz w:val="20"/>
          <w:szCs w:val="20"/>
          <w:color w:val="auto"/>
        </w:rPr>
      </w:pPr>
    </w:p>
    <w:p>
      <w:pPr>
        <w:jc w:val="center"/>
        <w:ind w:right="-499"/>
        <w:spacing w:after="0"/>
        <w:rPr>
          <w:sz w:val="20"/>
          <w:szCs w:val="20"/>
          <w:color w:val="auto"/>
        </w:rPr>
      </w:pPr>
      <w:r>
        <w:rPr>
          <w:rFonts w:ascii="Calibri" w:cs="Calibri" w:eastAsia="Calibri" w:hAnsi="Calibri"/>
          <w:sz w:val="19"/>
          <w:szCs w:val="19"/>
          <w:color w:val="auto"/>
        </w:rPr>
        <w:t>13</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4890-7633-3880.1 / 035682-1128</w:t>
      </w:r>
    </w:p>
    <w:p>
      <w:pPr>
        <w:sectPr>
          <w:pgSz w:w="11900" w:h="16838" w:orient="portrait"/>
          <w:cols w:equalWidth="0" w:num="1">
            <w:col w:w="10740"/>
          </w:cols>
          <w:pgMar w:left="320" w:top="1440" w:right="839" w:bottom="1440" w:gutter="0" w:footer="0" w:header="0"/>
          <w:type w:val="continuous"/>
        </w:sectPr>
      </w:pPr>
    </w:p>
    <w:bookmarkStart w:id="124" w:name="page125"/>
    <w:bookmarkEnd w:id="124"/>
    <w:p>
      <w:pPr>
        <w:spacing w:after="0" w:line="3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486025" cy="3257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2486025" cy="325755"/>
                    </a:xfrm>
                    <a:prstGeom prst="rect">
                      <a:avLst/>
                    </a:prstGeom>
                    <a:noFill/>
                  </pic:spPr>
                </pic:pic>
              </a:graphicData>
            </a:graphic>
          </wp:anchor>
        </w:drawing>
      </w:r>
    </w:p>
    <w:p>
      <w:pPr>
        <w:jc w:val="right"/>
        <w:spacing w:after="0"/>
        <w:rPr>
          <w:sz w:val="20"/>
          <w:szCs w:val="20"/>
          <w:color w:val="auto"/>
        </w:rPr>
      </w:pPr>
      <w:r>
        <w:rPr>
          <w:rFonts w:ascii="Calibri" w:cs="Calibri" w:eastAsia="Calibri" w:hAnsi="Calibri"/>
          <w:sz w:val="20"/>
          <w:szCs w:val="20"/>
          <w:b w:val="1"/>
          <w:bCs w:val="1"/>
          <w:color w:val="auto"/>
        </w:rPr>
        <w:t>EXHIBIT 10.75</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May 17, 2022</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Ravi Simhambhatla</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Dear Ravi,</w:t>
      </w:r>
    </w:p>
    <w:p>
      <w:pPr>
        <w:spacing w:after="0" w:line="194" w:lineRule="exact"/>
        <w:rPr>
          <w:sz w:val="20"/>
          <w:szCs w:val="20"/>
          <w:color w:val="auto"/>
        </w:rPr>
      </w:pPr>
    </w:p>
    <w:p>
      <w:pPr>
        <w:spacing w:after="0"/>
        <w:rPr>
          <w:sz w:val="20"/>
          <w:szCs w:val="20"/>
          <w:color w:val="auto"/>
        </w:rPr>
      </w:pPr>
      <w:r>
        <w:rPr>
          <w:rFonts w:ascii="Calibri" w:cs="Calibri" w:eastAsia="Calibri" w:hAnsi="Calibri"/>
          <w:sz w:val="20"/>
          <w:szCs w:val="20"/>
          <w:color w:val="auto"/>
        </w:rPr>
        <w:t>We are pleased to confrm our ofer of employment with Avis Budget Group, Inc. (“Avis Budget” or “the Company”), as EVP, Chief Digital</w:t>
      </w:r>
    </w:p>
    <w:p>
      <w:pPr>
        <w:ind w:right="440" w:firstLine="8"/>
        <w:spacing w:after="0" w:line="196" w:lineRule="auto"/>
        <w:tabs>
          <w:tab w:leader="none" w:pos="184" w:val="left"/>
        </w:tabs>
        <w:numPr>
          <w:ilvl w:val="0"/>
          <w:numId w:val="92"/>
        </w:numPr>
        <w:rPr>
          <w:rFonts w:ascii="Calibri" w:cs="Calibri" w:eastAsia="Calibri" w:hAnsi="Calibri"/>
          <w:sz w:val="20"/>
          <w:szCs w:val="20"/>
          <w:color w:val="auto"/>
        </w:rPr>
      </w:pPr>
      <w:r>
        <w:rPr>
          <w:rFonts w:ascii="Calibri" w:cs="Calibri" w:eastAsia="Calibri" w:hAnsi="Calibri"/>
          <w:sz w:val="20"/>
          <w:szCs w:val="20"/>
          <w:color w:val="auto"/>
        </w:rPr>
        <w:t>Innovaton Ofcer. Your start date will be July 1, 2022 and you will report directly to Joseph Ferraro, President and Chief Executve Ofcer. Your base salary will be $19,230.77 paid on a bi-weekly basis, which equates to an annualized salary of $500,000.</w:t>
      </w:r>
    </w:p>
    <w:p>
      <w:pPr>
        <w:spacing w:after="0" w:line="211" w:lineRule="exact"/>
        <w:rPr>
          <w:sz w:val="20"/>
          <w:szCs w:val="20"/>
          <w:color w:val="auto"/>
        </w:rPr>
      </w:pPr>
    </w:p>
    <w:p>
      <w:pPr>
        <w:ind w:right="260"/>
        <w:spacing w:after="0" w:line="203" w:lineRule="auto"/>
        <w:rPr>
          <w:sz w:val="20"/>
          <w:szCs w:val="20"/>
          <w:color w:val="auto"/>
        </w:rPr>
      </w:pPr>
      <w:r>
        <w:rPr>
          <w:rFonts w:ascii="Calibri" w:cs="Calibri" w:eastAsia="Calibri" w:hAnsi="Calibri"/>
          <w:sz w:val="20"/>
          <w:szCs w:val="20"/>
          <w:color w:val="auto"/>
        </w:rPr>
        <w:t>You will be eligible to partcipate in our annual incentve program. Your target under the program will be 120% of your base salary and will be prorated, if applicable, for actual days employed. Actual payouts will be determined by the Compensaton Commitee of the Board of Directors of the Company (the “Compensaton Commitee”) based upon the terms of the program. The Company retains the right in its sole discreton to amend, modify, suspend or rescind the program at any tme and for any reason.</w:t>
      </w:r>
    </w:p>
    <w:p>
      <w:pPr>
        <w:spacing w:after="0" w:line="190" w:lineRule="exact"/>
        <w:rPr>
          <w:sz w:val="20"/>
          <w:szCs w:val="20"/>
          <w:color w:val="auto"/>
        </w:rPr>
      </w:pPr>
    </w:p>
    <w:p>
      <w:pPr>
        <w:spacing w:after="0"/>
        <w:rPr>
          <w:sz w:val="20"/>
          <w:szCs w:val="20"/>
          <w:color w:val="auto"/>
        </w:rPr>
      </w:pPr>
      <w:r>
        <w:rPr>
          <w:rFonts w:ascii="Calibri" w:cs="Calibri" w:eastAsia="Calibri" w:hAnsi="Calibri"/>
          <w:sz w:val="20"/>
          <w:szCs w:val="20"/>
          <w:color w:val="auto"/>
        </w:rPr>
        <w:t>You will receive a tme-based Restricted Stock Unit (“RSU”) sign-on award in the amount of $5,000,000, upon approval by the Board,</w:t>
      </w:r>
    </w:p>
    <w:p>
      <w:pPr>
        <w:spacing w:after="0" w:line="199" w:lineRule="auto"/>
        <w:rPr>
          <w:sz w:val="20"/>
          <w:szCs w:val="20"/>
          <w:color w:val="auto"/>
        </w:rPr>
      </w:pPr>
      <w:r>
        <w:rPr>
          <w:rFonts w:ascii="Calibri" w:cs="Calibri" w:eastAsia="Calibri" w:hAnsi="Calibri"/>
          <w:sz w:val="20"/>
          <w:szCs w:val="20"/>
          <w:color w:val="auto"/>
        </w:rPr>
        <w:t>with an antcipated grant date in July 2022. Vestng of the sign-on RSU award will be 50% on the second anniversary of the grant date,</w:t>
      </w:r>
    </w:p>
    <w:p>
      <w:pPr>
        <w:spacing w:after="0" w:line="191" w:lineRule="auto"/>
        <w:rPr>
          <w:sz w:val="20"/>
          <w:szCs w:val="20"/>
          <w:color w:val="auto"/>
        </w:rPr>
      </w:pPr>
      <w:r>
        <w:rPr>
          <w:rFonts w:ascii="Calibri" w:cs="Calibri" w:eastAsia="Calibri" w:hAnsi="Calibri"/>
          <w:sz w:val="20"/>
          <w:szCs w:val="20"/>
          <w:color w:val="auto"/>
        </w:rPr>
        <w:t>and 50% on the fourth anniversary of the grant date, subject to your contnued employment through the applicable vestng date. You</w:t>
      </w:r>
    </w:p>
    <w:p>
      <w:pPr>
        <w:spacing w:after="0" w:line="193" w:lineRule="auto"/>
        <w:rPr>
          <w:sz w:val="20"/>
          <w:szCs w:val="20"/>
          <w:color w:val="auto"/>
        </w:rPr>
      </w:pPr>
      <w:r>
        <w:rPr>
          <w:rFonts w:ascii="Calibri" w:cs="Calibri" w:eastAsia="Calibri" w:hAnsi="Calibri"/>
          <w:sz w:val="20"/>
          <w:szCs w:val="20"/>
          <w:color w:val="auto"/>
        </w:rPr>
        <w:t>will be eligible to partcipate in the Company’s Long-Term Incentve Plan (“LTIP”) program with an annual target award value of</w:t>
      </w:r>
    </w:p>
    <w:p>
      <w:pPr>
        <w:spacing w:after="0" w:line="200" w:lineRule="auto"/>
        <w:rPr>
          <w:sz w:val="20"/>
          <w:szCs w:val="20"/>
          <w:color w:val="auto"/>
        </w:rPr>
      </w:pPr>
      <w:r>
        <w:rPr>
          <w:rFonts w:ascii="Calibri" w:cs="Calibri" w:eastAsia="Calibri" w:hAnsi="Calibri"/>
          <w:sz w:val="20"/>
          <w:szCs w:val="20"/>
          <w:color w:val="auto"/>
        </w:rPr>
        <w:t>$900,000. For your 2022 LTIP, you will receive a prorated award in the amount of $450,000, subject to approval by the Board, with an</w:t>
      </w:r>
    </w:p>
    <w:p>
      <w:pPr>
        <w:spacing w:after="0" w:line="191" w:lineRule="auto"/>
        <w:rPr>
          <w:sz w:val="20"/>
          <w:szCs w:val="20"/>
          <w:color w:val="auto"/>
        </w:rPr>
      </w:pPr>
      <w:r>
        <w:rPr>
          <w:rFonts w:ascii="Calibri" w:cs="Calibri" w:eastAsia="Calibri" w:hAnsi="Calibri"/>
          <w:sz w:val="20"/>
          <w:szCs w:val="20"/>
          <w:color w:val="auto"/>
        </w:rPr>
        <w:t>antcipated grant date in July 2022. The 2022 LTIP will be 50% tme-based RSU’s vestng evenly over three years, and 50% performance</w:t>
      </w:r>
    </w:p>
    <w:p>
      <w:pPr>
        <w:spacing w:after="0" w:line="193" w:lineRule="auto"/>
        <w:rPr>
          <w:sz w:val="20"/>
          <w:szCs w:val="20"/>
          <w:color w:val="auto"/>
        </w:rPr>
      </w:pPr>
      <w:r>
        <w:rPr>
          <w:rFonts w:ascii="Calibri" w:cs="Calibri" w:eastAsia="Calibri" w:hAnsi="Calibri"/>
          <w:sz w:val="20"/>
          <w:szCs w:val="20"/>
          <w:color w:val="auto"/>
        </w:rPr>
        <w:t>RSU’s clif vestng afer three years, with each subject to your contnued employment through the vestng date, and for the performance</w:t>
      </w:r>
    </w:p>
    <w:p>
      <w:pPr>
        <w:spacing w:after="0" w:line="192" w:lineRule="auto"/>
        <w:rPr>
          <w:sz w:val="20"/>
          <w:szCs w:val="20"/>
          <w:color w:val="auto"/>
        </w:rPr>
      </w:pPr>
      <w:r>
        <w:rPr>
          <w:rFonts w:ascii="Calibri" w:cs="Calibri" w:eastAsia="Calibri" w:hAnsi="Calibri"/>
          <w:sz w:val="20"/>
          <w:szCs w:val="20"/>
          <w:color w:val="auto"/>
        </w:rPr>
        <w:t>RSU’s subject to achievement of performance goals. The number of shares subject to awards described above will be determined by</w:t>
      </w:r>
    </w:p>
    <w:p>
      <w:pPr>
        <w:spacing w:after="0" w:line="193" w:lineRule="auto"/>
        <w:rPr>
          <w:sz w:val="20"/>
          <w:szCs w:val="20"/>
          <w:color w:val="auto"/>
        </w:rPr>
      </w:pPr>
      <w:r>
        <w:rPr>
          <w:rFonts w:ascii="Calibri" w:cs="Calibri" w:eastAsia="Calibri" w:hAnsi="Calibri"/>
          <w:sz w:val="20"/>
          <w:szCs w:val="20"/>
          <w:color w:val="auto"/>
        </w:rPr>
        <w:t>dividing the value of the awards by the closing stock price on the date of grant. Equity awards under the Company’s LTIP program are</w:t>
      </w:r>
    </w:p>
    <w:p>
      <w:pPr>
        <w:spacing w:after="0" w:line="199" w:lineRule="auto"/>
        <w:rPr>
          <w:sz w:val="20"/>
          <w:szCs w:val="20"/>
          <w:color w:val="auto"/>
        </w:rPr>
      </w:pPr>
      <w:r>
        <w:rPr>
          <w:rFonts w:ascii="Calibri" w:cs="Calibri" w:eastAsia="Calibri" w:hAnsi="Calibri"/>
          <w:sz w:val="20"/>
          <w:szCs w:val="20"/>
          <w:color w:val="auto"/>
        </w:rPr>
        <w:t>determined by the Compensaton Commitee and in its sole discreton. The equity awards described in this paragraph will be subject to</w:t>
      </w:r>
    </w:p>
    <w:p>
      <w:pPr>
        <w:spacing w:after="0" w:line="192" w:lineRule="auto"/>
        <w:rPr>
          <w:sz w:val="20"/>
          <w:szCs w:val="20"/>
          <w:color w:val="auto"/>
        </w:rPr>
      </w:pPr>
      <w:r>
        <w:rPr>
          <w:rFonts w:ascii="Calibri" w:cs="Calibri" w:eastAsia="Calibri" w:hAnsi="Calibri"/>
          <w:sz w:val="20"/>
          <w:szCs w:val="20"/>
          <w:color w:val="auto"/>
        </w:rPr>
        <w:t>the terms and conditons of the Avis Budget Group, Inc. Amended and Restated Equity and Incentve Plan and the applicable award</w:t>
      </w:r>
    </w:p>
    <w:p>
      <w:pPr>
        <w:spacing w:after="0" w:line="193" w:lineRule="auto"/>
        <w:rPr>
          <w:sz w:val="20"/>
          <w:szCs w:val="20"/>
          <w:color w:val="auto"/>
        </w:rPr>
      </w:pPr>
      <w:r>
        <w:rPr>
          <w:rFonts w:ascii="Calibri" w:cs="Calibri" w:eastAsia="Calibri" w:hAnsi="Calibri"/>
          <w:sz w:val="20"/>
          <w:szCs w:val="20"/>
          <w:color w:val="auto"/>
        </w:rPr>
        <w:t>agreements, which include restricted covenants (including non-compete, non-solicit and confdentality provisions).</w:t>
      </w:r>
    </w:p>
    <w:p>
      <w:pPr>
        <w:spacing w:after="0" w:line="212" w:lineRule="exact"/>
        <w:rPr>
          <w:sz w:val="20"/>
          <w:szCs w:val="20"/>
          <w:color w:val="auto"/>
        </w:rPr>
      </w:pPr>
    </w:p>
    <w:p>
      <w:pPr>
        <w:jc w:val="both"/>
        <w:ind w:right="140"/>
        <w:spacing w:after="0" w:line="205" w:lineRule="auto"/>
        <w:rPr>
          <w:sz w:val="20"/>
          <w:szCs w:val="20"/>
          <w:color w:val="auto"/>
        </w:rPr>
      </w:pPr>
      <w:r>
        <w:rPr>
          <w:rFonts w:ascii="Calibri" w:cs="Calibri" w:eastAsia="Calibri" w:hAnsi="Calibri"/>
          <w:sz w:val="20"/>
          <w:szCs w:val="20"/>
          <w:color w:val="auto"/>
        </w:rPr>
        <w:t>Health and welfare benefts will become efectve on the frst calendar day of the month following your date of hire. You will be eligible to partcipate in the 401K plan as soon as administratvely possible following your start date and subject to the terms and conditons of the plan guidelines. Afer one year of service, the Company will match individual contributons $1 for $1 up to 6% of your annual salary.</w:t>
      </w:r>
    </w:p>
    <w:p>
      <w:pPr>
        <w:spacing w:after="0" w:line="199" w:lineRule="auto"/>
        <w:rPr>
          <w:sz w:val="20"/>
          <w:szCs w:val="20"/>
          <w:color w:val="auto"/>
        </w:rPr>
      </w:pPr>
      <w:r>
        <w:rPr>
          <w:rFonts w:ascii="Calibri" w:cs="Calibri" w:eastAsia="Calibri" w:hAnsi="Calibri"/>
          <w:sz w:val="20"/>
          <w:szCs w:val="20"/>
          <w:color w:val="auto"/>
        </w:rPr>
        <w:t>You will also be enttled to partcipate in certain executve level perquisite programs including Vehicle Lease and Deferred Compensaton.</w:t>
      </w:r>
    </w:p>
    <w:p>
      <w:pPr>
        <w:spacing w:after="0" w:line="199" w:lineRule="auto"/>
        <w:rPr>
          <w:sz w:val="20"/>
          <w:szCs w:val="20"/>
          <w:color w:val="auto"/>
        </w:rPr>
      </w:pPr>
      <w:r>
        <w:rPr>
          <w:rFonts w:ascii="Calibri" w:cs="Calibri" w:eastAsia="Calibri" w:hAnsi="Calibri"/>
          <w:sz w:val="20"/>
          <w:szCs w:val="20"/>
          <w:color w:val="auto"/>
        </w:rPr>
        <w:t>Details of these benefts will be provided.</w:t>
      </w:r>
    </w:p>
    <w:p>
      <w:pPr>
        <w:spacing w:after="0" w:line="198" w:lineRule="exact"/>
        <w:rPr>
          <w:sz w:val="20"/>
          <w:szCs w:val="20"/>
          <w:color w:val="auto"/>
        </w:rPr>
      </w:pPr>
    </w:p>
    <w:p>
      <w:pPr>
        <w:ind w:right="220"/>
        <w:spacing w:after="0" w:line="214" w:lineRule="auto"/>
        <w:rPr>
          <w:sz w:val="20"/>
          <w:szCs w:val="20"/>
          <w:color w:val="auto"/>
        </w:rPr>
      </w:pPr>
      <w:r>
        <w:rPr>
          <w:rFonts w:ascii="Calibri" w:cs="Calibri" w:eastAsia="Calibri" w:hAnsi="Calibri"/>
          <w:sz w:val="20"/>
          <w:szCs w:val="20"/>
          <w:color w:val="auto"/>
        </w:rPr>
        <w:t>During the frst year of employment, you may commute to World Headquarters in New Jersey on a weekly basis. For the period commencing on your frst date of employment through and including the one-year anniversary of such date: the Company will provide</w:t>
      </w:r>
    </w:p>
    <w:p>
      <w:pPr>
        <w:spacing w:after="0" w:line="2" w:lineRule="exact"/>
        <w:rPr>
          <w:sz w:val="20"/>
          <w:szCs w:val="20"/>
          <w:color w:val="auto"/>
        </w:rPr>
      </w:pPr>
    </w:p>
    <w:p>
      <w:pPr>
        <w:ind w:right="120" w:firstLine="8"/>
        <w:spacing w:after="0" w:line="192" w:lineRule="auto"/>
        <w:tabs>
          <w:tab w:leader="none" w:pos="266" w:val="left"/>
        </w:tabs>
        <w:numPr>
          <w:ilvl w:val="0"/>
          <w:numId w:val="93"/>
        </w:numPr>
        <w:rPr>
          <w:rFonts w:ascii="Calibri" w:cs="Calibri" w:eastAsia="Calibri" w:hAnsi="Calibri"/>
          <w:sz w:val="20"/>
          <w:szCs w:val="20"/>
          <w:color w:val="auto"/>
        </w:rPr>
      </w:pPr>
      <w:r>
        <w:rPr>
          <w:rFonts w:ascii="Calibri" w:cs="Calibri" w:eastAsia="Calibri" w:hAnsi="Calibri"/>
          <w:sz w:val="20"/>
          <w:szCs w:val="20"/>
          <w:color w:val="auto"/>
        </w:rPr>
        <w:t>up to one round trip business class fight to and from Chicago and related ground transportaton to and from the airport, each week, and (b) a corporate apartment within 15 miles of Parsippany,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895985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578485</wp:posOffset>
            </wp:positionV>
            <wp:extent cx="1748790" cy="2571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1">
                      <a:extLst>
                        <a:ext uri="{28A0092B-C50C-407E-A947-70E740481C1C}"/>
                      </a:extLst>
                    </a:blip>
                    <a:srcRect/>
                    <a:stretch>
                      <a:fillRect/>
                    </a:stretch>
                  </pic:blipFill>
                  <pic:spPr bwMode="auto">
                    <a:xfrm>
                      <a:off x="0" y="0"/>
                      <a:ext cx="174879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720"/>
        <w:spacing w:after="0"/>
        <w:rPr>
          <w:sz w:val="20"/>
          <w:szCs w:val="20"/>
          <w:color w:val="auto"/>
        </w:rPr>
      </w:pPr>
      <w:r>
        <w:rPr>
          <w:rFonts w:ascii="Arial" w:cs="Arial" w:eastAsia="Arial" w:hAnsi="Arial"/>
          <w:sz w:val="14"/>
          <w:szCs w:val="14"/>
          <w:color w:val="auto"/>
        </w:rPr>
        <w:t>Avis Budget Group, Inc. 6 Sylvan Way Parsippany, New Jersey 07054</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486025" cy="3257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2486025" cy="325755"/>
                    </a:xfrm>
                    <a:prstGeom prst="rect">
                      <a:avLst/>
                    </a:prstGeom>
                    <a:noFill/>
                  </pic:spPr>
                </pic:pic>
              </a:graphicData>
            </a:graphic>
          </wp:anchor>
        </w:drawing>
      </w:r>
    </w:p>
    <w:p>
      <w:pPr>
        <w:spacing w:after="0" w:line="393" w:lineRule="exact"/>
        <w:rPr>
          <w:sz w:val="20"/>
          <w:szCs w:val="20"/>
          <w:color w:val="auto"/>
        </w:rPr>
      </w:pPr>
    </w:p>
    <w:p>
      <w:pPr>
        <w:jc w:val="both"/>
        <w:ind w:right="160"/>
        <w:spacing w:after="0" w:line="205" w:lineRule="auto"/>
        <w:rPr>
          <w:sz w:val="20"/>
          <w:szCs w:val="20"/>
          <w:color w:val="auto"/>
        </w:rPr>
      </w:pPr>
      <w:r>
        <w:rPr>
          <w:rFonts w:ascii="Calibri" w:cs="Calibri" w:eastAsia="Calibri" w:hAnsi="Calibri"/>
          <w:sz w:val="20"/>
          <w:szCs w:val="20"/>
          <w:color w:val="auto"/>
        </w:rPr>
        <w:t>This ofer is contngent upon verifcaton of your educaton, previous employment and satsfactory references, a background check, and presentaton of legally required documentaton establishing your right to work in the United States, including compliance with Federal immigraton and employment law requirements.</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color w:val="auto"/>
        </w:rPr>
        <w:t>Your employment with the Company is also contngent upon the following terms:</w:t>
      </w:r>
    </w:p>
    <w:p>
      <w:pPr>
        <w:spacing w:after="0" w:line="211" w:lineRule="exact"/>
        <w:rPr>
          <w:sz w:val="20"/>
          <w:szCs w:val="20"/>
          <w:color w:val="auto"/>
        </w:rPr>
      </w:pPr>
    </w:p>
    <w:p>
      <w:pPr>
        <w:ind w:left="500" w:hanging="6"/>
        <w:spacing w:after="0" w:line="208" w:lineRule="auto"/>
        <w:tabs>
          <w:tab w:leader="none" w:pos="725" w:val="left"/>
        </w:tabs>
        <w:numPr>
          <w:ilvl w:val="0"/>
          <w:numId w:val="94"/>
        </w:numPr>
        <w:rPr>
          <w:rFonts w:ascii="Calibri" w:cs="Calibri" w:eastAsia="Calibri" w:hAnsi="Calibri"/>
          <w:sz w:val="20"/>
          <w:szCs w:val="20"/>
          <w:color w:val="auto"/>
        </w:rPr>
      </w:pPr>
      <w:r>
        <w:rPr>
          <w:rFonts w:ascii="Calibri" w:cs="Calibri" w:eastAsia="Calibri" w:hAnsi="Calibri"/>
          <w:sz w:val="20"/>
          <w:szCs w:val="20"/>
          <w:color w:val="auto"/>
        </w:rPr>
        <w:t>During your employment with the Company you will not engage in any actvity that competes with or adversely afects the Company, nor will you begin to organize or develop any competng entty (or assist anyone else in doing so).</w:t>
      </w:r>
    </w:p>
    <w:p>
      <w:pPr>
        <w:spacing w:after="0" w:line="211" w:lineRule="exact"/>
        <w:rPr>
          <w:rFonts w:ascii="Calibri" w:cs="Calibri" w:eastAsia="Calibri" w:hAnsi="Calibri"/>
          <w:sz w:val="20"/>
          <w:szCs w:val="20"/>
          <w:color w:val="auto"/>
        </w:rPr>
      </w:pPr>
    </w:p>
    <w:p>
      <w:pPr>
        <w:jc w:val="both"/>
        <w:ind w:left="500" w:hanging="6"/>
        <w:spacing w:after="0" w:line="205" w:lineRule="auto"/>
        <w:tabs>
          <w:tab w:leader="none" w:pos="732" w:val="left"/>
        </w:tabs>
        <w:numPr>
          <w:ilvl w:val="0"/>
          <w:numId w:val="94"/>
        </w:numPr>
        <w:rPr>
          <w:rFonts w:ascii="Calibri" w:cs="Calibri" w:eastAsia="Calibri" w:hAnsi="Calibri"/>
          <w:sz w:val="20"/>
          <w:szCs w:val="20"/>
          <w:color w:val="auto"/>
        </w:rPr>
      </w:pPr>
      <w:r>
        <w:rPr>
          <w:rFonts w:ascii="Calibri" w:cs="Calibri" w:eastAsia="Calibri" w:hAnsi="Calibri"/>
          <w:sz w:val="20"/>
          <w:szCs w:val="20"/>
          <w:color w:val="auto"/>
        </w:rPr>
        <w:t>You will not disclose at any tme (except for business purposes on behalf of the Company) any confdental or proprietary material of the Company. That material shall include, but is not limited to, the names and addresses of customers, customer contacts, contracts, bidding informaton, business strategies, pricing informaton, and the Company’s policies and procedures.</w:t>
      </w:r>
    </w:p>
    <w:p>
      <w:pPr>
        <w:spacing w:after="0" w:line="211" w:lineRule="exact"/>
        <w:rPr>
          <w:rFonts w:ascii="Calibri" w:cs="Calibri" w:eastAsia="Calibri" w:hAnsi="Calibri"/>
          <w:sz w:val="20"/>
          <w:szCs w:val="20"/>
          <w:color w:val="auto"/>
        </w:rPr>
      </w:pPr>
    </w:p>
    <w:p>
      <w:pPr>
        <w:ind w:left="500" w:hanging="6"/>
        <w:spacing w:after="0" w:line="214" w:lineRule="auto"/>
        <w:tabs>
          <w:tab w:leader="none" w:pos="731" w:val="left"/>
        </w:tabs>
        <w:numPr>
          <w:ilvl w:val="0"/>
          <w:numId w:val="94"/>
        </w:numPr>
        <w:rPr>
          <w:rFonts w:ascii="Calibri" w:cs="Calibri" w:eastAsia="Calibri" w:hAnsi="Calibri"/>
          <w:sz w:val="20"/>
          <w:szCs w:val="20"/>
          <w:color w:val="auto"/>
        </w:rPr>
      </w:pPr>
      <w:r>
        <w:rPr>
          <w:rFonts w:ascii="Calibri" w:cs="Calibri" w:eastAsia="Calibri" w:hAnsi="Calibri"/>
          <w:sz w:val="20"/>
          <w:szCs w:val="20"/>
          <w:color w:val="auto"/>
        </w:rPr>
        <w:t>You agree that all documents (paper or electronic) and other informaton related in any way to the Company shall be the property of the Company, and will be returned to the Company upon the end of your employment with the Company.</w:t>
      </w:r>
    </w:p>
    <w:p>
      <w:pPr>
        <w:spacing w:after="0" w:line="199" w:lineRule="exact"/>
        <w:rPr>
          <w:sz w:val="20"/>
          <w:szCs w:val="20"/>
          <w:color w:val="auto"/>
        </w:rPr>
      </w:pPr>
    </w:p>
    <w:p>
      <w:pPr>
        <w:ind w:right="80"/>
        <w:spacing w:after="0" w:line="202" w:lineRule="auto"/>
        <w:rPr>
          <w:sz w:val="20"/>
          <w:szCs w:val="20"/>
          <w:color w:val="auto"/>
        </w:rPr>
      </w:pPr>
      <w:r>
        <w:rPr>
          <w:rFonts w:ascii="Calibri" w:cs="Calibri" w:eastAsia="Calibri" w:hAnsi="Calibri"/>
          <w:sz w:val="20"/>
          <w:szCs w:val="20"/>
          <w:color w:val="auto"/>
        </w:rPr>
        <w:t>Please indicate your acceptance of this ofer by signing below and returning an executed copy of this leter to me. Per the Company’s standard policy, this leter is not intended nor should it be considered as an employment contract for a defnite for indefnite period of tme. Employment with the Company is at will, and either you or the Company may terminate employment at any tme, with or without cause. In additon by signing this leter, you acknowledge that this leter sets forth the entre agreement between you and the Company, regarding your employment with the Company, and fully supersedes any prior agreements or understanding, whether writen or oral.</w:t>
      </w:r>
    </w:p>
    <w:p>
      <w:pPr>
        <w:spacing w:after="0" w:line="215" w:lineRule="exact"/>
        <w:rPr>
          <w:sz w:val="20"/>
          <w:szCs w:val="20"/>
          <w:color w:val="auto"/>
        </w:rPr>
      </w:pPr>
    </w:p>
    <w:p>
      <w:pPr>
        <w:ind w:right="420"/>
        <w:spacing w:after="0" w:line="208" w:lineRule="auto"/>
        <w:rPr>
          <w:sz w:val="20"/>
          <w:szCs w:val="20"/>
          <w:color w:val="auto"/>
        </w:rPr>
      </w:pPr>
      <w:r>
        <w:rPr>
          <w:rFonts w:ascii="Calibri" w:cs="Calibri" w:eastAsia="Calibri" w:hAnsi="Calibri"/>
          <w:sz w:val="20"/>
          <w:szCs w:val="20"/>
          <w:color w:val="auto"/>
        </w:rPr>
        <w:t>Ravi, we are excited that you will be joining our Company. If there is anything further I can do to assist you, please do not hesitate to contact me at 973-496-3710.</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color w:val="auto"/>
        </w:rPr>
        <w:t>Best Regards,</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/s/ Ned Linnen</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Ned Linnen</w:t>
      </w:r>
    </w:p>
    <w:p>
      <w:pPr>
        <w:spacing w:after="0" w:line="191" w:lineRule="auto"/>
        <w:rPr>
          <w:sz w:val="20"/>
          <w:szCs w:val="20"/>
          <w:color w:val="auto"/>
        </w:rPr>
      </w:pPr>
      <w:r>
        <w:rPr>
          <w:rFonts w:ascii="Calibri" w:cs="Calibri" w:eastAsia="Calibri" w:hAnsi="Calibri"/>
          <w:sz w:val="20"/>
          <w:szCs w:val="20"/>
          <w:color w:val="auto"/>
        </w:rPr>
        <w:t>EVP &amp; CHRO</w:t>
      </w:r>
    </w:p>
    <w:p>
      <w:pPr>
        <w:spacing w:after="0" w:line="193" w:lineRule="auto"/>
        <w:rPr>
          <w:sz w:val="20"/>
          <w:szCs w:val="20"/>
          <w:color w:val="auto"/>
        </w:rPr>
      </w:pPr>
      <w:r>
        <w:rPr>
          <w:rFonts w:ascii="Calibri" w:cs="Calibri" w:eastAsia="Calibri" w:hAnsi="Calibri"/>
          <w:sz w:val="20"/>
          <w:szCs w:val="20"/>
          <w:color w:val="auto"/>
        </w:rPr>
        <w:t>Avis Budget Group</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color w:val="auto"/>
        </w:rPr>
        <w:t>Understood and accepted: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40" w:type="dxa"/>
            <w:vAlign w:val="bottom"/>
          </w:tcPr>
          <w:p>
            <w:pPr>
              <w:spacing w:after="0"/>
              <w:rPr>
                <w:sz w:val="20"/>
                <w:szCs w:val="20"/>
                <w:color w:val="auto"/>
              </w:rPr>
            </w:pPr>
            <w:r>
              <w:rPr>
                <w:rFonts w:ascii="Calibri" w:cs="Calibri" w:eastAsia="Calibri" w:hAnsi="Calibri"/>
                <w:sz w:val="20"/>
                <w:szCs w:val="20"/>
                <w:color w:val="auto"/>
              </w:rPr>
              <w:t>/s/ Ravi Simhambhatla</w:t>
            </w:r>
          </w:p>
        </w:tc>
        <w:tc>
          <w:tcPr>
            <w:tcW w:w="860" w:type="dxa"/>
            <w:vAlign w:val="bottom"/>
          </w:tcPr>
          <w:p>
            <w:pPr>
              <w:jc w:val="right"/>
              <w:spacing w:after="0"/>
              <w:rPr>
                <w:sz w:val="20"/>
                <w:szCs w:val="20"/>
                <w:color w:val="auto"/>
              </w:rPr>
            </w:pPr>
            <w:r>
              <w:rPr>
                <w:rFonts w:ascii="Calibri" w:cs="Calibri" w:eastAsia="Calibri" w:hAnsi="Calibri"/>
                <w:sz w:val="20"/>
                <w:szCs w:val="20"/>
                <w:color w:val="auto"/>
              </w:rPr>
              <w:t>5/17/22</w:t>
            </w:r>
          </w:p>
        </w:tc>
      </w:tr>
    </w:tbl>
    <w:p>
      <w:pPr>
        <w:spacing w:after="0" w:line="193" w:lineRule="auto"/>
        <w:rPr>
          <w:sz w:val="20"/>
          <w:szCs w:val="20"/>
          <w:color w:val="auto"/>
        </w:rPr>
      </w:pPr>
      <w:r>
        <w:rPr>
          <w:rFonts w:ascii="Calibri" w:cs="Calibri" w:eastAsia="Calibri" w:hAnsi="Calibri"/>
          <w:sz w:val="20"/>
          <w:szCs w:val="20"/>
          <w:color w:val="auto"/>
        </w:rPr>
        <w:t>________________________________________</w:t>
      </w:r>
    </w:p>
    <w:p>
      <w:pPr>
        <w:spacing w:after="0" w:line="209" w:lineRule="auto"/>
        <w:tabs>
          <w:tab w:leader="none" w:pos="1980" w:val="left"/>
        </w:tabs>
        <w:rPr>
          <w:sz w:val="20"/>
          <w:szCs w:val="20"/>
          <w:color w:val="auto"/>
        </w:rPr>
      </w:pPr>
      <w:r>
        <w:rPr>
          <w:rFonts w:ascii="Calibri" w:cs="Calibri" w:eastAsia="Calibri" w:hAnsi="Calibri"/>
          <w:sz w:val="20"/>
          <w:szCs w:val="20"/>
          <w:color w:val="auto"/>
        </w:rPr>
        <w:t>Ravi Simhambhatla</w:t>
      </w:r>
      <w:r>
        <w:rPr>
          <w:sz w:val="20"/>
          <w:szCs w:val="20"/>
          <w:color w:val="auto"/>
        </w:rPr>
        <w:tab/>
      </w:r>
      <w:r>
        <w:rPr>
          <w:rFonts w:ascii="Calibri" w:cs="Calibri" w:eastAsia="Calibri" w:hAnsi="Calibri"/>
          <w:sz w:val="19"/>
          <w:szCs w:val="19"/>
          <w:color w:val="auto"/>
        </w:rPr>
        <w:t>Date</w:t>
      </w:r>
    </w:p>
    <w:p>
      <w:pPr>
        <w:spacing w:after="0" w:line="194" w:lineRule="exact"/>
        <w:rPr>
          <w:sz w:val="20"/>
          <w:szCs w:val="20"/>
          <w:color w:val="auto"/>
        </w:rPr>
      </w:pPr>
    </w:p>
    <w:p>
      <w:pPr>
        <w:spacing w:after="0"/>
        <w:rPr>
          <w:sz w:val="20"/>
          <w:szCs w:val="20"/>
          <w:color w:val="auto"/>
        </w:rPr>
      </w:pPr>
      <w:r>
        <w:rPr>
          <w:rFonts w:ascii="Calibri" w:cs="Calibri" w:eastAsia="Calibri" w:hAnsi="Calibri"/>
          <w:sz w:val="20"/>
          <w:szCs w:val="20"/>
          <w:color w:val="auto"/>
        </w:rPr>
        <w:t>Enclosures</w:t>
      </w:r>
    </w:p>
    <w:p>
      <w:pPr>
        <w:spacing w:after="0" w:line="193" w:lineRule="auto"/>
        <w:tabs>
          <w:tab w:leader="none" w:pos="400" w:val="left"/>
        </w:tabs>
        <w:rPr>
          <w:sz w:val="20"/>
          <w:szCs w:val="20"/>
          <w:color w:val="auto"/>
        </w:rPr>
      </w:pPr>
      <w:r>
        <w:rPr>
          <w:rFonts w:ascii="Calibri" w:cs="Calibri" w:eastAsia="Calibri" w:hAnsi="Calibri"/>
          <w:sz w:val="20"/>
          <w:szCs w:val="20"/>
          <w:color w:val="auto"/>
        </w:rPr>
        <w:t>cc:</w:t>
        <w:tab/>
        <w:t>J. Ferraro / B. Hees / J. Sera / K. Richards / K. Sarma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895350</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578485</wp:posOffset>
            </wp:positionV>
            <wp:extent cx="1748790" cy="2571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4">
                      <a:extLst>
                        <a:ext uri="{28A0092B-C50C-407E-A947-70E740481C1C}"/>
                      </a:extLst>
                    </a:blip>
                    <a:srcRect/>
                    <a:stretch>
                      <a:fillRect/>
                    </a:stretch>
                  </pic:blipFill>
                  <pic:spPr bwMode="auto">
                    <a:xfrm>
                      <a:off x="0" y="0"/>
                      <a:ext cx="174879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720"/>
        <w:spacing w:after="0"/>
        <w:rPr>
          <w:sz w:val="20"/>
          <w:szCs w:val="20"/>
          <w:color w:val="auto"/>
        </w:rPr>
      </w:pPr>
      <w:r>
        <w:rPr>
          <w:rFonts w:ascii="Arial" w:cs="Arial" w:eastAsia="Arial" w:hAnsi="Arial"/>
          <w:sz w:val="14"/>
          <w:szCs w:val="14"/>
          <w:color w:val="auto"/>
        </w:rPr>
        <w:t>Avis Budget Group, Inc. 6 Sylvan Way Parsippany, New Jersey 07054</w:t>
      </w:r>
    </w:p>
    <w:p>
      <w:pPr>
        <w:sectPr>
          <w:pgSz w:w="11900" w:h="16838" w:orient="portrait"/>
          <w:cols w:equalWidth="0" w:num="1">
            <w:col w:w="11240"/>
          </w:cols>
          <w:pgMar w:left="320" w:top="1440"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2"/>
          <w:szCs w:val="22"/>
          <w:b w:val="1"/>
          <w:bCs w:val="1"/>
          <w:color w:val="auto"/>
        </w:rPr>
        <w:t>EXHIBIT 10.76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845185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FOURTH AMENDMENT</w:t>
      </w:r>
    </w:p>
    <w:p>
      <w:pPr>
        <w:spacing w:after="0" w:line="20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Dated as of February 6, 2023</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to the</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SIXTH AMENDED AND RESTATED CREDIT AGREEMENT</w:t>
      </w: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among</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AVIS BUDGET HOLDINGS, LLC,</w:t>
      </w:r>
    </w:p>
    <w:p>
      <w:pPr>
        <w:spacing w:after="0" w:line="19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AVIS BUDGET CAR RENTAL, LLC,</w:t>
      </w:r>
    </w:p>
    <w:p>
      <w:pPr>
        <w:jc w:val="center"/>
        <w:ind w:right="1120"/>
        <w:spacing w:after="0"/>
        <w:rPr>
          <w:sz w:val="20"/>
          <w:szCs w:val="20"/>
          <w:color w:val="auto"/>
        </w:rPr>
      </w:pPr>
      <w:r>
        <w:rPr>
          <w:rFonts w:ascii="Times New Roman" w:cs="Times New Roman" w:eastAsia="Times New Roman" w:hAnsi="Times New Roman"/>
          <w:sz w:val="20"/>
          <w:szCs w:val="20"/>
          <w:color w:val="auto"/>
        </w:rPr>
        <w:t>as Borrower,</w:t>
      </w:r>
    </w:p>
    <w:p>
      <w:pPr>
        <w:spacing w:after="0" w:line="1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AVIS BUDGET GROUP, INC.,</w:t>
      </w:r>
    </w:p>
    <w:p>
      <w:pPr>
        <w:spacing w:after="0" w:line="3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The Subsidiary Borrowers from Time to Time Parties Thereto,</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The Several Lenders from Time to Time Parties Thereto,</w:t>
      </w:r>
    </w:p>
    <w:p>
      <w:pPr>
        <w:spacing w:after="0" w:line="7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JPMORGAN CHASE BANK, N.A.,</w:t>
      </w:r>
    </w:p>
    <w:p>
      <w:pPr>
        <w:jc w:val="center"/>
        <w:ind w:right="112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1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 the Other Parties Thereto</w:t>
      </w:r>
    </w:p>
    <w:p>
      <w:pPr>
        <w:spacing w:after="0" w:line="21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Dated as of July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168275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1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Sole Arranger and Bookrunner</w:t>
      </w:r>
    </w:p>
    <w:p>
      <w:pPr>
        <w:sectPr>
          <w:pgSz w:w="11900" w:h="16838" w:orient="portrait"/>
          <w:cols w:equalWidth="0" w:num="1">
            <w:col w:w="10120"/>
          </w:cols>
          <w:pgMar w:left="1440" w:top="122"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0"/>
          <w:szCs w:val="20"/>
          <w:color w:val="auto"/>
        </w:rPr>
        <w:t>FOURTH AMENDMENT</w:t>
      </w:r>
    </w:p>
    <w:p>
      <w:pPr>
        <w:spacing w:after="0" w:line="200" w:lineRule="exact"/>
        <w:rPr>
          <w:sz w:val="20"/>
          <w:szCs w:val="20"/>
          <w:color w:val="auto"/>
        </w:rPr>
      </w:pPr>
    </w:p>
    <w:p>
      <w:pPr>
        <w:spacing w:after="0" w:line="25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0"/>
          <w:szCs w:val="20"/>
          <w:color w:val="auto"/>
        </w:rPr>
        <w:t>FOURTH AMENDMENT, dated as of February 6, 2023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among AVIS BUDGET HOLDINGS, LLC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AVIS BUDGET CAR RENTAL, LLC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Lenders party hereto and JPMORGAN CHASE BANK, N.A.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JPMorgan</w:t>
      </w:r>
      <w:r>
        <w:rPr>
          <w:rFonts w:ascii="Times New Roman" w:cs="Times New Roman" w:eastAsia="Times New Roman" w:hAnsi="Times New Roman"/>
          <w:sz w:val="20"/>
          <w:szCs w:val="20"/>
          <w:color w:val="auto"/>
        </w:rPr>
        <w:t>”), as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auto"/>
        </w:rPr>
        <w:t>WHEREAS, reference is hereby made to the Sixth Amended and Restated Credit Agreement dated as of July 9, 2021 (as heretofore amended, supplemented or otherwise modified from time to time,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and, as amended by this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Amendment and as further amended, supplemented or otherwise modified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among others, Holdings, the Borrower, Avis Budget Group, Inc., the subsidiary borrowers from time to time parties thereto, the several lenders from time to</w:t>
      </w:r>
    </w:p>
    <w:p>
      <w:pPr>
        <w:spacing w:after="0"/>
        <w:rPr>
          <w:sz w:val="20"/>
          <w:szCs w:val="20"/>
          <w:color w:val="auto"/>
        </w:rPr>
      </w:pPr>
      <w:r>
        <w:rPr>
          <w:rFonts w:ascii="Times New Roman" w:cs="Times New Roman" w:eastAsia="Times New Roman" w:hAnsi="Times New Roman"/>
          <w:sz w:val="20"/>
          <w:szCs w:val="20"/>
          <w:color w:val="auto"/>
        </w:rPr>
        <w:t>time parties thereto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the Administrative Agent; and</w:t>
      </w:r>
    </w:p>
    <w:p>
      <w:pPr>
        <w:spacing w:after="0" w:line="194" w:lineRule="exact"/>
        <w:rPr>
          <w:sz w:val="20"/>
          <w:szCs w:val="20"/>
          <w:color w:val="auto"/>
        </w:rPr>
      </w:pPr>
    </w:p>
    <w:p>
      <w:pPr>
        <w:ind w:right="20" w:firstLine="1296"/>
        <w:spacing w:after="0" w:line="215" w:lineRule="auto"/>
        <w:rPr>
          <w:sz w:val="20"/>
          <w:szCs w:val="20"/>
          <w:color w:val="auto"/>
        </w:rPr>
      </w:pPr>
      <w:r>
        <w:rPr>
          <w:rFonts w:ascii="Times New Roman" w:cs="Times New Roman" w:eastAsia="Times New Roman" w:hAnsi="Times New Roman"/>
          <w:sz w:val="20"/>
          <w:szCs w:val="20"/>
          <w:color w:val="auto"/>
        </w:rPr>
        <w:t>WHEREAS, pursuant to Section 10.1 of the Existing Credit Agreement, the Borrower has requested to amend certain provisions of the Existing Credit Agreement, and the Administrative Agent and the Required Lenders have agreed, upon the terms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subject to the conditions set forth herein, to amend those certain provisions of the Existing Credit Agreement as set forth herein;</w:t>
      </w:r>
    </w:p>
    <w:p>
      <w:pPr>
        <w:spacing w:after="0" w:line="1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NOW, THEREFORE, in consideration of the premises contained herein, the parties hereto agree as follows:</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Unless otherwise defined herein, capitalized terms are used herein as defined in the Credit Agreement as amended hereby.</w:t>
      </w:r>
    </w:p>
    <w:p>
      <w:pPr>
        <w:spacing w:after="0" w:line="16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u w:val="single" w:color="auto"/>
          <w:color w:val="auto"/>
        </w:rPr>
        <w:t>Amendments of the Existing Credit Agreement</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660" w:firstLine="644"/>
        <w:spacing w:after="0"/>
        <w:tabs>
          <w:tab w:leader="none" w:pos="194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“Change in Control” in the Existing Credit Agreement is hereby amended and restated in its entirety as follows:</w:t>
      </w:r>
    </w:p>
    <w:p>
      <w:pPr>
        <w:spacing w:after="0" w:line="148" w:lineRule="exact"/>
        <w:rPr>
          <w:sz w:val="20"/>
          <w:szCs w:val="20"/>
          <w:color w:val="auto"/>
        </w:rPr>
      </w:pPr>
    </w:p>
    <w:p>
      <w:pPr>
        <w:jc w:val="both"/>
        <w:ind w:left="1300"/>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(a) the acquisition by any Person or group (within the meaning of the Securities Exchange Act of 1934, as amended, and the rules of the SEC thereunder as in effect on the Restatement Effective Date), directly or indirectly,</w:t>
      </w:r>
    </w:p>
    <w:p>
      <w:pPr>
        <w:spacing w:after="0" w:line="1"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beneficially or of record, of ownership or control of in excess of 50% of the voting common stock of ABG on a fully diluted basis at any time; provided, that any voting common stock held by SRS (as defined in the Cooperation Agreement) that is</w:t>
      </w:r>
    </w:p>
    <w:p>
      <w:pPr>
        <w:ind w:left="1300"/>
        <w:spacing w:after="0" w:line="222" w:lineRule="auto"/>
        <w:rPr>
          <w:sz w:val="20"/>
          <w:szCs w:val="20"/>
          <w:color w:val="auto"/>
        </w:rPr>
      </w:pPr>
      <w:r>
        <w:rPr>
          <w:rFonts w:ascii="Times New Roman" w:cs="Times New Roman" w:eastAsia="Times New Roman" w:hAnsi="Times New Roman"/>
          <w:sz w:val="19"/>
          <w:szCs w:val="19"/>
          <w:color w:val="auto"/>
        </w:rPr>
        <w:t>subject to the “Excess Voting Rights” limitations on voting set forth in the Cooperation Agreement (as in effect on the Fourth</w:t>
      </w:r>
    </w:p>
    <w:p>
      <w:pPr>
        <w:ind w:left="1300"/>
        <w:spacing w:after="0" w:line="204" w:lineRule="auto"/>
        <w:rPr>
          <w:sz w:val="20"/>
          <w:szCs w:val="20"/>
          <w:color w:val="auto"/>
        </w:rPr>
      </w:pPr>
      <w:r>
        <w:rPr>
          <w:rFonts w:ascii="Times New Roman" w:cs="Times New Roman" w:eastAsia="Times New Roman" w:hAnsi="Times New Roman"/>
          <w:sz w:val="20"/>
          <w:szCs w:val="20"/>
          <w:color w:val="auto"/>
        </w:rPr>
        <w:t>Amendment Effective Date) shall be excluded from the amount of voting common stock of ABG deemed held by SRS (as defined in the Cooperation Agreement) for purposes of such determination or (b) if at any time, individuals who at the</w:t>
      </w:r>
    </w:p>
    <w:p>
      <w:pPr>
        <w:ind w:left="1300"/>
        <w:spacing w:after="0" w:line="211" w:lineRule="auto"/>
        <w:rPr>
          <w:sz w:val="20"/>
          <w:szCs w:val="20"/>
          <w:color w:val="auto"/>
        </w:rPr>
      </w:pPr>
      <w:r>
        <w:rPr>
          <w:rFonts w:ascii="Times New Roman" w:cs="Times New Roman" w:eastAsia="Times New Roman" w:hAnsi="Times New Roman"/>
          <w:sz w:val="20"/>
          <w:szCs w:val="20"/>
          <w:color w:val="auto"/>
        </w:rPr>
        <w:t>Restatement Effective Date constituted the board of directors of ABG (together with any new directors whose election by</w:t>
      </w:r>
    </w:p>
    <w:p>
      <w:pPr>
        <w:spacing w:after="0" w:line="1" w:lineRule="exact"/>
        <w:rPr>
          <w:sz w:val="20"/>
          <w:szCs w:val="20"/>
          <w:color w:val="auto"/>
        </w:rPr>
      </w:pPr>
    </w:p>
    <w:p>
      <w:pPr>
        <w:ind w:left="1300"/>
        <w:spacing w:after="0" w:line="215" w:lineRule="auto"/>
        <w:rPr>
          <w:sz w:val="20"/>
          <w:szCs w:val="20"/>
          <w:color w:val="auto"/>
        </w:rPr>
      </w:pPr>
      <w:r>
        <w:rPr>
          <w:rFonts w:ascii="Times New Roman" w:cs="Times New Roman" w:eastAsia="Times New Roman" w:hAnsi="Times New Roman"/>
          <w:sz w:val="19"/>
          <w:szCs w:val="19"/>
          <w:color w:val="auto"/>
        </w:rPr>
        <w:t>such board of directors or whose nomination for election by the shareholders of ABG, as the case may be, was approved by a vote of the majority of the directors then still in office who were either directors at the Restatement Effective Date or whose</w:t>
      </w:r>
    </w:p>
    <w:p>
      <w:pPr>
        <w:ind w:left="1300"/>
        <w:spacing w:after="0" w:line="211" w:lineRule="auto"/>
        <w:rPr>
          <w:sz w:val="20"/>
          <w:szCs w:val="20"/>
          <w:color w:val="auto"/>
        </w:rPr>
      </w:pPr>
      <w:r>
        <w:rPr>
          <w:rFonts w:ascii="Times New Roman" w:cs="Times New Roman" w:eastAsia="Times New Roman" w:hAnsi="Times New Roman"/>
          <w:sz w:val="20"/>
          <w:szCs w:val="20"/>
          <w:color w:val="auto"/>
        </w:rPr>
        <w:t>election or nomination for election was previously so approved) cease for any reason to constitute a majority of the board of</w:t>
      </w:r>
    </w:p>
    <w:p>
      <w:pPr>
        <w:ind w:left="1300"/>
        <w:spacing w:after="0" w:line="221" w:lineRule="auto"/>
        <w:rPr>
          <w:sz w:val="20"/>
          <w:szCs w:val="20"/>
          <w:color w:val="auto"/>
        </w:rPr>
      </w:pPr>
      <w:r>
        <w:rPr>
          <w:rFonts w:ascii="Times New Roman" w:cs="Times New Roman" w:eastAsia="Times New Roman" w:hAnsi="Times New Roman"/>
          <w:sz w:val="20"/>
          <w:szCs w:val="20"/>
          <w:color w:val="auto"/>
        </w:rPr>
        <w:t>directors of ABG, (c) ABG shall cease to own, directly or through one or more Wholly-Owned Subsidiaries, all of the capital stock of</w:t>
      </w:r>
    </w:p>
    <w:p>
      <w:pPr>
        <w:sectPr>
          <w:pgSz w:w="11900" w:h="16838" w:orient="portrait"/>
          <w:cols w:equalWidth="0" w:num="1">
            <w:col w:w="11240"/>
          </w:cols>
          <w:pgMar w:left="320" w:top="1399" w:right="339" w:bottom="1440" w:gutter="0" w:footer="0" w:header="0"/>
        </w:sectPr>
      </w:pPr>
    </w:p>
    <w:bookmarkStart w:id="128" w:name="page129"/>
    <w:bookmarkEnd w:id="128"/>
    <w:p>
      <w:pPr>
        <w:ind w:left="1300"/>
        <w:spacing w:after="0"/>
        <w:rPr>
          <w:sz w:val="20"/>
          <w:szCs w:val="20"/>
          <w:color w:val="auto"/>
        </w:rPr>
      </w:pPr>
      <w:r>
        <w:rPr>
          <w:rFonts w:ascii="Times New Roman" w:cs="Times New Roman" w:eastAsia="Times New Roman" w:hAnsi="Times New Roman"/>
          <w:sz w:val="19"/>
          <w:szCs w:val="19"/>
          <w:color w:val="auto"/>
        </w:rPr>
        <w:t>Holdings, free and clear of any direct or indirect Liens (other than statutory Liens) or (d) Holdings shall cease to directly own</w:t>
      </w:r>
    </w:p>
    <w:p>
      <w:pPr>
        <w:spacing w:after="0" w:line="6" w:lineRule="exact"/>
        <w:rPr>
          <w:sz w:val="20"/>
          <w:szCs w:val="20"/>
          <w:color w:val="auto"/>
        </w:rPr>
      </w:pPr>
    </w:p>
    <w:p>
      <w:pPr>
        <w:ind w:left="1300" w:right="20"/>
        <w:spacing w:after="0" w:line="221" w:lineRule="auto"/>
        <w:rPr>
          <w:sz w:val="20"/>
          <w:szCs w:val="20"/>
          <w:color w:val="auto"/>
        </w:rPr>
      </w:pPr>
      <w:r>
        <w:rPr>
          <w:rFonts w:ascii="Times New Roman" w:cs="Times New Roman" w:eastAsia="Times New Roman" w:hAnsi="Times New Roman"/>
          <w:sz w:val="20"/>
          <w:szCs w:val="20"/>
          <w:color w:val="auto"/>
        </w:rPr>
        <w:t>all of the capital stock of the Borrower, free and clear of any direct or indirect Liens (other than statutory Liens or Liens created by the Loan Documents).</w:t>
      </w:r>
    </w:p>
    <w:p>
      <w:pPr>
        <w:spacing w:after="0" w:line="162" w:lineRule="exact"/>
        <w:rPr>
          <w:sz w:val="20"/>
          <w:szCs w:val="20"/>
          <w:color w:val="auto"/>
        </w:rPr>
      </w:pPr>
    </w:p>
    <w:p>
      <w:pPr>
        <w:ind w:left="660" w:right="20" w:firstLine="644"/>
        <w:spacing w:after="0"/>
        <w:tabs>
          <w:tab w:leader="none" w:pos="19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new definitions shall be added to Section 1.1 of the Existing Credit Agreement in the appropriate alphabetical order:</w:t>
      </w:r>
    </w:p>
    <w:p>
      <w:pPr>
        <w:spacing w:after="0" w:line="148" w:lineRule="exact"/>
        <w:rPr>
          <w:sz w:val="20"/>
          <w:szCs w:val="20"/>
          <w:color w:val="auto"/>
        </w:rPr>
      </w:pPr>
    </w:p>
    <w:p>
      <w:pPr>
        <w:jc w:val="both"/>
        <w:ind w:left="1300" w:hanging="80"/>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Cooperation Agreement</w:t>
      </w:r>
      <w:r>
        <w:rPr>
          <w:rFonts w:ascii="Times New Roman" w:cs="Times New Roman" w:eastAsia="Times New Roman" w:hAnsi="Times New Roman"/>
          <w:sz w:val="20"/>
          <w:szCs w:val="20"/>
          <w:color w:val="auto"/>
        </w:rPr>
        <w:t>”: the Fourth Amended and Restated Cooperation Agreement, dated as of December 23, 2022, by and among Avis Budget Group, Inc. and SRS (as defined therein), as amended, restated, amended and restated, supplemented or otherwise modified from time to time.</w:t>
      </w:r>
    </w:p>
    <w:p>
      <w:pPr>
        <w:spacing w:after="0" w:line="14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Fourth Amendment</w:t>
      </w:r>
      <w:r>
        <w:rPr>
          <w:rFonts w:ascii="Times New Roman" w:cs="Times New Roman" w:eastAsia="Times New Roman" w:hAnsi="Times New Roman"/>
          <w:sz w:val="20"/>
          <w:szCs w:val="20"/>
          <w:color w:val="auto"/>
        </w:rPr>
        <w:t>”: the Fourth Amendment, dated as of the Fourth Amendment Effective Date, to this Agreement.</w:t>
      </w:r>
    </w:p>
    <w:p>
      <w:pPr>
        <w:spacing w:after="0" w:line="189" w:lineRule="exact"/>
        <w:rPr>
          <w:sz w:val="20"/>
          <w:szCs w:val="20"/>
          <w:color w:val="auto"/>
        </w:rPr>
      </w:pPr>
    </w:p>
    <w:p>
      <w:pPr>
        <w:jc w:val="both"/>
        <w:ind w:left="1300" w:hanging="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Fourth Amendment Effective Date</w:t>
      </w:r>
      <w:r>
        <w:rPr>
          <w:rFonts w:ascii="Times New Roman" w:cs="Times New Roman" w:eastAsia="Times New Roman" w:hAnsi="Times New Roman"/>
          <w:sz w:val="20"/>
          <w:szCs w:val="20"/>
          <w:color w:val="auto"/>
        </w:rPr>
        <w:t>”: the “Fourth Amendment Effective Date”, as defined in the Fourth Amendment, which date is February 6, 2023.</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On and as of the date hereof, the Borrower hereby (i) confirms, reaffirms and restates that each of the representations and warranties set forth in Section 4 of the Credit Agreement are, after giving effect to this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Amendment, true and correct in all material respects except to the extent that such representations and warranties expressly relate solely to a specific earlier date, and except for any representation and warranty that is qualified as to “materiality,” “Material Adverse Effect,” or similar</w:t>
      </w:r>
    </w:p>
    <w:p>
      <w:pPr>
        <w:spacing w:after="0" w:line="222" w:lineRule="auto"/>
        <w:rPr>
          <w:sz w:val="20"/>
          <w:szCs w:val="20"/>
          <w:color w:val="auto"/>
        </w:rPr>
      </w:pPr>
      <w:r>
        <w:rPr>
          <w:rFonts w:ascii="Times New Roman" w:cs="Times New Roman" w:eastAsia="Times New Roman" w:hAnsi="Times New Roman"/>
          <w:sz w:val="19"/>
          <w:szCs w:val="19"/>
          <w:color w:val="auto"/>
        </w:rPr>
        <w:t>language, in which case the Borrower hereby confirms, reaffirms and restates that such representations and warranties are true and correct in</w:t>
      </w:r>
    </w:p>
    <w:p>
      <w:pPr>
        <w:spacing w:after="0" w:line="221" w:lineRule="auto"/>
        <w:rPr>
          <w:sz w:val="20"/>
          <w:szCs w:val="20"/>
          <w:color w:val="auto"/>
        </w:rPr>
      </w:pPr>
      <w:r>
        <w:rPr>
          <w:rFonts w:ascii="Times New Roman" w:cs="Times New Roman" w:eastAsia="Times New Roman" w:hAnsi="Times New Roman"/>
          <w:sz w:val="20"/>
          <w:szCs w:val="20"/>
          <w:color w:val="auto"/>
        </w:rPr>
        <w:t>all respects and (ii) represents and warrants that no Default or Event of Default shall have occurred and is continuing as of the Fourth Amendment Effective Date or would immediately result from this Amendment.</w:t>
      </w:r>
    </w:p>
    <w:p>
      <w:pPr>
        <w:spacing w:after="0" w:line="162"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Conditions to Effectiveness</w:t>
      </w:r>
      <w:r>
        <w:rPr>
          <w:rFonts w:ascii="Times New Roman" w:cs="Times New Roman" w:eastAsia="Times New Roman" w:hAnsi="Times New Roman"/>
          <w:sz w:val="20"/>
          <w:szCs w:val="20"/>
          <w:color w:val="auto"/>
        </w:rPr>
        <w:t>. The effectiveness of this Amendment is subject to the satisfaction of each of the following conditions (the date on which such conditions are satisfied, the “</w:t>
      </w:r>
      <w:r>
        <w:rPr>
          <w:rFonts w:ascii="Times New Roman" w:cs="Times New Roman" w:eastAsia="Times New Roman" w:hAnsi="Times New Roman"/>
          <w:sz w:val="20"/>
          <w:szCs w:val="20"/>
          <w:u w:val="single" w:color="auto"/>
          <w:color w:val="auto"/>
        </w:rPr>
        <w:t>Fourth Amendment Effective Date</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660" w:right="20" w:firstLine="644"/>
        <w:spacing w:after="0"/>
        <w:tabs>
          <w:tab w:leader="none" w:pos="194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counterpart of this Amendment, executed and delivered by a duly authorized officer of Holdings and the Borrower.</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counterpart of this Amendment, executed and delivered by Lenders constituting the Required Lenders.</w:t>
      </w:r>
    </w:p>
    <w:p>
      <w:pPr>
        <w:spacing w:after="0" w:line="188" w:lineRule="exact"/>
        <w:rPr>
          <w:sz w:val="20"/>
          <w:szCs w:val="20"/>
          <w:color w:val="auto"/>
        </w:rPr>
      </w:pPr>
    </w:p>
    <w:p>
      <w:pPr>
        <w:jc w:val="both"/>
        <w:ind w:left="660" w:firstLine="644"/>
        <w:spacing w:after="0" w:line="222" w:lineRule="auto"/>
        <w:tabs>
          <w:tab w:leader="none" w:pos="194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all fees required to be paid under that certain Fourth Amendment Fee Letter, dated as of the date hereof, accrued reasonable and documented out-of-pocket costs and expenses (including, to the extent invoiced in advance, reasonable legal fees and out-of-pocket expenses of one firm of counsel) and other compensation due and payable to the Administrative Agent on or prior to the Fourth Amendment Effective Date.</w:t>
      </w:r>
    </w:p>
    <w:p>
      <w:pPr>
        <w:spacing w:after="0" w:line="17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19"/>
          <w:szCs w:val="19"/>
          <w:u w:val="single" w:color="auto"/>
          <w:color w:val="auto"/>
        </w:rPr>
        <w:t>Continuing Effect; No Other Amendments or Consents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left="660" w:firstLine="644"/>
        <w:spacing w:after="0" w:line="226" w:lineRule="auto"/>
        <w:tabs>
          <w:tab w:leader="none" w:pos="1802"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provided herein, all of the terms and provisions of the Existing Credit Agreement are and shall remain in full force and effect. The amendments provided for herein are limited to the specific subsections of the Existing Credit Agreement</w:t>
      </w:r>
    </w:p>
    <w:p>
      <w:pPr>
        <w:sectPr>
          <w:pgSz w:w="11900" w:h="16838" w:orient="portrait"/>
          <w:cols w:equalWidth="0" w:num="1">
            <w:col w:w="11240"/>
          </w:cols>
          <w:pgMar w:left="320" w:top="1399" w:right="339" w:bottom="1440" w:gutter="0" w:footer="0" w:header="0"/>
        </w:sectPr>
      </w:pPr>
    </w:p>
    <w:bookmarkStart w:id="129" w:name="page130"/>
    <w:bookmarkEnd w:id="129"/>
    <w:p>
      <w:pPr>
        <w:ind w:left="660"/>
        <w:spacing w:after="0"/>
        <w:rPr>
          <w:sz w:val="20"/>
          <w:szCs w:val="20"/>
          <w:color w:val="auto"/>
        </w:rPr>
      </w:pPr>
      <w:r>
        <w:rPr>
          <w:rFonts w:ascii="Times New Roman" w:cs="Times New Roman" w:eastAsia="Times New Roman" w:hAnsi="Times New Roman"/>
          <w:sz w:val="20"/>
          <w:szCs w:val="20"/>
          <w:color w:val="auto"/>
        </w:rPr>
        <w:t>specified herein and shall not constitute a consent, waiver or amendment of, or an indication of the Administrative Agent’s or the</w:t>
      </w:r>
    </w:p>
    <w:p>
      <w:pPr>
        <w:ind w:left="660"/>
        <w:spacing w:after="0" w:line="215" w:lineRule="auto"/>
        <w:rPr>
          <w:sz w:val="20"/>
          <w:szCs w:val="20"/>
          <w:color w:val="auto"/>
        </w:rPr>
      </w:pPr>
      <w:r>
        <w:rPr>
          <w:rFonts w:ascii="Times New Roman" w:cs="Times New Roman" w:eastAsia="Times New Roman" w:hAnsi="Times New Roman"/>
          <w:sz w:val="19"/>
          <w:szCs w:val="19"/>
          <w:color w:val="auto"/>
        </w:rPr>
        <w:t>Lenders’ willingness to consent to any action requiring consent under any other provisions of the Existing Credit Agreement or the same subsection for any other date or time period. Upon the effectiveness of the amendments set forth herein, on and after the Fourth</w:t>
      </w:r>
    </w:p>
    <w:p>
      <w:pPr>
        <w:ind w:left="660"/>
        <w:spacing w:after="0" w:line="222" w:lineRule="auto"/>
        <w:rPr>
          <w:sz w:val="20"/>
          <w:szCs w:val="20"/>
          <w:color w:val="auto"/>
        </w:rPr>
      </w:pPr>
      <w:r>
        <w:rPr>
          <w:rFonts w:ascii="Times New Roman" w:cs="Times New Roman" w:eastAsia="Times New Roman" w:hAnsi="Times New Roman"/>
          <w:sz w:val="19"/>
          <w:szCs w:val="19"/>
          <w:color w:val="auto"/>
        </w:rPr>
        <w:t>Amendment Effective Date, each reference in the Credit Agreement to “this Agreement,” “the Agreement,” “hereunder,” “hereof” or</w:t>
      </w:r>
    </w:p>
    <w:p>
      <w:pPr>
        <w:ind w:left="660"/>
        <w:spacing w:after="0" w:line="204" w:lineRule="auto"/>
        <w:rPr>
          <w:sz w:val="20"/>
          <w:szCs w:val="20"/>
          <w:color w:val="auto"/>
        </w:rPr>
      </w:pPr>
      <w:r>
        <w:rPr>
          <w:rFonts w:ascii="Times New Roman" w:cs="Times New Roman" w:eastAsia="Times New Roman" w:hAnsi="Times New Roman"/>
          <w:sz w:val="20"/>
          <w:szCs w:val="20"/>
          <w:color w:val="auto"/>
        </w:rPr>
        <w:t>words of like import referring to the Credit Agreement, and each reference in the other Loan Documents to “Credit Agreement,” “thereunder,” “thereof” or words of like import referring to the Credit Agreement, shall mean and be a reference to the Credit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Agreement as amended hereby.</w:t>
      </w:r>
    </w:p>
    <w:p>
      <w:pPr>
        <w:spacing w:after="0" w:line="194" w:lineRule="exact"/>
        <w:rPr>
          <w:sz w:val="20"/>
          <w:szCs w:val="20"/>
          <w:color w:val="auto"/>
        </w:rPr>
      </w:pPr>
    </w:p>
    <w:p>
      <w:pPr>
        <w:jc w:val="both"/>
        <w:ind w:left="660" w:firstLine="644"/>
        <w:spacing w:after="0" w:line="213" w:lineRule="auto"/>
        <w:tabs>
          <w:tab w:leader="none" w:pos="1921"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not extinguish the obligations for the payment of money outstanding under the Credit Agreement or any other Loan Document or discharge or release the Lien or priority of any Security Document or any other security therefor. Nothing herein contained shall be construed as a substitution or novation of the obligations outstanding under the Credit Agreement, the Security Documents or the other Loan Documents or a novation of the Credit Agreement or any other Loan Document. The obligations outstanding under or of the Credit Agreement and instruments securing the same shall remain in full force and effect, except to any extent expressly modified hereby. Nothing implied in this Amendment or in any other document contemplated hereby shall be construed as a release or other discharge of any of the Loan Parties under any Loan Document from any of its obligations and liabilities as a borrower, guarantor, grantor or pledgor under any of the Loan Documents.</w:t>
      </w:r>
    </w:p>
    <w:p>
      <w:pPr>
        <w:spacing w:after="0" w:line="184" w:lineRule="exact"/>
        <w:rPr>
          <w:rFonts w:ascii="Times New Roman" w:cs="Times New Roman" w:eastAsia="Times New Roman" w:hAnsi="Times New Roman"/>
          <w:sz w:val="20"/>
          <w:szCs w:val="20"/>
          <w:color w:val="auto"/>
        </w:rPr>
      </w:pPr>
    </w:p>
    <w:p>
      <w:pPr>
        <w:ind w:left="1860" w:hanging="556"/>
        <w:spacing w:after="0"/>
        <w:tabs>
          <w:tab w:leader="none" w:pos="18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the other parties hereto acknowledge and agree that this Amendment shall constitute a Loan</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w:t>
      </w:r>
    </w:p>
    <w:p>
      <w:pPr>
        <w:spacing w:after="0" w:line="17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6.</w:t>
      </w:r>
      <w:r>
        <w:rPr>
          <w:sz w:val="20"/>
          <w:szCs w:val="20"/>
          <w:color w:val="auto"/>
        </w:rPr>
        <w:tab/>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Borrower agrees to pay and reimburse the Administrative Agent for all its reasonable out-of-pocket</w:t>
      </w:r>
    </w:p>
    <w:p>
      <w:pPr>
        <w:spacing w:after="0" w:line="204" w:lineRule="auto"/>
        <w:rPr>
          <w:sz w:val="20"/>
          <w:szCs w:val="20"/>
          <w:color w:val="auto"/>
        </w:rPr>
      </w:pPr>
      <w:r>
        <w:rPr>
          <w:rFonts w:ascii="Times New Roman" w:cs="Times New Roman" w:eastAsia="Times New Roman" w:hAnsi="Times New Roman"/>
          <w:sz w:val="20"/>
          <w:szCs w:val="20"/>
          <w:color w:val="auto"/>
        </w:rPr>
        <w:t>costs and expenses incurred in connection with the preparation and delivery of this Amendment, and any other documents prepared in connection herewith and the transactions contemplated hereby, including, without limitation, the reasonable fees and disbursements of 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firm of counsel to the Administrative Agent in accordance with the terms in the Credit Agreement.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any number of counterparts by the parties hereto (including by facsimile and electronic (e.g. “.pdf”, or “.tif”) transmission), each of which counterparts when so executed shall be an original, but all the</w:t>
      </w:r>
    </w:p>
    <w:p>
      <w:pPr>
        <w:spacing w:after="0" w:line="212" w:lineRule="auto"/>
        <w:rPr>
          <w:sz w:val="20"/>
          <w:szCs w:val="20"/>
          <w:color w:val="auto"/>
        </w:rPr>
      </w:pPr>
      <w:r>
        <w:rPr>
          <w:rFonts w:ascii="Times New Roman" w:cs="Times New Roman" w:eastAsia="Times New Roman" w:hAnsi="Times New Roman"/>
          <w:sz w:val="20"/>
          <w:szCs w:val="20"/>
          <w:color w:val="auto"/>
        </w:rPr>
        <w:t>counterparts shall together constitute one and the same instrument. The words “execution,” “signed,” “signature,” “delivery,” and words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like import in or relating to this Amendment or any document to be signed in connection with this Amendment and the transactions contemplated hereby shall be deemed to include Electronic Signatures, deliveries or the keeping of records in electronic form, each of which</w:t>
      </w:r>
    </w:p>
    <w:p>
      <w:pPr>
        <w:spacing w:after="0" w:line="211" w:lineRule="auto"/>
        <w:rPr>
          <w:sz w:val="20"/>
          <w:szCs w:val="20"/>
          <w:color w:val="auto"/>
        </w:rPr>
      </w:pPr>
      <w:r>
        <w:rPr>
          <w:rFonts w:ascii="Times New Roman" w:cs="Times New Roman" w:eastAsia="Times New Roman" w:hAnsi="Times New Roman"/>
          <w:sz w:val="20"/>
          <w:szCs w:val="20"/>
          <w:color w:val="auto"/>
        </w:rPr>
        <w:t>shall be of the same legal effect, validity or enforceability as a manually executed signature, physical delivery thereof or the use of a paper-</w:t>
      </w:r>
    </w:p>
    <w:p>
      <w:pPr>
        <w:spacing w:after="0" w:line="215" w:lineRule="auto"/>
        <w:rPr>
          <w:sz w:val="20"/>
          <w:szCs w:val="20"/>
          <w:color w:val="auto"/>
        </w:rPr>
      </w:pPr>
      <w:r>
        <w:rPr>
          <w:rFonts w:ascii="Times New Roman" w:cs="Times New Roman" w:eastAsia="Times New Roman" w:hAnsi="Times New Roman"/>
          <w:sz w:val="19"/>
          <w:szCs w:val="19"/>
          <w:color w:val="auto"/>
        </w:rPr>
        <w:t>based recordkeeping system, as the case may be, to the extent and as provided for in any applicable law, including the Federal Electronic Signatures in Global and National Commerce Act, the New York State Electronic Signatures and Records Act, or any other similar state laws</w:t>
      </w:r>
    </w:p>
    <w:p>
      <w:pPr>
        <w:spacing w:after="0" w:line="211" w:lineRule="auto"/>
        <w:rPr>
          <w:sz w:val="20"/>
          <w:szCs w:val="20"/>
          <w:color w:val="auto"/>
        </w:rPr>
      </w:pPr>
      <w:r>
        <w:rPr>
          <w:rFonts w:ascii="Times New Roman" w:cs="Times New Roman" w:eastAsia="Times New Roman" w:hAnsi="Times New Roman"/>
          <w:sz w:val="20"/>
          <w:szCs w:val="20"/>
          <w:color w:val="auto"/>
        </w:rPr>
        <w:t>based on the Uniform Electronic Transactions Act; provided that nothing herein shall require the Administrative Agent to accept electronic</w:t>
      </w:r>
    </w:p>
    <w:p>
      <w:pPr>
        <w:spacing w:after="0" w:line="215" w:lineRule="auto"/>
        <w:rPr>
          <w:sz w:val="20"/>
          <w:szCs w:val="20"/>
          <w:color w:val="auto"/>
        </w:rPr>
      </w:pPr>
      <w:r>
        <w:rPr>
          <w:rFonts w:ascii="Times New Roman" w:cs="Times New Roman" w:eastAsia="Times New Roman" w:hAnsi="Times New Roman"/>
          <w:sz w:val="19"/>
          <w:szCs w:val="19"/>
          <w:color w:val="auto"/>
        </w:rPr>
        <w:t>signatures in any form or format without its prior written consent. As used herein, “</w:t>
      </w:r>
      <w:r>
        <w:rPr>
          <w:rFonts w:ascii="Times New Roman" w:cs="Times New Roman" w:eastAsia="Times New Roman" w:hAnsi="Times New Roman"/>
          <w:sz w:val="19"/>
          <w:szCs w:val="19"/>
          <w:u w:val="single" w:color="auto"/>
          <w:color w:val="auto"/>
        </w:rPr>
        <w:t>Electronic Signature</w:t>
      </w:r>
      <w:r>
        <w:rPr>
          <w:rFonts w:ascii="Times New Roman" w:cs="Times New Roman" w:eastAsia="Times New Roman" w:hAnsi="Times New Roman"/>
          <w:sz w:val="19"/>
          <w:szCs w:val="19"/>
          <w:color w:val="auto"/>
        </w:rPr>
        <w:t>” means an electronic sound, symbol, or process attached to, or associated with, a contract or other record and adopted by a Person with the intent to sign, authenticate or accept</w:t>
      </w:r>
    </w:p>
    <w:p>
      <w:pPr>
        <w:spacing w:after="0"/>
        <w:rPr>
          <w:sz w:val="20"/>
          <w:szCs w:val="20"/>
          <w:color w:val="auto"/>
        </w:rPr>
      </w:pPr>
      <w:r>
        <w:rPr>
          <w:rFonts w:ascii="Times New Roman" w:cs="Times New Roman" w:eastAsia="Times New Roman" w:hAnsi="Times New Roman"/>
          <w:sz w:val="20"/>
          <w:szCs w:val="20"/>
          <w:color w:val="auto"/>
        </w:rPr>
        <w:t>such contract or record.</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SECTION 8.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AMENDMENT AND THE RIGHTS AND OBLIGATIONS OF THE PARTIES HEREUNDER SHALL BE GOVERNED BY, AND CONSTRUED AND INTERPRETED IN ACCORDANCE WITH, THE LAW OF THE</w:t>
      </w:r>
    </w:p>
    <w:p>
      <w:pPr>
        <w:spacing w:after="0"/>
        <w:rPr>
          <w:sz w:val="20"/>
          <w:szCs w:val="20"/>
          <w:color w:val="auto"/>
        </w:rPr>
      </w:pPr>
      <w:r>
        <w:rPr>
          <w:rFonts w:ascii="Times New Roman" w:cs="Times New Roman" w:eastAsia="Times New Roman" w:hAnsi="Times New Roman"/>
          <w:sz w:val="20"/>
          <w:szCs w:val="20"/>
          <w:color w:val="auto"/>
        </w:rPr>
        <w:t>STATE OF NEW YORK.</w:t>
      </w:r>
    </w:p>
    <w:p>
      <w:pPr>
        <w:sectPr>
          <w:pgSz w:w="11900" w:h="16838" w:orient="portrait"/>
          <w:cols w:equalWidth="0" w:num="1">
            <w:col w:w="11240"/>
          </w:cols>
          <w:pgMar w:left="320" w:top="1394"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ectPr>
          <w:pgSz w:w="11900" w:h="16838" w:orient="portrait"/>
          <w:cols w:equalWidth="0" w:num="1">
            <w:col w:w="9019"/>
          </w:cols>
          <w:pgMar w:left="1440" w:top="1399" w:right="1440" w:bottom="1440" w:gutter="0" w:footer="0" w:header="0"/>
        </w:sectPr>
      </w:pPr>
    </w:p>
    <w:bookmarkStart w:id="131" w:name="page132"/>
    <w:bookmarkEnd w:id="131"/>
    <w:p>
      <w:pPr>
        <w:ind w:firstLine="1296"/>
        <w:spacing w:after="0"/>
        <w:rPr>
          <w:sz w:val="20"/>
          <w:szCs w:val="20"/>
          <w:color w:val="auto"/>
        </w:rPr>
      </w:pPr>
      <w:r>
        <w:rPr>
          <w:rFonts w:ascii="Times New Roman" w:cs="Times New Roman" w:eastAsia="Times New Roman" w:hAnsi="Times New Roman"/>
          <w:sz w:val="20"/>
          <w:szCs w:val="20"/>
          <w:color w:val="auto"/>
        </w:rPr>
        <w:t>IN WITNESS WHEREOF, the parties have caused this Amendment to be duly executed and delivered by their proper and duly authorized officers as of the day and year first above written.</w:t>
      </w:r>
    </w:p>
    <w:p>
      <w:pPr>
        <w:spacing w:after="0" w:line="1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AVIS BUDGET HOLDINGS, LLC</w:t>
      </w:r>
    </w:p>
    <w:p>
      <w:pPr>
        <w:spacing w:after="0" w:line="1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-7620</wp:posOffset>
            </wp:positionV>
            <wp:extent cx="15468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7">
                      <a:extLst>
                        <a:ext uri="{28A0092B-C50C-407E-A947-70E740481C1C}"/>
                      </a:extLst>
                    </a:blip>
                    <a:srcRect/>
                    <a:stretch>
                      <a:fillRect/>
                    </a:stretch>
                  </pic:blipFill>
                  <pic:spPr bwMode="auto">
                    <a:xfrm>
                      <a:off x="0" y="0"/>
                      <a:ext cx="1546860" cy="8255"/>
                    </a:xfrm>
                    <a:prstGeom prst="rect">
                      <a:avLst/>
                    </a:prstGeom>
                    <a:noFill/>
                  </pic:spPr>
                </pic:pic>
              </a:graphicData>
            </a:graphic>
          </wp:anchor>
        </w:drawing>
      </w:r>
    </w:p>
    <w:p>
      <w:pPr>
        <w:ind w:left="4160"/>
        <w:spacing w:after="0" w:line="197" w:lineRule="auto"/>
        <w:rPr>
          <w:sz w:val="20"/>
          <w:szCs w:val="20"/>
          <w:color w:val="auto"/>
        </w:rPr>
      </w:pPr>
      <w:r>
        <w:rPr>
          <w:rFonts w:ascii="Times New Roman" w:cs="Times New Roman" w:eastAsia="Times New Roman" w:hAnsi="Times New Roman"/>
          <w:sz w:val="20"/>
          <w:szCs w:val="20"/>
          <w:color w:val="auto"/>
        </w:rPr>
        <w:t>Name: David T. Calabria</w:t>
      </w:r>
    </w:p>
    <w:p>
      <w:pPr>
        <w:ind w:left="4160"/>
        <w:spacing w:after="0"/>
        <w:rPr>
          <w:sz w:val="20"/>
          <w:szCs w:val="20"/>
          <w:color w:val="auto"/>
        </w:rPr>
      </w:pPr>
      <w:r>
        <w:rPr>
          <w:rFonts w:ascii="Times New Roman" w:cs="Times New Roman" w:eastAsia="Times New Roman" w:hAnsi="Times New Roman"/>
          <w:sz w:val="20"/>
          <w:szCs w:val="20"/>
          <w:color w:val="auto"/>
        </w:rPr>
        <w:t>Title: Senior Vice President and Treasurer</w:t>
      </w:r>
    </w:p>
    <w:p>
      <w:pPr>
        <w:spacing w:after="0" w:line="3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AVIS BUDGET CAR RENTAL, LLC</w:t>
      </w:r>
    </w:p>
    <w:p>
      <w:pPr>
        <w:spacing w:after="0" w:line="1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David T. Calabria</w:t>
      </w:r>
    </w:p>
    <w:p>
      <w:pPr>
        <w:ind w:left="4160"/>
        <w:spacing w:after="0" w:line="211" w:lineRule="auto"/>
        <w:rPr>
          <w:sz w:val="20"/>
          <w:szCs w:val="20"/>
          <w:color w:val="auto"/>
        </w:rPr>
      </w:pPr>
      <w:r>
        <w:rPr>
          <w:rFonts w:ascii="Times New Roman" w:cs="Times New Roman" w:eastAsia="Times New Roman" w:hAnsi="Times New Roman"/>
          <w:sz w:val="20"/>
          <w:szCs w:val="20"/>
          <w:color w:val="auto"/>
        </w:rPr>
        <w:t>Name: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-127000</wp:posOffset>
            </wp:positionV>
            <wp:extent cx="15468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8">
                      <a:extLst>
                        <a:ext uri="{28A0092B-C50C-407E-A947-70E740481C1C}"/>
                      </a:extLst>
                    </a:blip>
                    <a:srcRect/>
                    <a:stretch>
                      <a:fillRect/>
                    </a:stretch>
                  </pic:blipFill>
                  <pic:spPr bwMode="auto">
                    <a:xfrm>
                      <a:off x="0" y="0"/>
                      <a:ext cx="1546860" cy="8890"/>
                    </a:xfrm>
                    <a:prstGeom prst="rect">
                      <a:avLst/>
                    </a:prstGeom>
                    <a:noFill/>
                  </pic:spPr>
                </pic:pic>
              </a:graphicData>
            </a:graphic>
          </wp:anchor>
        </w:drawing>
      </w:r>
    </w:p>
    <w:p>
      <w:pPr>
        <w:ind w:left="4160"/>
        <w:spacing w:after="0"/>
        <w:rPr>
          <w:sz w:val="20"/>
          <w:szCs w:val="20"/>
          <w:color w:val="auto"/>
        </w:rPr>
      </w:pPr>
      <w:r>
        <w:rPr>
          <w:rFonts w:ascii="Times New Roman" w:cs="Times New Roman" w:eastAsia="Times New Roman" w:hAnsi="Times New Roman"/>
          <w:sz w:val="20"/>
          <w:szCs w:val="20"/>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Signature Page to Fourth Amendment</w:t>
      </w:r>
    </w:p>
    <w:p>
      <w:pPr>
        <w:sectPr>
          <w:pgSz w:w="11900" w:h="16838" w:orient="portrait"/>
          <w:cols w:equalWidth="0" w:num="1">
            <w:col w:w="10980"/>
          </w:cols>
          <w:pgMar w:left="320" w:top="1399" w:right="599" w:bottom="1440" w:gutter="0" w:footer="0" w:header="0"/>
        </w:sectPr>
      </w:pPr>
    </w:p>
    <w:bookmarkStart w:id="132" w:name="page133"/>
    <w:bookmarkEnd w:id="132"/>
    <w:p>
      <w:pPr>
        <w:ind w:left="2780"/>
        <w:spacing w:after="0"/>
        <w:rPr>
          <w:sz w:val="20"/>
          <w:szCs w:val="20"/>
          <w:color w:val="auto"/>
        </w:rPr>
      </w:pPr>
      <w:r>
        <w:rPr>
          <w:rFonts w:ascii="Times New Roman" w:cs="Times New Roman" w:eastAsia="Times New Roman" w:hAnsi="Times New Roman"/>
          <w:sz w:val="19"/>
          <w:szCs w:val="19"/>
          <w:color w:val="auto"/>
        </w:rPr>
        <w:t>JPMORGAN CHASE BANK, N.A., as Administrative Agent and as a Lender</w:t>
      </w:r>
    </w:p>
    <w:p>
      <w:pPr>
        <w:spacing w:after="0" w:line="1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Robert P. Kellas</w:t>
      </w:r>
    </w:p>
    <w:p>
      <w:pPr>
        <w:ind w:left="3040"/>
        <w:spacing w:after="0" w:line="211" w:lineRule="auto"/>
        <w:rPr>
          <w:sz w:val="20"/>
          <w:szCs w:val="20"/>
          <w:color w:val="auto"/>
        </w:rPr>
      </w:pPr>
      <w:r>
        <w:rPr>
          <w:rFonts w:ascii="Times New Roman" w:cs="Times New Roman" w:eastAsia="Times New Roman" w:hAnsi="Times New Roman"/>
          <w:sz w:val="20"/>
          <w:szCs w:val="20"/>
          <w:color w:val="auto"/>
        </w:rPr>
        <w:t>Name: Robert P. Kellas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-127000</wp:posOffset>
            </wp:positionV>
            <wp:extent cx="15913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9">
                      <a:extLst>
                        <a:ext uri="{28A0092B-C50C-407E-A947-70E740481C1C}"/>
                      </a:extLst>
                    </a:blip>
                    <a:srcRect/>
                    <a:stretch>
                      <a:fillRect/>
                    </a:stretch>
                  </pic:blipFill>
                  <pic:spPr bwMode="auto">
                    <a:xfrm>
                      <a:off x="0" y="0"/>
                      <a:ext cx="1591310" cy="8255"/>
                    </a:xfrm>
                    <a:prstGeom prst="rect">
                      <a:avLst/>
                    </a:prstGeom>
                    <a:noFill/>
                  </pic:spPr>
                </pic:pic>
              </a:graphicData>
            </a:graphic>
          </wp:anchor>
        </w:drawing>
      </w:r>
    </w:p>
    <w:p>
      <w:pPr>
        <w:ind w:left="304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Fourth Amendment</w:t>
      </w:r>
    </w:p>
    <w:p>
      <w:pPr>
        <w:sectPr>
          <w:pgSz w:w="11900" w:h="16838" w:orient="portrait"/>
          <w:cols w:equalWidth="0" w:num="1">
            <w:col w:w="9019"/>
          </w:cols>
          <w:pgMar w:left="1440" w:top="1399" w:right="1440"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Subsidiary</w:t>
            </w:r>
          </w:p>
        </w:tc>
        <w:tc>
          <w:tcPr>
            <w:tcW w:w="300" w:type="dxa"/>
            <w:vAlign w:val="bottom"/>
          </w:tcPr>
          <w:p>
            <w:pPr>
              <w:spacing w:after="0"/>
              <w:rPr>
                <w:sz w:val="19"/>
                <w:szCs w:val="19"/>
                <w:color w:val="auto"/>
              </w:rPr>
            </w:pPr>
          </w:p>
        </w:tc>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Jurisdiction of Incorporation</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30383C"/>
              </w:rPr>
              <w:t>2233516 Ontario, Inc.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30383C"/>
              </w:rPr>
              <w:t>AAA France Cars SAS</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France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 Canada Holdings I Limited Partnership</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 Canada Holdings II Partnership</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 Canada Holdings III Limited Partnership</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 Car Rental Services, Inc.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 FleetCo SAS</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France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 Funding Pty Ltd.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 Group Financial Services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 Luxembourg Holdings S.á r.l.</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Luxembourg</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 Scotland Finance I, LP</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Scotland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 Scotland Finance II, LP</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Scotland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ABG Car Services Holdings, LLC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ABG Commerce Consultancy (Shanghai) Co., Ltd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China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ABG Contact Centre EMEA S.A.</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Spain</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ABG Scandinavia Holdings AS</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Norway</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ACL Hire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Scotland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Advance Ross Corporation</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Advance Ross Intermediate Corporation</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Advance Ross Sub Company</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AE Consolidation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AE Holdco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Aegis Motor Insurance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Isle of Man</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AESOP Funding Corp.</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AESOP Leasing Corp.</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AESOP Leasing Corp. II</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AESOP Leasing L.P.</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Apex Car Rentals</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New Zealand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Apex Car Rentals Pty Ltd.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AU HoldCo Pty Ltd.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Auto Accident Consultants Pty.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Auto-Hall S.A.</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Monaco</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Africa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Alquile Un Coche SA</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Spain</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Asia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Autovermietung Beteiligungsgesellschaft mbH</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Germany</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Autovermietung Gesellschaft m.b.H.</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Belgium SA</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Belgium</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Autovermietung AG</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Switzerland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Autovermietung GmbH &amp; Co. KG</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Germany</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Autovermietung Verwaltungsgesellschaft mbH</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Germany</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Brasil S.A.</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Brazil</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Car Rental Canada ULC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Car Rental, LLC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bl>
    <w:p>
      <w:pPr>
        <w:sectPr>
          <w:pgSz w:w="11900" w:h="16838" w:orient="portrait"/>
          <w:cols w:equalWidth="0" w:num="1">
            <w:col w:w="10840"/>
          </w:cols>
          <w:pgMar w:left="720" w:top="124" w:right="33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Subsidiary</w:t>
            </w:r>
          </w:p>
        </w:tc>
        <w:tc>
          <w:tcPr>
            <w:tcW w:w="300" w:type="dxa"/>
            <w:vAlign w:val="bottom"/>
          </w:tcPr>
          <w:p>
            <w:pPr>
              <w:spacing w:after="0"/>
              <w:rPr>
                <w:sz w:val="19"/>
                <w:szCs w:val="19"/>
                <w:color w:val="auto"/>
              </w:rPr>
            </w:pPr>
          </w:p>
        </w:tc>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Jurisdiction of Incorporation</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Contact Centers, Inc.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De Puerto Rico, Inc.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Puerto Rico</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Denmark A/S</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Denmark</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EMEA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Europe International Reinsurance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Isle of Man</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Finance plc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Jersey Channel Islands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Finance, Inc.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Group Business Support Centre Szolgaltato Kft</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Hungary</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Group Contact Centre EMEA S.A.</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Spain</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Group Pty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Holdings, LLC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International Capital (Singapore) Pte. Ltd.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Singapore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International Financing S.á r.l.</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Luxembourg</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Italia S.P.A.</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Italy</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Italia S.P.A. FleetCo S.A.P.A.</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Italy</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Leasing Denmark A/S</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Denmark</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Rental Car Funding (AESOP) LLC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Services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Technology Innovations Private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India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UK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Car Rental Group, LLC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Car Sales, LLC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Car Sales UTD, LLC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Caribbean,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Europe and Middle East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Europe Group Holdings B.V.</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Netherlands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Europe Holdings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Europe Risk Management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Finance Company (No. 3)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Jersey Channel Islands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Finance Company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Financement Vehicules SAS</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France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Group Holdings, LLC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India Investments Private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India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International Holdings, LLC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International, Ltd.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Location de Voitures S.á r.l.</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Luxembourg</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Location de Voitures SAS</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France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Management Pty.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Pension Trustees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Rent A Car (Isle Of Man)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Isle of Man</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Rent A Car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New Zealand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Rent A Car Sdn. Bhd.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Malaysia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Rent A Car System, LLC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AvisBudget Group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New Zealand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Aviscar Inc.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bl>
    <w:p>
      <w:pPr>
        <w:sectPr>
          <w:pgSz w:w="11900" w:h="16838" w:orient="portrait"/>
          <w:cols w:equalWidth="0" w:num="1">
            <w:col w:w="9740"/>
          </w:cols>
          <w:pgMar w:left="720" w:top="1300" w:right="143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Subsidiary</w:t>
            </w:r>
          </w:p>
        </w:tc>
        <w:tc>
          <w:tcPr>
            <w:tcW w:w="300" w:type="dxa"/>
            <w:vAlign w:val="bottom"/>
          </w:tcPr>
          <w:p>
            <w:pPr>
              <w:spacing w:after="0"/>
              <w:rPr>
                <w:sz w:val="19"/>
                <w:szCs w:val="19"/>
                <w:color w:val="auto"/>
              </w:rPr>
            </w:pPr>
          </w:p>
        </w:tc>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Jurisdiction of Incorporation</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30383C"/>
              </w:rPr>
              <w:t>Bell'Aria S.p.A.</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Italy</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30383C"/>
              </w:rPr>
              <w:t>Budget International, Inc.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Budget Rent A Car Australia Pty. Ltd.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Budget Rent A Car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New Zealand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Budget Rent a Car Operations Pty. Ltd.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Budget Rent A Car System, Inc.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Budget Truck Rental LLC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Budgetcar Inc.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Bullas Inversiones S.L.</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Spain</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Camfox Pty. Ltd.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CCRG Servicios De Automoveis LTDA.</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Brazil</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CD Intellectual Property Holdings, LLC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Cendant Finance Holding Company LLC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Centre Point Funding, LLC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Chaconne Pty.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Constellation Reinsurance Company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Barbados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Flexcar India Private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India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Garep AG</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Switzerland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Jupol-Car Sp. z.o.o</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Poland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Maggiore Asset Management S.r.l</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Italy</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Mercury Car Rentals Private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India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Milton Location de Voitures SAS</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France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Morini SpA</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Italy</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Motorent, Inc.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Tennessee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National Car Rentals (Private)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Singapore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Payless Car Rental Canada Inc.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Payless Car Rental System, Inc.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Florida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Payless Car Rental, Inc.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Nevada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Payless Car Sales, Inc.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Florida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Payless Parking, LLC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Florida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PR Holdco, Inc.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PV Holding Corp.</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Quartx Fleet Management, Inc.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RAC Norway AS</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Norway</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SCA sas</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France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Servicios Avis S.A.</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Mexico</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Sovialma-Sociedade De Viaturas De Aluguer Da Madeira LDA</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Portugal</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Sovial-Sociedade De Viaturas De Aluguer LDA</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Portugal</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Sweden Rent A Car AB</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Sweden</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Transfercar4U AS</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Norway</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Virgin Islands Enterprises, Inc.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Virgin Islands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W.T.H. (Sub 1) Pty Ltd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W.T.H. (Sub 2)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New Zealand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W.T.H. Fleet Leasing Pty.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W.T.H. PTY.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bl>
    <w:p>
      <w:pPr>
        <w:sectPr>
          <w:pgSz w:w="11900" w:h="16838" w:orient="portrait"/>
          <w:cols w:equalWidth="0" w:num="1">
            <w:col w:w="9740"/>
          </w:cols>
          <w:pgMar w:left="720" w:top="1300" w:right="143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Subsidiary</w:t>
            </w:r>
          </w:p>
        </w:tc>
        <w:tc>
          <w:tcPr>
            <w:tcW w:w="300" w:type="dxa"/>
            <w:vAlign w:val="bottom"/>
          </w:tcPr>
          <w:p>
            <w:pPr>
              <w:spacing w:after="0"/>
              <w:rPr>
                <w:sz w:val="19"/>
                <w:szCs w:val="19"/>
                <w:color w:val="auto"/>
              </w:rPr>
            </w:pPr>
          </w:p>
        </w:tc>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Jurisdiction of Incorporation</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30383C"/>
              </w:rPr>
              <w:t>We Try Harder Pty.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30383C"/>
              </w:rPr>
              <w:t>Wizard Co., Inc.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Wizard Services, Inc.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WTH Canada, Inc.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WTH Car Rental ULC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WTH Funding Limited Partnership</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Yourway Rent A Car Pty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Zipcar Australia Pty Ltd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Zipcar, Inc.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Zipcar Canada Inc.</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Zipcar Securities Corporation</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Massachusetts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Zipcar (UK)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Zodiac Europe Finance Company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Zodiac Europe Investments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Zodiac Europe Limited</w:t>
            </w:r>
          </w:p>
        </w:tc>
        <w:tc>
          <w:tcPr>
            <w:tcW w:w="3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bl>
    <w:p>
      <w:pPr>
        <w:sectPr>
          <w:pgSz w:w="11900" w:h="16838" w:orient="portrait"/>
          <w:cols w:equalWidth="0" w:num="1">
            <w:col w:w="9740"/>
          </w:cols>
          <w:pgMar w:left="720" w:top="1300" w:right="14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We consent to the incorporation by reference in Registration Statement No. 333-253195 on Form S-3 and Registration Statement Nos. 333-78475, 333-38638, 333-58670, 333-124925, 333-144143, 333-161418, 333-197770, 333-212706 and 333-233045 on Form S-8 of our reports dated February 16, 2023, relating to the financial statements of Avis Budget Group, Inc. and the effectiveness of Avis Budget Group, Inc.’s internal control over financial reporting appearing in this Annual Report on Form 10-K of Avis Budget Group, Inc. for the year ended December 31, 2022.</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2023</w:t>
      </w:r>
    </w:p>
    <w:p>
      <w:pPr>
        <w:sectPr>
          <w:pgSz w:w="11900" w:h="16838" w:orient="portrait"/>
          <w:cols w:equalWidth="0" w:num="1">
            <w:col w:w="11240"/>
          </w:cols>
          <w:pgMar w:left="320" w:top="1417"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A. Ferraro, certify that:</w:t>
      </w:r>
    </w:p>
    <w:p>
      <w:pPr>
        <w:spacing w:after="0" w:line="171" w:lineRule="exact"/>
        <w:rPr>
          <w:sz w:val="20"/>
          <w:szCs w:val="20"/>
          <w:color w:val="auto"/>
        </w:rPr>
      </w:pPr>
    </w:p>
    <w:p>
      <w:pPr>
        <w:ind w:left="640" w:hanging="308"/>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Avis Budget Group, Inc.;</w:t>
      </w:r>
    </w:p>
    <w:p>
      <w:pPr>
        <w:spacing w:after="0" w:line="171"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20" w:hanging="328"/>
        <w:spacing w:after="0" w:line="268" w:lineRule="auto"/>
        <w:tabs>
          <w:tab w:leader="none" w:pos="6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hanging="320"/>
        <w:spacing w:after="0" w:line="268" w:lineRule="auto"/>
        <w:tabs>
          <w:tab w:leader="none" w:pos="129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8" w:val="left"/>
        </w:tabs>
        <w:numPr>
          <w:ilvl w:val="1"/>
          <w:numId w:val="10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8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320"/>
        <w:spacing w:after="0" w:line="268" w:lineRule="auto"/>
        <w:tabs>
          <w:tab w:leader="none" w:pos="129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2023</w:t>
      </w:r>
    </w:p>
    <w:p>
      <w:pPr>
        <w:spacing w:after="0" w:line="5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17780</wp:posOffset>
            </wp:positionV>
            <wp:extent cx="1534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0">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President and Chief</w:t>
      </w:r>
    </w:p>
    <w:p>
      <w:pPr>
        <w:jc w:val="center"/>
        <w:ind w:right="-39"/>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1240"/>
          </w:cols>
          <w:pgMar w:left="320" w:top="890"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Brian Choi, certify that:</w:t>
      </w:r>
    </w:p>
    <w:p>
      <w:pPr>
        <w:spacing w:after="0" w:line="171" w:lineRule="exact"/>
        <w:rPr>
          <w:sz w:val="20"/>
          <w:szCs w:val="20"/>
          <w:color w:val="auto"/>
        </w:rPr>
      </w:pPr>
    </w:p>
    <w:p>
      <w:pPr>
        <w:ind w:left="640" w:hanging="308"/>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Avis Budget Group, Inc.;</w:t>
      </w:r>
    </w:p>
    <w:p>
      <w:pPr>
        <w:spacing w:after="0" w:line="171"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20" w:hanging="328"/>
        <w:spacing w:after="0" w:line="268" w:lineRule="auto"/>
        <w:tabs>
          <w:tab w:leader="none" w:pos="6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hanging="320"/>
        <w:spacing w:after="0" w:line="268" w:lineRule="auto"/>
        <w:tabs>
          <w:tab w:leader="none" w:pos="129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1300" w:right="540" w:hanging="320"/>
        <w:spacing w:after="0" w:line="291" w:lineRule="auto"/>
        <w:tabs>
          <w:tab w:leader="none" w:pos="1298" w:val="left"/>
        </w:tabs>
        <w:numPr>
          <w:ilvl w:val="1"/>
          <w:numId w:val="10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1300" w:right="300" w:hanging="320"/>
        <w:spacing w:after="0" w:line="268" w:lineRule="auto"/>
        <w:tabs>
          <w:tab w:leader="none" w:pos="128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right="440" w:hanging="320"/>
        <w:spacing w:after="0" w:line="268" w:lineRule="auto"/>
        <w:tabs>
          <w:tab w:leader="none" w:pos="129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right="780" w:hanging="320"/>
        <w:spacing w:after="0" w:line="287" w:lineRule="auto"/>
        <w:tabs>
          <w:tab w:leader="none" w:pos="129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2023</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17780</wp:posOffset>
            </wp:positionV>
            <wp:extent cx="24517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1">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1240"/>
          </w:cols>
          <w:pgMar w:left="320" w:top="890"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connection with the Annual Report of Avis Budget Group, Inc. (the “Company”) on Form 10-K for the period ended December 31, 2022, as filed with the Securities and Exchange Commission on the date hereof (the “Report”), Joseph A. Ferraro, as Chief Executive Officer of the Company, and Brian Choi, as Chief Financial Officer of the Company, each hereby certifies, pursuant to 18 U.S.C. Section 1350, as adopted pursuant to Section 906 of the Sarbanes-Oxley Act of 2002, that, to the best of his knowledge:</w:t>
      </w:r>
    </w:p>
    <w:p>
      <w:pPr>
        <w:spacing w:after="0" w:line="176" w:lineRule="exact"/>
        <w:rPr>
          <w:sz w:val="20"/>
          <w:szCs w:val="20"/>
          <w:color w:val="auto"/>
        </w:rPr>
      </w:pPr>
    </w:p>
    <w:p>
      <w:pPr>
        <w:ind w:left="640" w:hanging="308"/>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660" w:right="20" w:hanging="328"/>
        <w:spacing w:after="0" w:line="266" w:lineRule="auto"/>
        <w:tabs>
          <w:tab w:leader="none" w:pos="65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4174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2">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A. Ferraro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16, 2023</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4174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Choi</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w:t>
      </w:r>
    </w:p>
    <w:p>
      <w:pPr>
        <w:ind w:left="20"/>
        <w:spacing w:after="0"/>
        <w:rPr>
          <w:sz w:val="20"/>
          <w:szCs w:val="20"/>
          <w:color w:val="auto"/>
        </w:rPr>
      </w:pPr>
      <w:r>
        <w:rPr>
          <w:rFonts w:ascii="Arial" w:cs="Arial" w:eastAsia="Arial" w:hAnsi="Arial"/>
          <w:sz w:val="18"/>
          <w:szCs w:val="18"/>
          <w:color w:val="auto"/>
        </w:rPr>
        <w:t>Officer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16, 2023</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C6C33A"/>
    <w:multiLevelType w:val="hybridMultilevel"/>
    <w:lvl w:ilvl="0">
      <w:lvlJc w:val="left"/>
      <w:lvlText w:val="%1"/>
      <w:numFmt w:val="decimal"/>
      <w:start w:val="12"/>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lvl w:ilvl="1">
      <w:lvlJc w:val="left"/>
      <w:lvlText w:val="◦"/>
      <w:numFmt w:val="bullet"/>
      <w:start w:val="1"/>
    </w:lvl>
  </w:abstractNum>
  <w:abstractNum w:abstractNumId="11">
    <w:nsid w:val="180115BE"/>
    <w:multiLevelType w:val="hybridMultilevel"/>
    <w:lvl w:ilvl="0">
      <w:lvlJc w:val="left"/>
      <w:lvlText w:val="•"/>
      <w:numFmt w:val="bullet"/>
      <w:start w:val="1"/>
    </w:lvl>
    <w:lvl w:ilvl="1">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lvl w:ilvl="1">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1)"/>
      <w:numFmt w:val="lowerLetter"/>
      <w:start w:val="1"/>
    </w:lvl>
  </w:abstractNum>
  <w:abstractNum w:abstractNumId="20">
    <w:nsid w:val="61574095"/>
    <w:multiLevelType w:val="hybridMultilevel"/>
    <w:lvl w:ilvl="0">
      <w:lvlJc w:val="left"/>
      <w:lvlText w:val="%1"/>
      <w:numFmt w:val="decimal"/>
      <w:start w:val="250"/>
    </w:lvl>
    <w:lvl w:ilvl="1">
      <w:lvlJc w:val="left"/>
      <w:lvlText w:val="\emdash "/>
      <w:numFmt w:val="bullet"/>
      <w:start w:val="1"/>
    </w:lvl>
  </w:abstractNum>
  <w:abstractNum w:abstractNumId="21">
    <w:nsid w:val="7E0C57B1"/>
    <w:multiLevelType w:val="hybridMultilevel"/>
    <w:lvl w:ilvl="0">
      <w:lvlJc w:val="left"/>
      <w:lvlText w:val="(%1)"/>
      <w:numFmt w:val="decimal"/>
      <w:start w:val="9"/>
    </w:lvl>
  </w:abstractNum>
  <w:abstractNum w:abstractNumId="22">
    <w:nsid w:val="77AE35EB"/>
    <w:multiLevelType w:val="hybridMultilevel"/>
    <w:lvl w:ilvl="0">
      <w:lvlJc w:val="left"/>
      <w:lvlText w:val="(%1)"/>
      <w:numFmt w:val="decimal"/>
      <w:start w:val="7"/>
    </w:lvl>
  </w:abstractNum>
  <w:abstractNum w:abstractNumId="23">
    <w:nsid w:val="579BE4F1"/>
    <w:multiLevelType w:val="hybridMultilevel"/>
    <w:lvl w:ilvl="0">
      <w:lvlJc w:val="left"/>
      <w:lvlText w:val="(%1)"/>
      <w:numFmt w:val="lowerLetter"/>
      <w:start w:val="1"/>
    </w:lvl>
  </w:abstractNum>
  <w:abstractNum w:abstractNumId="24">
    <w:nsid w:val="310C50B3"/>
    <w:multiLevelType w:val="hybridMultilevel"/>
    <w:lvl w:ilvl="0">
      <w:lvlJc w:val="left"/>
      <w:lvlText w:val="•"/>
      <w:numFmt w:val="bullet"/>
      <w:start w:val="1"/>
    </w:lvl>
    <w:lvl w:ilvl="1">
      <w:lvlJc w:val="left"/>
      <w:lvlText w:val="\endash "/>
      <w:numFmt w:val="bullet"/>
      <w:start w:val="1"/>
    </w:lvl>
  </w:abstractNum>
  <w:abstractNum w:abstractNumId="25">
    <w:nsid w:val="5FF87E05"/>
    <w:multiLevelType w:val="hybridMultilevel"/>
    <w:lvl w:ilvl="0">
      <w:lvlJc w:val="left"/>
      <w:lvlText w:val="•"/>
      <w:numFmt w:val="bullet"/>
      <w:start w:val="1"/>
    </w:lvl>
    <w:lvl w:ilvl="1">
      <w:lvlJc w:val="left"/>
      <w:lvlText w:val="\endash "/>
      <w:numFmt w:val="bullet"/>
      <w:start w:val="1"/>
    </w:lvl>
  </w:abstractNum>
  <w:abstractNum w:abstractNumId="26">
    <w:nsid w:val="2F305DEF"/>
    <w:multiLevelType w:val="hybridMultilevel"/>
    <w:lvl w:ilvl="0">
      <w:lvlJc w:val="left"/>
      <w:lvlText w:val="%1."/>
      <w:numFmt w:val="decimal"/>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1."/>
      <w:numFmt w:val="decimal"/>
      <w:start w:val="2"/>
    </w:lvl>
  </w:abstractNum>
  <w:abstractNum w:abstractNumId="29">
    <w:nsid w:val="4AD084E9"/>
    <w:multiLevelType w:val="hybridMultilevel"/>
    <w:lvl w:ilvl="0">
      <w:lvlJc w:val="left"/>
      <w:lvlText w:val="(%1)"/>
      <w:numFmt w:val="lowerLetter"/>
      <w:start w:val="1"/>
    </w:lvl>
  </w:abstractNum>
  <w:abstractNum w:abstractNumId="30">
    <w:nsid w:val="1F48EAA1"/>
    <w:multiLevelType w:val="hybridMultilevel"/>
    <w:lvl w:ilvl="0">
      <w:lvlJc w:val="left"/>
      <w:lvlText w:val="(%1)"/>
      <w:numFmt w:val="lowerRoman"/>
      <w:start w:val="1"/>
    </w:lvl>
  </w:abstractNum>
  <w:abstractNum w:abstractNumId="31">
    <w:nsid w:val="1381823A"/>
    <w:multiLevelType w:val="hybridMultilevel"/>
    <w:lvl w:ilvl="0">
      <w:lvlJc w:val="left"/>
      <w:lvlText w:val="%1."/>
      <w:numFmt w:val="decimal"/>
      <w:start w:val="3"/>
    </w:lvl>
  </w:abstractNum>
  <w:abstractNum w:abstractNumId="32">
    <w:nsid w:val="5DB70AE5"/>
    <w:multiLevelType w:val="hybridMultilevel"/>
    <w:lvl w:ilvl="0">
      <w:lvlJc w:val="left"/>
      <w:lvlText w:val="(%1)"/>
      <w:numFmt w:val="lowerLetter"/>
      <w:start w:val="1"/>
    </w:lvl>
  </w:abstractNum>
  <w:abstractNum w:abstractNumId="33">
    <w:nsid w:val="100F8FCA"/>
    <w:multiLevelType w:val="hybridMultilevel"/>
    <w:lvl w:ilvl="0">
      <w:lvlJc w:val="left"/>
      <w:lvlText w:val="(%1)"/>
      <w:numFmt w:val="lowerLetter"/>
      <w:start w:val="1"/>
    </w:lvl>
  </w:abstractNum>
  <w:abstractNum w:abstractNumId="34">
    <w:nsid w:val="6590700B"/>
    <w:multiLevelType w:val="hybridMultilevel"/>
    <w:lvl w:ilvl="0">
      <w:lvlJc w:val="left"/>
      <w:lvlText w:val="%1."/>
      <w:numFmt w:val="decimal"/>
      <w:start w:val="4"/>
    </w:lvl>
  </w:abstractNum>
  <w:abstractNum w:abstractNumId="35">
    <w:nsid w:val="15014ACB"/>
    <w:multiLevelType w:val="hybridMultilevel"/>
    <w:lvl w:ilvl="0">
      <w:lvlJc w:val="left"/>
      <w:lvlText w:val="%1"/>
      <w:numFmt w:val="decimal"/>
      <w:start w:val="1"/>
    </w:lvl>
    <w:lvl w:ilvl="1">
      <w:lvlJc w:val="left"/>
      <w:lvlText w:val="(%2)"/>
      <w:numFmt w:val="lowerLetter"/>
      <w:start w:val="1"/>
    </w:lvl>
  </w:abstractNum>
  <w:abstractNum w:abstractNumId="36">
    <w:nsid w:val="5F5E7FD0"/>
    <w:multiLevelType w:val="hybridMultilevel"/>
    <w:lvl w:ilvl="0">
      <w:lvlJc w:val="left"/>
      <w:lvlText w:val="%1."/>
      <w:numFmt w:val="decimal"/>
      <w:start w:val="5"/>
    </w:lvl>
    <w:lvl w:ilvl="1">
      <w:lvlJc w:val="left"/>
      <w:lvlText w:val="%2"/>
      <w:numFmt w:val="lowerLetter"/>
      <w:start w:val="1"/>
    </w:lvl>
  </w:abstractNum>
  <w:abstractNum w:abstractNumId="37">
    <w:nsid w:val="98A3148"/>
    <w:multiLevelType w:val="hybridMultilevel"/>
    <w:lvl w:ilvl="0">
      <w:lvlJc w:val="left"/>
      <w:lvlText w:val="(%1)"/>
      <w:numFmt w:val="lowerLetter"/>
      <w:start w:val="1"/>
    </w:lvl>
  </w:abstractNum>
  <w:abstractNum w:abstractNumId="38">
    <w:nsid w:val="799D0247"/>
    <w:multiLevelType w:val="hybridMultilevel"/>
    <w:lvl w:ilvl="0">
      <w:lvlJc w:val="left"/>
      <w:lvlText w:val="%1."/>
      <w:numFmt w:val="decimal"/>
      <w:start w:val="6"/>
    </w:lvl>
  </w:abstractNum>
  <w:abstractNum w:abstractNumId="39">
    <w:nsid w:val="6B94764"/>
    <w:multiLevelType w:val="hybridMultilevel"/>
    <w:lvl w:ilvl="0">
      <w:lvlJc w:val="left"/>
      <w:lvlText w:val="(%1)"/>
      <w:numFmt w:val="lowerLetter"/>
      <w:start w:val="1"/>
    </w:lvl>
  </w:abstractNum>
  <w:abstractNum w:abstractNumId="40">
    <w:nsid w:val="42C296BD"/>
    <w:multiLevelType w:val="hybridMultilevel"/>
    <w:lvl w:ilvl="0">
      <w:lvlJc w:val="left"/>
      <w:lvlText w:val="%1."/>
      <w:numFmt w:val="decimal"/>
      <w:start w:val="8"/>
    </w:lvl>
  </w:abstractNum>
  <w:abstractNum w:abstractNumId="41">
    <w:nsid w:val="168E121F"/>
    <w:multiLevelType w:val="hybridMultilevel"/>
    <w:lvl w:ilvl="0">
      <w:lvlJc w:val="left"/>
      <w:lvlText w:val="(%1)"/>
      <w:numFmt w:val="lowerLetter"/>
      <w:start w:val="1"/>
    </w:lvl>
  </w:abstractNum>
  <w:abstractNum w:abstractNumId="42">
    <w:nsid w:val="1EBA5D23"/>
    <w:multiLevelType w:val="hybridMultilevel"/>
    <w:lvl w:ilvl="0">
      <w:lvlJc w:val="left"/>
      <w:lvlText w:val="%1"/>
      <w:numFmt w:val="decimal"/>
      <w:start w:val="1"/>
    </w:lvl>
    <w:lvl w:ilvl="1">
      <w:lvlJc w:val="left"/>
      <w:lvlText w:val="(%2)"/>
      <w:numFmt w:val="lowerLetter"/>
      <w:start w:val="1"/>
    </w:lvl>
  </w:abstractNum>
  <w:abstractNum w:abstractNumId="43">
    <w:nsid w:val="661E3F1E"/>
    <w:multiLevelType w:val="hybridMultilevel"/>
    <w:lvl w:ilvl="0">
      <w:lvlJc w:val="left"/>
      <w:lvlText w:val="%1."/>
      <w:numFmt w:val="decimal"/>
      <w:start w:val="10"/>
    </w:lvl>
    <w:lvl w:ilvl="1">
      <w:lvlJc w:val="left"/>
      <w:lvlText w:val="%2"/>
      <w:numFmt w:val="lowerLetter"/>
      <w:start w:val="1"/>
    </w:lvl>
  </w:abstractNum>
  <w:abstractNum w:abstractNumId="44">
    <w:nsid w:val="5DC79EA8"/>
    <w:multiLevelType w:val="hybridMultilevel"/>
    <w:lvl w:ilvl="0">
      <w:lvlJc w:val="left"/>
      <w:lvlText w:val="%1."/>
      <w:numFmt w:val="decimal"/>
      <w:start w:val="13"/>
    </w:lvl>
  </w:abstractNum>
  <w:abstractNum w:abstractNumId="45">
    <w:nsid w:val="540A471C"/>
    <w:multiLevelType w:val="hybridMultilevel"/>
    <w:lvl w:ilvl="0">
      <w:lvlJc w:val="left"/>
      <w:lvlText w:val="(%1)"/>
      <w:numFmt w:val="lowerLetter"/>
      <w:start w:val="1"/>
    </w:lvl>
  </w:abstractNum>
  <w:abstractNum w:abstractNumId="46">
    <w:nsid w:val="7BD3EE7B"/>
    <w:multiLevelType w:val="hybridMultilevel"/>
    <w:lvl w:ilvl="0">
      <w:lvlJc w:val="left"/>
      <w:lvlText w:val="(%1)"/>
      <w:numFmt w:val="lowerLetter"/>
      <w:start w:val="1"/>
    </w:lvl>
  </w:abstractNum>
  <w:abstractNum w:abstractNumId="47">
    <w:nsid w:val="51D9C564"/>
    <w:multiLevelType w:val="hybridMultilevel"/>
    <w:lvl w:ilvl="0">
      <w:lvlJc w:val="left"/>
      <w:lvlText w:val="%1."/>
      <w:numFmt w:val="decimal"/>
      <w:start w:val="14"/>
    </w:lvl>
  </w:abstractNum>
  <w:abstractNum w:abstractNumId="48">
    <w:nsid w:val="613EFDC5"/>
    <w:multiLevelType w:val="hybridMultilevel"/>
    <w:lvl w:ilvl="0">
      <w:lvlJc w:val="left"/>
      <w:lvlText w:val="(%1)"/>
      <w:numFmt w:val="lowerLetter"/>
      <w:start w:val="1"/>
    </w:lvl>
  </w:abstractNum>
  <w:abstractNum w:abstractNumId="49">
    <w:nsid w:val="BF72B14"/>
    <w:multiLevelType w:val="hybridMultilevel"/>
    <w:lvl w:ilvl="0">
      <w:lvlJc w:val="left"/>
      <w:lvlText w:val="(%1)"/>
      <w:numFmt w:val="lowerLetter"/>
      <w:start w:val="1"/>
    </w:lvl>
  </w:abstractNum>
  <w:abstractNum w:abstractNumId="50">
    <w:nsid w:val="11447B73"/>
    <w:multiLevelType w:val="hybridMultilevel"/>
    <w:lvl w:ilvl="0">
      <w:lvlJc w:val="left"/>
      <w:lvlText w:val="(%1)"/>
      <w:numFmt w:val="lowerLetter"/>
      <w:start w:val="1"/>
    </w:lvl>
  </w:abstractNum>
  <w:abstractNum w:abstractNumId="51">
    <w:nsid w:val="42963E5A"/>
    <w:multiLevelType w:val="hybridMultilevel"/>
    <w:lvl w:ilvl="0">
      <w:lvlJc w:val="left"/>
      <w:lvlText w:val="%1."/>
      <w:numFmt w:val="decimal"/>
      <w:start w:val="15"/>
    </w:lvl>
  </w:abstractNum>
  <w:abstractNum w:abstractNumId="52">
    <w:nsid w:val="A0382C5"/>
    <w:multiLevelType w:val="hybridMultilevel"/>
    <w:lvl w:ilvl="0">
      <w:lvlJc w:val="left"/>
      <w:lvlText w:val="%1"/>
      <w:numFmt w:val="decimal"/>
      <w:start w:val="1"/>
    </w:lvl>
    <w:lvl w:ilvl="1">
      <w:lvlJc w:val="left"/>
      <w:lvlText w:val="(%2)"/>
      <w:numFmt w:val="lowerRoman"/>
      <w:start w:val="3"/>
    </w:lvl>
  </w:abstractNum>
  <w:abstractNum w:abstractNumId="53">
    <w:nsid w:val="8F2B15E"/>
    <w:multiLevelType w:val="hybridMultilevel"/>
    <w:lvl w:ilvl="0">
      <w:lvlJc w:val="left"/>
      <w:lvlText w:val="%1"/>
      <w:numFmt w:val="decimal"/>
      <w:start w:val="1"/>
    </w:lvl>
    <w:lvl w:ilvl="1">
      <w:lvlJc w:val="left"/>
      <w:lvlText w:val="(%2)"/>
      <w:numFmt w:val="lowerRoman"/>
      <w:start w:val="2"/>
    </w:lvl>
  </w:abstractNum>
  <w:abstractNum w:abstractNumId="54">
    <w:nsid w:val="1A32234B"/>
    <w:multiLevelType w:val="hybridMultilevel"/>
    <w:lvl w:ilvl="0">
      <w:lvlJc w:val="left"/>
      <w:lvlText w:val="%1."/>
      <w:numFmt w:val="decimal"/>
      <w:start w:val="16"/>
    </w:lvl>
    <w:lvl w:ilvl="1">
      <w:lvlJc w:val="left"/>
      <w:lvlText w:val="%2"/>
      <w:numFmt w:val="lowerRoman"/>
      <w:start w:val="1"/>
    </w:lvl>
  </w:abstractNum>
  <w:abstractNum w:abstractNumId="55">
    <w:nsid w:val="3B0FD379"/>
    <w:multiLevelType w:val="hybridMultilevel"/>
    <w:lvl w:ilvl="0">
      <w:lvlJc w:val="left"/>
      <w:lvlText w:val="%1"/>
      <w:numFmt w:val="decimal"/>
      <w:start w:val="1"/>
    </w:lvl>
    <w:lvl w:ilvl="1">
      <w:lvlJc w:val="left"/>
      <w:lvlText w:val="(%2)"/>
      <w:numFmt w:val="lowerLetter"/>
      <w:start w:val="1"/>
    </w:lvl>
  </w:abstractNum>
  <w:abstractNum w:abstractNumId="56">
    <w:nsid w:val="68EB2F63"/>
    <w:multiLevelType w:val="hybridMultilevel"/>
    <w:lvl w:ilvl="0">
      <w:lvlJc w:val="left"/>
      <w:lvlText w:val="%1."/>
      <w:numFmt w:val="decimal"/>
      <w:start w:val="17"/>
    </w:lvl>
    <w:lvl w:ilvl="1">
      <w:lvlJc w:val="left"/>
      <w:lvlText w:val="%2"/>
      <w:numFmt w:val="lowerLetter"/>
      <w:start w:val="1"/>
    </w:lvl>
  </w:abstractNum>
  <w:abstractNum w:abstractNumId="57">
    <w:nsid w:val="4962813B"/>
    <w:multiLevelType w:val="hybridMultilevel"/>
    <w:lvl w:ilvl="0">
      <w:lvlJc w:val="left"/>
      <w:lvlText w:val="%1."/>
      <w:numFmt w:val="decimal"/>
      <w:start w:val="18"/>
    </w:lvl>
  </w:abstractNum>
  <w:abstractNum w:abstractNumId="58">
    <w:nsid w:val="60B6DF70"/>
    <w:multiLevelType w:val="hybridMultilevel"/>
    <w:lvl w:ilvl="0">
      <w:lvlJc w:val="left"/>
      <w:lvlText w:val="(%1)"/>
      <w:numFmt w:val="lowerLetter"/>
      <w:start w:val="1"/>
    </w:lvl>
  </w:abstractNum>
  <w:abstractNum w:abstractNumId="59">
    <w:nsid w:val="6A5EE64"/>
    <w:multiLevelType w:val="hybridMultilevel"/>
    <w:lvl w:ilvl="0">
      <w:lvlJc w:val="left"/>
      <w:lvlText w:val="%1."/>
      <w:numFmt w:val="decimal"/>
      <w:start w:val="19"/>
    </w:lvl>
  </w:abstractNum>
  <w:abstractNum w:abstractNumId="60">
    <w:nsid w:val="14330624"/>
    <w:multiLevelType w:val="hybridMultilevel"/>
    <w:lvl w:ilvl="0">
      <w:lvlJc w:val="left"/>
      <w:lvlText w:val="(%1)"/>
      <w:numFmt w:val="lowerLetter"/>
      <w:start w:val="1"/>
    </w:lvl>
  </w:abstractNum>
  <w:abstractNum w:abstractNumId="61">
    <w:nsid w:val="7FFFCA11"/>
    <w:multiLevelType w:val="hybridMultilevel"/>
    <w:lvl w:ilvl="0">
      <w:lvlJc w:val="left"/>
      <w:lvlText w:val="%1."/>
      <w:numFmt w:val="decimal"/>
      <w:start w:val="20"/>
    </w:lvl>
  </w:abstractNum>
  <w:abstractNum w:abstractNumId="62">
    <w:nsid w:val="1A27709E"/>
    <w:multiLevelType w:val="hybridMultilevel"/>
    <w:lvl w:ilvl="0">
      <w:lvlJc w:val="left"/>
      <w:lvlText w:val="(%1)"/>
      <w:numFmt w:val="lowerLetter"/>
      <w:start w:val="1"/>
    </w:lvl>
  </w:abstractNum>
  <w:abstractNum w:abstractNumId="63">
    <w:nsid w:val="71EA1109"/>
    <w:multiLevelType w:val="hybridMultilevel"/>
    <w:lvl w:ilvl="0">
      <w:lvlJc w:val="left"/>
      <w:lvlText w:val="(%1)"/>
      <w:numFmt w:val="lowerLetter"/>
      <w:start w:val="1"/>
    </w:lvl>
  </w:abstractNum>
  <w:abstractNum w:abstractNumId="64">
    <w:nsid w:val="100F59DC"/>
    <w:multiLevelType w:val="hybridMultilevel"/>
    <w:lvl w:ilvl="0">
      <w:lvlJc w:val="left"/>
      <w:lvlText w:val="(%1)"/>
      <w:numFmt w:val="lowerLetter"/>
      <w:start w:val="1"/>
    </w:lvl>
  </w:abstractNum>
  <w:abstractNum w:abstractNumId="65">
    <w:nsid w:val="7FB7E0AA"/>
    <w:multiLevelType w:val="hybridMultilevel"/>
    <w:lvl w:ilvl="0">
      <w:lvlJc w:val="left"/>
      <w:lvlText w:val="%1"/>
      <w:numFmt w:val="decimal"/>
      <w:start w:val="1"/>
    </w:lvl>
    <w:lvl w:ilvl="1">
      <w:lvlJc w:val="left"/>
      <w:lvlText w:val="(%2)"/>
      <w:numFmt w:val="lowerLetter"/>
      <w:start w:val="1"/>
    </w:lvl>
  </w:abstractNum>
  <w:abstractNum w:abstractNumId="66">
    <w:nsid w:val="6EB5BD4"/>
    <w:multiLevelType w:val="hybridMultilevel"/>
    <w:lvl w:ilvl="0">
      <w:lvlJc w:val="left"/>
      <w:lvlText w:val="%1."/>
      <w:numFmt w:val="decimal"/>
      <w:start w:val="21"/>
    </w:lvl>
    <w:lvl w:ilvl="1">
      <w:lvlJc w:val="left"/>
      <w:lvlText w:val="%2"/>
      <w:numFmt w:val="lowerLetter"/>
      <w:start w:val="1"/>
    </w:lvl>
  </w:abstractNum>
  <w:abstractNum w:abstractNumId="67">
    <w:nsid w:val="6F6DD9AC"/>
    <w:multiLevelType w:val="hybridMultilevel"/>
    <w:lvl w:ilvl="0">
      <w:lvlJc w:val="left"/>
      <w:lvlText w:val="(%1)"/>
      <w:numFmt w:val="lowerLetter"/>
      <w:start w:val="1"/>
    </w:lvl>
  </w:abstractNum>
  <w:abstractNum w:abstractNumId="68">
    <w:nsid w:val="94211F2"/>
    <w:multiLevelType w:val="hybridMultilevel"/>
    <w:lvl w:ilvl="0">
      <w:lvlJc w:val="left"/>
      <w:lvlText w:val="(%1)"/>
      <w:numFmt w:val="lowerLetter"/>
      <w:start w:val="1"/>
    </w:lvl>
  </w:abstractNum>
  <w:abstractNum w:abstractNumId="69">
    <w:nsid w:val="885E1B"/>
    <w:multiLevelType w:val="hybridMultilevel"/>
    <w:lvl w:ilvl="0">
      <w:lvlJc w:val="left"/>
      <w:lvlText w:val="(%1)"/>
      <w:numFmt w:val="lowerLetter"/>
      <w:start w:val="1"/>
    </w:lvl>
  </w:abstractNum>
  <w:abstractNum w:abstractNumId="70">
    <w:nsid w:val="76272110"/>
    <w:multiLevelType w:val="hybridMultilevel"/>
    <w:lvl w:ilvl="0">
      <w:lvlJc w:val="left"/>
      <w:lvlText w:val="(%1)"/>
      <w:numFmt w:val="lowerLetter"/>
      <w:start w:val="2"/>
    </w:lvl>
  </w:abstractNum>
  <w:abstractNum w:abstractNumId="71">
    <w:nsid w:val="4C04A8AF"/>
    <w:multiLevelType w:val="hybridMultilevel"/>
    <w:lvl w:ilvl="0">
      <w:lvlJc w:val="left"/>
      <w:lvlText w:val="$"/>
      <w:numFmt w:val="bullet"/>
      <w:start w:val="1"/>
    </w:lvl>
  </w:abstractNum>
  <w:abstractNum w:abstractNumId="72">
    <w:nsid w:val="1716703B"/>
    <w:multiLevelType w:val="hybridMultilevel"/>
    <w:lvl w:ilvl="0">
      <w:lvlJc w:val="left"/>
      <w:lvlText w:val="$"/>
      <w:numFmt w:val="bullet"/>
      <w:start w:val="1"/>
    </w:lvl>
  </w:abstractNum>
  <w:abstractNum w:abstractNumId="73">
    <w:nsid w:val="14E17E33"/>
    <w:multiLevelType w:val="hybridMultilevel"/>
    <w:lvl w:ilvl="0">
      <w:lvlJc w:val="left"/>
      <w:lvlText w:val="$"/>
      <w:numFmt w:val="bullet"/>
      <w:start w:val="1"/>
    </w:lvl>
  </w:abstractNum>
  <w:abstractNum w:abstractNumId="74">
    <w:nsid w:val="3222E7CD"/>
    <w:multiLevelType w:val="hybridMultilevel"/>
    <w:lvl w:ilvl="0">
      <w:lvlJc w:val="left"/>
      <w:lvlText w:val="(%1)"/>
      <w:numFmt w:val="lowerLetter"/>
      <w:start w:val="3"/>
    </w:lvl>
  </w:abstractNum>
  <w:abstractNum w:abstractNumId="75">
    <w:nsid w:val="74DE0EE3"/>
    <w:multiLevelType w:val="hybridMultilevel"/>
    <w:lvl w:ilvl="0">
      <w:lvlJc w:val="left"/>
      <w:lvlText w:val="%1."/>
      <w:numFmt w:val="decimal"/>
      <w:start w:val="22"/>
    </w:lvl>
  </w:abstractNum>
  <w:abstractNum w:abstractNumId="76">
    <w:nsid w:val="68EBC550"/>
    <w:multiLevelType w:val="hybridMultilevel"/>
    <w:lvl w:ilvl="0">
      <w:lvlJc w:val="left"/>
      <w:lvlText w:val="(%1)"/>
      <w:numFmt w:val="lowerLetter"/>
      <w:start w:val="1"/>
    </w:lvl>
  </w:abstractNum>
  <w:abstractNum w:abstractNumId="77">
    <w:nsid w:val="2DF6D648"/>
    <w:multiLevelType w:val="hybridMultilevel"/>
    <w:lvl w:ilvl="0">
      <w:lvlJc w:val="left"/>
      <w:lvlText w:val="*"/>
      <w:numFmt w:val="bullet"/>
      <w:start w:val="1"/>
    </w:lvl>
  </w:abstractNum>
  <w:abstractNum w:abstractNumId="78">
    <w:nsid w:val="46B7D447"/>
    <w:multiLevelType w:val="hybridMultilevel"/>
    <w:lvl w:ilvl="0">
      <w:lvlJc w:val="left"/>
      <w:lvlText w:val="**"/>
      <w:numFmt w:val="bullet"/>
      <w:start w:val="1"/>
    </w:lvl>
  </w:abstractNum>
  <w:abstractNum w:abstractNumId="79">
    <w:nsid w:val="4A2AC315"/>
    <w:multiLevelType w:val="hybridMultilevel"/>
    <w:lvl w:ilvl="0">
      <w:lvlJc w:val="left"/>
      <w:lvlText w:val="***"/>
      <w:numFmt w:val="bullet"/>
      <w:start w:val="1"/>
    </w:lvl>
  </w:abstractNum>
  <w:abstractNum w:abstractNumId="80">
    <w:nsid w:val="39EE015C"/>
    <w:multiLevelType w:val="hybridMultilevel"/>
    <w:lvl w:ilvl="0">
      <w:lvlJc w:val="left"/>
      <w:lvlText w:val="****"/>
      <w:numFmt w:val="bullet"/>
      <w:start w:val="1"/>
    </w:lvl>
  </w:abstractNum>
  <w:abstractNum w:abstractNumId="81">
    <w:nsid w:val="57FC4FBB"/>
    <w:multiLevelType w:val="hybridMultilevel"/>
    <w:lvl w:ilvl="0">
      <w:lvlJc w:val="left"/>
      <w:lvlText w:val="†"/>
      <w:numFmt w:val="bullet"/>
      <w:start w:val="1"/>
    </w:lvl>
  </w:abstractNum>
  <w:abstractNum w:abstractNumId="82">
    <w:nsid w:val="CC1016F"/>
    <w:multiLevelType w:val="hybridMultilevel"/>
    <w:lvl w:ilvl="0">
      <w:lvlJc w:val="left"/>
      <w:lvlText w:val="††"/>
      <w:numFmt w:val="bullet"/>
      <w:start w:val="1"/>
    </w:lvl>
  </w:abstractNum>
  <w:abstractNum w:abstractNumId="83">
    <w:nsid w:val="43F18422"/>
    <w:multiLevelType w:val="hybridMultilevel"/>
    <w:lvl w:ilvl="0">
      <w:lvlJc w:val="left"/>
      <w:lvlText w:val="(%1)"/>
      <w:numFmt w:val="lowerLetter"/>
      <w:start w:val="1"/>
    </w:lvl>
  </w:abstractNum>
  <w:abstractNum w:abstractNumId="84">
    <w:nsid w:val="60EF0119"/>
    <w:multiLevelType w:val="hybridMultilevel"/>
    <w:lvl w:ilvl="0">
      <w:lvlJc w:val="left"/>
      <w:lvlText w:val="•"/>
      <w:numFmt w:val="bullet"/>
      <w:start w:val="1"/>
    </w:lvl>
  </w:abstractNum>
  <w:abstractNum w:abstractNumId="85">
    <w:nsid w:val="26F324BA"/>
    <w:multiLevelType w:val="hybridMultilevel"/>
    <w:lvl w:ilvl="0">
      <w:lvlJc w:val="left"/>
      <w:lvlText w:val="%1."/>
      <w:numFmt w:val="lowerLetter"/>
      <w:start w:val="1"/>
    </w:lvl>
  </w:abstractNum>
  <w:abstractNum w:abstractNumId="86">
    <w:nsid w:val="7F01579B"/>
    <w:multiLevelType w:val="hybridMultilevel"/>
    <w:lvl w:ilvl="0">
      <w:lvlJc w:val="left"/>
      <w:lvlText w:val="%1)"/>
      <w:numFmt w:val="lowerLetter"/>
      <w:start w:val="1"/>
    </w:lvl>
  </w:abstractNum>
  <w:abstractNum w:abstractNumId="87">
    <w:nsid w:val="49DA307D"/>
    <w:multiLevelType w:val="hybridMultilevel"/>
    <w:lvl w:ilvl="0">
      <w:lvlJc w:val="left"/>
      <w:lvlText w:val="(%1)"/>
      <w:numFmt w:val="decimal"/>
      <w:start w:val="60"/>
    </w:lvl>
  </w:abstractNum>
  <w:abstractNum w:abstractNumId="88">
    <w:nsid w:val="7055A5F5"/>
    <w:multiLevelType w:val="hybridMultilevel"/>
    <w:lvl w:ilvl="0">
      <w:lvlJc w:val="left"/>
      <w:lvlText w:val="(%1)"/>
      <w:numFmt w:val="lowerLetter"/>
      <w:start w:val="1"/>
    </w:lvl>
  </w:abstractNum>
  <w:abstractNum w:abstractNumId="89">
    <w:nsid w:val="5FB8370B"/>
    <w:multiLevelType w:val="hybridMultilevel"/>
    <w:lvl w:ilvl="0">
      <w:lvlJc w:val="left"/>
      <w:lvlText w:val="(%1)"/>
      <w:numFmt w:val="decimal"/>
      <w:start w:val="1"/>
    </w:lvl>
  </w:abstractNum>
  <w:abstractNum w:abstractNumId="90">
    <w:nsid w:val="50801EE1"/>
    <w:multiLevelType w:val="hybridMultilevel"/>
    <w:lvl w:ilvl="0">
      <w:lvlJc w:val="left"/>
      <w:lvlText w:val="(%1)"/>
      <w:numFmt w:val="lowerLetter"/>
      <w:start w:val="1"/>
    </w:lvl>
  </w:abstractNum>
  <w:abstractNum w:abstractNumId="91">
    <w:nsid w:val="488AC1A"/>
    <w:multiLevelType w:val="hybridMultilevel"/>
    <w:lvl w:ilvl="0">
      <w:lvlJc w:val="left"/>
      <w:lvlText w:val="&amp;"/>
      <w:numFmt w:val="bullet"/>
      <w:start w:val="1"/>
    </w:lvl>
  </w:abstractNum>
  <w:abstractNum w:abstractNumId="92">
    <w:nsid w:val="5FB8011C"/>
    <w:multiLevelType w:val="hybridMultilevel"/>
    <w:lvl w:ilvl="0">
      <w:lvlJc w:val="left"/>
      <w:lvlText w:val="(%1)"/>
      <w:numFmt w:val="lowerLetter"/>
      <w:start w:val="1"/>
    </w:lvl>
  </w:abstractNum>
  <w:abstractNum w:abstractNumId="93">
    <w:nsid w:val="6AA78F7F"/>
    <w:multiLevelType w:val="hybridMultilevel"/>
    <w:lvl w:ilvl="0">
      <w:lvlJc w:val="left"/>
      <w:lvlText w:val="%1."/>
      <w:numFmt w:val="decimal"/>
      <w:start w:val="1"/>
    </w:lvl>
  </w:abstractNum>
  <w:abstractNum w:abstractNumId="94">
    <w:nsid w:val="7672BD23"/>
    <w:multiLevelType w:val="hybridMultilevel"/>
    <w:lvl w:ilvl="0">
      <w:lvlJc w:val="left"/>
      <w:lvlText w:val="(%1)"/>
      <w:numFmt w:val="lowerLetter"/>
      <w:start w:val="1"/>
    </w:lvl>
  </w:abstractNum>
  <w:abstractNum w:abstractNumId="95">
    <w:nsid w:val="6FC75AF8"/>
    <w:multiLevelType w:val="hybridMultilevel"/>
    <w:lvl w:ilvl="0">
      <w:lvlJc w:val="left"/>
      <w:lvlText w:val="(%1)"/>
      <w:numFmt w:val="lowerLetter"/>
      <w:start w:val="2"/>
    </w:lvl>
  </w:abstractNum>
  <w:abstractNum w:abstractNumId="96">
    <w:nsid w:val="6A5F7029"/>
    <w:multiLevelType w:val="hybridMultilevel"/>
    <w:lvl w:ilvl="0">
      <w:lvlJc w:val="left"/>
      <w:lvlText w:val="(%1)"/>
      <w:numFmt w:val="lowerLetter"/>
      <w:start w:val="1"/>
    </w:lvl>
  </w:abstractNum>
  <w:abstractNum w:abstractNumId="97">
    <w:nsid w:val="7D5E18F8"/>
    <w:multiLevelType w:val="hybridMultilevel"/>
    <w:lvl w:ilvl="0">
      <w:lvlJc w:val="left"/>
      <w:lvlText w:val="(%1)"/>
      <w:numFmt w:val="decimal"/>
      <w:start w:val="3"/>
    </w:lvl>
  </w:abstractNum>
  <w:abstractNum w:abstractNumId="98">
    <w:nsid w:val="5F3534A4"/>
    <w:multiLevelType w:val="hybridMultilevel"/>
    <w:lvl w:ilvl="0">
      <w:lvlJc w:val="left"/>
      <w:lvlText w:val="(%1)"/>
      <w:numFmt w:val="lowerLetter"/>
      <w:start w:val="1"/>
    </w:lvl>
  </w:abstractNum>
  <w:abstractNum w:abstractNumId="99">
    <w:nsid w:val="73A1821B"/>
    <w:multiLevelType w:val="hybridMultilevel"/>
    <w:lvl w:ilvl="0">
      <w:lvlJc w:val="left"/>
      <w:lvlText w:val="(%1)"/>
      <w:numFmt w:val="lowerLetter"/>
      <w:start w:val="2"/>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lvl w:ilvl="1">
      <w:lvlJc w:val="left"/>
      <w:lvlText w:val="%2)"/>
      <w:numFmt w:val="lowerLetter"/>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89" Type="http://schemas.openxmlformats.org/officeDocument/2006/relationships/image" Target="media/image163.png"/><Relationship Id="rId209" Type="http://schemas.openxmlformats.org/officeDocument/2006/relationships/image" Target="media/image164.png"/><Relationship Id="rId225" Type="http://schemas.openxmlformats.org/officeDocument/2006/relationships/image" Target="media/image165.png"/><Relationship Id="rId241" Type="http://schemas.openxmlformats.org/officeDocument/2006/relationships/image" Target="media/image166.png"/><Relationship Id="rId258" Type="http://schemas.openxmlformats.org/officeDocument/2006/relationships/image" Target="media/image167.png"/><Relationship Id="rId259" Type="http://schemas.openxmlformats.org/officeDocument/2006/relationships/image" Target="media/image168.jpeg"/><Relationship Id="rId260" Type="http://schemas.openxmlformats.org/officeDocument/2006/relationships/image" Target="media/image169.png"/><Relationship Id="rId261" Type="http://schemas.openxmlformats.org/officeDocument/2006/relationships/image" Target="media/image170.png"/><Relationship Id="rId262" Type="http://schemas.openxmlformats.org/officeDocument/2006/relationships/image" Target="media/image171.jpeg"/><Relationship Id="rId263" Type="http://schemas.openxmlformats.org/officeDocument/2006/relationships/image" Target="media/image172.png"/><Relationship Id="rId264" Type="http://schemas.openxmlformats.org/officeDocument/2006/relationships/image" Target="media/image173.png"/><Relationship Id="rId265" Type="http://schemas.openxmlformats.org/officeDocument/2006/relationships/image" Target="media/image174.png"/><Relationship Id="rId266" Type="http://schemas.openxmlformats.org/officeDocument/2006/relationships/image" Target="media/image175.png"/><Relationship Id="rId267" Type="http://schemas.openxmlformats.org/officeDocument/2006/relationships/image" Target="media/image176.png"/><Relationship Id="rId268" Type="http://schemas.openxmlformats.org/officeDocument/2006/relationships/image" Target="media/image177.png"/><Relationship Id="rId269" Type="http://schemas.openxmlformats.org/officeDocument/2006/relationships/image" Target="media/image178.png"/><Relationship Id="rId270" Type="http://schemas.openxmlformats.org/officeDocument/2006/relationships/image" Target="media/image179.png"/><Relationship Id="rId271" Type="http://schemas.openxmlformats.org/officeDocument/2006/relationships/image" Target="media/image180.png"/><Relationship Id="rId272" Type="http://schemas.openxmlformats.org/officeDocument/2006/relationships/image" Target="media/image181.png"/><Relationship Id="rId273" Type="http://schemas.openxmlformats.org/officeDocument/2006/relationships/image" Target="media/image182.png"/><Relationship Id="rId170" Type="http://schemas.openxmlformats.org/officeDocument/2006/relationships/hyperlink" Target="http://www.sec.gov/Archives/edgar/data/723612/000119312506158308/dex21.htm" TargetMode="External"/><Relationship Id="rId171" Type="http://schemas.openxmlformats.org/officeDocument/2006/relationships/hyperlink" Target="http://www.sec.gov/Archives/edgar/data/723612/000119312507175647/dex22.htm" TargetMode="External"/><Relationship Id="rId172" Type="http://schemas.openxmlformats.org/officeDocument/2006/relationships/hyperlink" Target="http://www.sec.gov/Archives/edgar/data/723612/000072361206000058/articles.htm" TargetMode="External"/><Relationship Id="rId173" Type="http://schemas.openxmlformats.org/officeDocument/2006/relationships/hyperlink" Target="http://www.sec.gov/Archives/edgar/data/723612/000119312520218349/d84038dex32.htm" TargetMode="External"/><Relationship Id="rId174" Type="http://schemas.openxmlformats.org/officeDocument/2006/relationships/hyperlink" Target="http://www.sec.gov/Archives/edgar/data/723612/000072361216000350/exhibit41indenture.htm" TargetMode="External"/><Relationship Id="rId175" Type="http://schemas.openxmlformats.org/officeDocument/2006/relationships/hyperlink" Target="http://www.sec.gov/Archives/edgar/data/723612/000072361217000076/exhibit42-indenture450seni.htm" TargetMode="External"/><Relationship Id="rId176" Type="http://schemas.openxmlformats.org/officeDocument/2006/relationships/hyperlink" Target="http://www.sec.gov/Archives/edgar/data/723612/000072361218000113/exhibit41avisbudgetfinance.htm" TargetMode="External"/><Relationship Id="rId177" Type="http://schemas.openxmlformats.org/officeDocument/2006/relationships/hyperlink" Target="http://www.sec.gov/Archives/edgar/data/723612/000072361219000112/exhibit41-indenturex57.htm" TargetMode="External"/><Relationship Id="rId178" Type="http://schemas.openxmlformats.org/officeDocument/2006/relationships/hyperlink" Target="http://www.sec.gov/Archives/edgar/data/0000723612/000119312520213522/d11524dex41.htm" TargetMode="External"/><Relationship Id="rId179" Type="http://schemas.openxmlformats.org/officeDocument/2006/relationships/hyperlink" Target="http://www.sec.gov/Archives/edgar/data/0000723612/000119312521063570/d22737dex41.htm" TargetMode="External"/><Relationship Id="rId180" Type="http://schemas.openxmlformats.org/officeDocument/2006/relationships/hyperlink" Target="http://www.sec.gov/Archives/edgar/data/0000723612/000119312521091360/d159419dex41.htm" TargetMode="External"/><Relationship Id="rId181" Type="http://schemas.openxmlformats.org/officeDocument/2006/relationships/hyperlink" Target="http://www.sec.gov/Archives/edgar/data/723612/000072361222000006/exhibit48-descriptionofreg.htm" TargetMode="External"/><Relationship Id="rId182" Type="http://schemas.openxmlformats.org/officeDocument/2006/relationships/hyperlink" Target="http://www.sec.gov/Archives/edgar/data/723612/000072361216000244/exhibit105-ferraroemployme.htm" TargetMode="External"/><Relationship Id="rId183" Type="http://schemas.openxmlformats.org/officeDocument/2006/relationships/hyperlink" Target="http://www.sec.gov/Archives/edgar/data/723612/000072361220000011/exhibit108-abgexecutiv.htm" TargetMode="External"/><Relationship Id="rId184" Type="http://schemas.openxmlformats.org/officeDocument/2006/relationships/hyperlink" Target="http://www.sec.gov/Archives/edgar/data/723612/000072361220000011/exhibit109-krseverance.htm" TargetMode="External"/><Relationship Id="rId185" Type="http://schemas.openxmlformats.org/officeDocument/2006/relationships/hyperlink" Target="http://www.sec.gov/Archives/edgar/data/723612/000072361220000011/exhibit1010-employment.htm" TargetMode="External"/><Relationship Id="rId186" Type="http://schemas.openxmlformats.org/officeDocument/2006/relationships/hyperlink" Target="http://www.sec.gov/Archives/edgar/data/723612/000119312520218349/d84038dex102.htm" TargetMode="External"/><Relationship Id="rId187" Type="http://schemas.openxmlformats.org/officeDocument/2006/relationships/hyperlink" Target="http://www.sec.gov/Archives/edgar/data/723612/000072361222000006/exhibit106vereshsitaofferl.htm" TargetMode="External"/><Relationship Id="rId188" Type="http://schemas.openxmlformats.org/officeDocument/2006/relationships/hyperlink" Target="http://www.sec.gov/Archives/edgar/data/723612/000095014222001473/eh220233563_ex1001.htm" TargetMode="External"/><Relationship Id="rId190" Type="http://schemas.openxmlformats.org/officeDocument/2006/relationships/hyperlink" Target="http://www.sec.gov/Archives/edgar/data/723612/000119312520316997/d33545dex101.htm" TargetMode="External"/><Relationship Id="rId191" Type="http://schemas.openxmlformats.org/officeDocument/2006/relationships/hyperlink" Target="http://www.sec.gov/Archives/edgar/data/723612/000095014222003481/eh220316264_ex1001.htm" TargetMode="External"/><Relationship Id="rId192" Type="http://schemas.openxmlformats.org/officeDocument/2006/relationships/hyperlink" Target="http://www.sec.gov/Archives/edgar/data/0000723612/000120677419001054/avis3494471-def14a.htm" TargetMode="External"/><Relationship Id="rId193" Type="http://schemas.openxmlformats.org/officeDocument/2006/relationships/hyperlink" Target="http://www.sec.gov/Archives/edgar/data/0000723612/000072361221000064/amendmenttoarequityplanoct.htm" TargetMode="External"/><Relationship Id="rId194" Type="http://schemas.openxmlformats.org/officeDocument/2006/relationships/hyperlink" Target="http://www.sec.gov/Archives/edgar/data/0000723612/000072361219000025/formofrsuaward.htm" TargetMode="External"/><Relationship Id="rId195" Type="http://schemas.openxmlformats.org/officeDocument/2006/relationships/hyperlink" Target="http://www.sec.gov/Archives/edgar/data/723612/000072361219000025/formofperformanceaward.htm" TargetMode="External"/><Relationship Id="rId196" Type="http://schemas.openxmlformats.org/officeDocument/2006/relationships/hyperlink" Target="http://www.sec.gov/Archives/edgar/data/723612/000072361219000025/formofdirectoraward.htm" TargetMode="External"/><Relationship Id="rId197" Type="http://schemas.openxmlformats.org/officeDocument/2006/relationships/hyperlink" Target="http://www.sec.gov/Archives/edgar/data/723612/000072361219000025/formofseveranceagmt.htm" TargetMode="External"/><Relationship Id="rId198" Type="http://schemas.openxmlformats.org/officeDocument/2006/relationships/hyperlink" Target="http://www.sec.gov/Archives/edgar/data/723612/000072361219000025/directorplan.htm" TargetMode="External"/><Relationship Id="rId199" Type="http://schemas.openxmlformats.org/officeDocument/2006/relationships/hyperlink" Target="http://www.sec.gov/Archives/edgar/data/723612/000119312509039260/dex1018.htm" TargetMode="External"/><Relationship Id="rId200" Type="http://schemas.openxmlformats.org/officeDocument/2006/relationships/hyperlink" Target="http://www.sec.gov/Archives/edgar/data/723612/000072361219000025/avisrentacarpension.htm" TargetMode="External"/><Relationship Id="rId201" Type="http://schemas.openxmlformats.org/officeDocument/2006/relationships/hyperlink" Target="http://www.sec.gov/Archives/edgar/data/723612/000072361205000004/financialservicespolicy.htm" TargetMode="External"/><Relationship Id="rId202" Type="http://schemas.openxmlformats.org/officeDocument/2006/relationships/hyperlink" Target="http://www.sec.gov/Archives/edgar/data/723612/000119312506158308/dex102.htm" TargetMode="External"/><Relationship Id="rId203" Type="http://schemas.openxmlformats.org/officeDocument/2006/relationships/hyperlink" Target="http://www.sec.gov/Archives/edgar/data/723612/000119312508170083/dex104.htm" TargetMode="External"/><Relationship Id="rId204" Type="http://schemas.openxmlformats.org/officeDocument/2006/relationships/hyperlink" Target="http://www.sec.gov/Archives/edgar/data/723612/000095012304009102/y99348exv10w7.htm" TargetMode="External"/><Relationship Id="rId205" Type="http://schemas.openxmlformats.org/officeDocument/2006/relationships/hyperlink" Target="http://www.sec.gov/Archives/edgar/data/723612/000072361206000002/exhibit-1.htm" TargetMode="External"/><Relationship Id="rId206" Type="http://schemas.openxmlformats.org/officeDocument/2006/relationships/hyperlink" Target="http://www.sec.gov/Archives/edgar/data/723612/000119312507175647/dex106.htm" TargetMode="External"/><Relationship Id="rId207" Type="http://schemas.openxmlformats.org/officeDocument/2006/relationships/hyperlink" Target="http://www.sec.gov/Archives/edgar/data/723612/000072361214000041/exhibit1035csupplementalin.htm" TargetMode="External"/><Relationship Id="rId208" Type="http://schemas.openxmlformats.org/officeDocument/2006/relationships/hyperlink" Target="http://www.sec.gov/Archives/edgar/data/723612/000095012304009102/y99348exv10w8.htm" TargetMode="External"/><Relationship Id="rId210" Type="http://schemas.openxmlformats.org/officeDocument/2006/relationships/hyperlink" Target="http://www.sec.gov/Archives/edgar/data/723612/000072361206000002/exhibit-2.htm" TargetMode="External"/><Relationship Id="rId211" Type="http://schemas.openxmlformats.org/officeDocument/2006/relationships/hyperlink" Target="http://www.sec.gov/Archives/edgar/data/723612/000119312507175647/dex108.htm" TargetMode="External"/><Relationship Id="rId212" Type="http://schemas.openxmlformats.org/officeDocument/2006/relationships/hyperlink" Target="http://www.sec.gov/Archives/edgar/data/723612/000072361214000041/exhibit1036cthirdamendment.htm" TargetMode="External"/><Relationship Id="rId213" Type="http://schemas.openxmlformats.org/officeDocument/2006/relationships/hyperlink" Target="http://www.sec.gov/Archives/edgar/data/723612/000072361222000051/exhibit102-fourthamendment.htm" TargetMode="External"/><Relationship Id="rId214" Type="http://schemas.openxmlformats.org/officeDocument/2006/relationships/hyperlink" Target="http://www.sec.gov/Archives/edgar/data/723612/000119312507044472/dex1029a.htm" TargetMode="External"/><Relationship Id="rId215" Type="http://schemas.openxmlformats.org/officeDocument/2006/relationships/hyperlink" Target="http://www.sec.gov/Archives/edgar/data/723612/000119312507044472/dex1029b.htm" TargetMode="External"/><Relationship Id="rId216" Type="http://schemas.openxmlformats.org/officeDocument/2006/relationships/hyperlink" Target="http://www.sec.gov/Archives/edgar/data/723612/000119312507175647/dex107.htm" TargetMode="External"/><Relationship Id="rId217" Type="http://schemas.openxmlformats.org/officeDocument/2006/relationships/hyperlink" Target="http://www.sec.gov/Archives/edgar/data/723612/000072361214000041/exhibit1037cthirdamendment.htm" TargetMode="External"/><Relationship Id="rId218" Type="http://schemas.openxmlformats.org/officeDocument/2006/relationships/hyperlink" Target="http://www.sec.gov/Archives/edgar/data/723612/000072361222000051/exhibit105-fourthamendment.htm" TargetMode="External"/><Relationship Id="rId219" Type="http://schemas.openxmlformats.org/officeDocument/2006/relationships/hyperlink" Target="http://www.sec.gov/Archives/edgar/data/723612/000095012304009102/y99348exv10w9.htm" TargetMode="External"/><Relationship Id="rId220" Type="http://schemas.openxmlformats.org/officeDocument/2006/relationships/hyperlink" Target="http://www.sec.gov/Archives/edgar/data/723612/000072361206000002/exhibit-3.htm" TargetMode="External"/><Relationship Id="rId221" Type="http://schemas.openxmlformats.org/officeDocument/2006/relationships/hyperlink" Target="http://www.sec.gov/Archives/edgar/data/723612/000119312507175647/dex109.htm" TargetMode="External"/><Relationship Id="rId222" Type="http://schemas.openxmlformats.org/officeDocument/2006/relationships/hyperlink" Target="http://www.sec.gov/Archives/edgar/data/723612/000072361214000041/exhibit1038cfourthamendmen.htm" TargetMode="External"/><Relationship Id="rId223" Type="http://schemas.openxmlformats.org/officeDocument/2006/relationships/hyperlink" Target="http://www.sec.gov/Archives/edgar/data/723612/000072361222000051/exhibit103-fifthamendmentt.htm" TargetMode="External"/><Relationship Id="rId224" Type="http://schemas.openxmlformats.org/officeDocument/2006/relationships/hyperlink" Target="http://www.sec.gov/Archives/edgar/data/723612/000119312507044472/dex1030a.htm" TargetMode="External"/><Relationship Id="rId226" Type="http://schemas.openxmlformats.org/officeDocument/2006/relationships/hyperlink" Target="http://www.sec.gov/Archives/edgar/data/723612/000119312507044472/dex1030b.htm" TargetMode="External"/><Relationship Id="rId227" Type="http://schemas.openxmlformats.org/officeDocument/2006/relationships/hyperlink" Target="http://www.sec.gov/Archives/edgar/data/723612/000119312507175647/dex1011.htm" TargetMode="External"/><Relationship Id="rId228" Type="http://schemas.openxmlformats.org/officeDocument/2006/relationships/hyperlink" Target="http://www.sec.gov/Archives/edgar/data/723612/000072361214000041/exhibit1039cfourthamendmen.htm" TargetMode="External"/><Relationship Id="rId229" Type="http://schemas.openxmlformats.org/officeDocument/2006/relationships/hyperlink" Target="http://www.sec.gov/Archives/edgar/data/723612/000072361222000051/exhibit104-fifthamendmentt.htm" TargetMode="External"/><Relationship Id="rId230" Type="http://schemas.openxmlformats.org/officeDocument/2006/relationships/hyperlink" Target="http://www.sec.gov/Archives/edgar/data/723612/000072361213000018/exhibit101aesopioperatingsu.htm" TargetMode="External"/><Relationship Id="rId231" Type="http://schemas.openxmlformats.org/officeDocument/2006/relationships/hyperlink" Target="http://www.sec.gov/Archives/edgar/data/723612/000095012306002437/y17817exv10w34.htm" TargetMode="External"/><Relationship Id="rId232" Type="http://schemas.openxmlformats.org/officeDocument/2006/relationships/hyperlink" Target="http://www.sec.gov/Archives/edgar/data/723612/000072361214000041/exhibit1041afirstamendment.htm" TargetMode="External"/><Relationship Id="rId233" Type="http://schemas.openxmlformats.org/officeDocument/2006/relationships/hyperlink" Target="http://www.sec.gov/Archives/edgar/data/723612/000095014222001417/eh220244714_ex1002.htm" TargetMode="External"/><Relationship Id="rId234" Type="http://schemas.openxmlformats.org/officeDocument/2006/relationships/hyperlink" Target="http://www.sec.gov/Archives/edgar/data/723612/000095014222001417/eh220244714_ex1003.htm" TargetMode="External"/><Relationship Id="rId235" Type="http://schemas.openxmlformats.org/officeDocument/2006/relationships/hyperlink" Target="http://www.sec.gov/Archives/edgar/data/723612/000072361217000067/exhibit101to8-kforaesop201.htm" TargetMode="External"/><Relationship Id="rId236" Type="http://schemas.openxmlformats.org/officeDocument/2006/relationships/hyperlink" Target="http://www.sec.gov/Archives/edgar/data/723612/000095014222001871/eh220256619_ex1003.htm" TargetMode="External"/><Relationship Id="rId237" Type="http://schemas.openxmlformats.org/officeDocument/2006/relationships/hyperlink" Target="http://www.sec.gov/Archives/edgar/data/723612/000095014222001871/eh220256619_ex1004.htm" TargetMode="External"/><Relationship Id="rId238" Type="http://schemas.openxmlformats.org/officeDocument/2006/relationships/hyperlink" Target="http://www.sec.gov/Archives/edgar/data/0000723612/000119312521197313/d168700dex101.htm" TargetMode="External"/><Relationship Id="rId239" Type="http://schemas.openxmlformats.org/officeDocument/2006/relationships/hyperlink" Target="http://www.sec.gov/Archives/edgar/data/723612/000072361219000017/aesop2019i-1supplement.htm" TargetMode="External"/><Relationship Id="rId240" Type="http://schemas.openxmlformats.org/officeDocument/2006/relationships/hyperlink" Target="http://www.sec.gov/Archives/edgar/data/0000723612/000119312521197313/d168700dex102.htm" TargetMode="External"/><Relationship Id="rId242" Type="http://schemas.openxmlformats.org/officeDocument/2006/relationships/hyperlink" Target="http://www.sec.gov/Archives/edgar/data/723612/000095014222001871/eh220256619_ex1002.htm" TargetMode="External"/><Relationship Id="rId243" Type="http://schemas.openxmlformats.org/officeDocument/2006/relationships/hyperlink" Target="http://www.sec.gov/Archives/edgar/data/0000723612/000119312521197313/d168700dex103.htm" TargetMode="External"/><Relationship Id="rId244" Type="http://schemas.openxmlformats.org/officeDocument/2006/relationships/hyperlink" Target="http://www.sec.gov/Archives/edgar/data/723612/000119312520220383/d109512dex101.htm" TargetMode="External"/><Relationship Id="rId245" Type="http://schemas.openxmlformats.org/officeDocument/2006/relationships/hyperlink" Target="http://www.sec.gov/Archives/edgar/data/0000723612/000119312521169321/d166440dex101.htm" TargetMode="External"/><Relationship Id="rId246" Type="http://schemas.openxmlformats.org/officeDocument/2006/relationships/hyperlink" Target="http://www.sec.gov/Archives/edgar/data/0000723612/000119312521335185/d233170dex101.htm" TargetMode="External"/><Relationship Id="rId247" Type="http://schemas.openxmlformats.org/officeDocument/2006/relationships/hyperlink" Target="http://www.sec.gov/Archives/edgar/data/723612/000095014222001417/eh220244714_ex1001.htm" TargetMode="External"/><Relationship Id="rId248" Type="http://schemas.openxmlformats.org/officeDocument/2006/relationships/hyperlink" Target="http://www.sec.gov/Archives/edgar/data/723612/000095014222001871/eh220256619_ex1001.htm" TargetMode="External"/><Relationship Id="rId249" Type="http://schemas.openxmlformats.org/officeDocument/2006/relationships/hyperlink" Target="http://www.sec.gov/Archives/edgar/data/723612/000095014222002300/eh220272511_ex1001.htm" TargetMode="External"/><Relationship Id="rId250" Type="http://schemas.openxmlformats.org/officeDocument/2006/relationships/hyperlink" Target="http://www.sec.gov/Archives/edgar/data/723612/000095014222002300/eh220272511_ex1002.htm" TargetMode="External"/><Relationship Id="rId251" Type="http://schemas.openxmlformats.org/officeDocument/2006/relationships/hyperlink" Target="http://www.sec.gov/Archives/edgar/data/723612/000095014222003287/eh220307786_ex1001.htm" TargetMode="External"/><Relationship Id="rId252" Type="http://schemas.openxmlformats.org/officeDocument/2006/relationships/hyperlink" Target="http://www.sec.gov/Archives/edgar/data/723612/000095014223000177/eh230319711_ex1001.htm" TargetMode="External"/><Relationship Id="rId253" Type="http://schemas.openxmlformats.org/officeDocument/2006/relationships/hyperlink" Target="http://www.sec.gov/Archives/edgar/data/723612/000095014223000177/eh230319711_ex1002.htm" TargetMode="External"/><Relationship Id="rId254" Type="http://schemas.openxmlformats.org/officeDocument/2006/relationships/hyperlink" Target="http://www.sec.gov/Archives/edgar/data/0000723612/000119312521214124/d353521dex101.htm" TargetMode="External"/><Relationship Id="rId255" Type="http://schemas.openxmlformats.org/officeDocument/2006/relationships/hyperlink" Target="http://www.sec.gov/Archives/edgar/data/723612/000119312522085353/d330835dex102.htm" TargetMode="External"/><Relationship Id="rId256" Type="http://schemas.openxmlformats.org/officeDocument/2006/relationships/hyperlink" Target="http://www.sec.gov/Archives/edgar/data/723612/000119312522085353/d330835dex101.htm" TargetMode="External"/><Relationship Id="rId257" Type="http://schemas.openxmlformats.org/officeDocument/2006/relationships/hyperlink" Target="http://www.sec.gov/Archives/edgar/data/723612/000072361222000051/exhibit101-thirdamendment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2023-02-16T07:23:10Z</dcterms:created>
  <dcterms:modified xsi:type="dcterms:W3CDTF">2023-02-16T07:23:10Z</dcterms:modified>
</cp:coreProperties>
</file>