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354965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4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325"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50165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-231775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sectPr>
      </w:pPr>
    </w:p>
    <w:p>
      <w:pPr>
        <w:spacing w:after="0" w:line="200" w:lineRule="exact"/>
        <w:rPr>
          <w:sz w:val="24"/>
          <w:szCs w:val="24"/>
          <w:color w:val="auto"/>
        </w:rPr>
      </w:pPr>
    </w:p>
    <w:p>
      <w:pPr>
        <w:spacing w:after="0" w:line="257"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325" w:lineRule="exact"/>
        <w:rPr>
          <w:sz w:val="24"/>
          <w:szCs w:val="24"/>
          <w:color w:val="auto"/>
        </w:rPr>
      </w:pPr>
    </w:p>
    <w:p>
      <w:pPr>
        <w:ind w:left="2480"/>
        <w:spacing w:after="0"/>
        <w:rPr>
          <w:sz w:val="20"/>
          <w:szCs w:val="20"/>
          <w:color w:val="auto"/>
        </w:rPr>
      </w:pPr>
      <w:r>
        <w:rPr>
          <w:rFonts w:ascii="Arial" w:cs="Arial" w:eastAsia="Arial" w:hAnsi="Arial"/>
          <w:sz w:val="14"/>
          <w:szCs w:val="14"/>
          <w:b w:val="1"/>
          <w:bCs w:val="1"/>
          <w:color w:val="auto"/>
        </w:rPr>
        <w:t>For the quarterly period ended March 31, 2019</w:t>
      </w:r>
    </w:p>
    <w:p>
      <w:pPr>
        <w:spacing w:after="0" w:line="258" w:lineRule="exact"/>
        <w:rPr>
          <w:sz w:val="24"/>
          <w:szCs w:val="24"/>
          <w:color w:val="auto"/>
        </w:rPr>
      </w:pPr>
    </w:p>
    <w:p>
      <w:pPr>
        <w:ind w:left="3940"/>
        <w:spacing w:after="0"/>
        <w:rPr>
          <w:sz w:val="20"/>
          <w:szCs w:val="20"/>
          <w:color w:val="auto"/>
        </w:rPr>
      </w:pPr>
      <w:r>
        <w:rPr>
          <w:rFonts w:ascii="Arial" w:cs="Arial" w:eastAsia="Arial" w:hAnsi="Arial"/>
          <w:sz w:val="14"/>
          <w:szCs w:val="14"/>
          <w:b w:val="1"/>
          <w:bCs w:val="1"/>
          <w:color w:val="auto"/>
        </w:rPr>
        <w:t>OR</w:t>
      </w:r>
    </w:p>
    <w:p>
      <w:pPr>
        <w:spacing w:after="0" w:line="217" w:lineRule="exact"/>
        <w:rPr>
          <w:sz w:val="24"/>
          <w:szCs w:val="24"/>
          <w:color w:val="auto"/>
        </w:rPr>
      </w:pPr>
    </w:p>
    <w:p>
      <w:pPr>
        <w:ind w:left="2520" w:right="2280" w:hanging="2504"/>
        <w:spacing w:after="0" w:line="513" w:lineRule="auto"/>
        <w:rPr>
          <w:sz w:val="20"/>
          <w:szCs w:val="20"/>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 to _____</w:t>
      </w:r>
    </w:p>
    <w:p>
      <w:pPr>
        <w:spacing w:after="0" w:line="1" w:lineRule="exact"/>
        <w:rPr>
          <w:sz w:val="24"/>
          <w:szCs w:val="24"/>
          <w:color w:val="auto"/>
        </w:rPr>
      </w:pPr>
    </w:p>
    <w:p>
      <w:pPr>
        <w:ind w:left="2980"/>
        <w:spacing w:after="0"/>
        <w:rPr>
          <w:sz w:val="20"/>
          <w:szCs w:val="20"/>
          <w:color w:val="auto"/>
        </w:rPr>
      </w:pPr>
      <w:r>
        <w:rPr>
          <w:rFonts w:ascii="Arial" w:cs="Arial" w:eastAsia="Arial" w:hAnsi="Arial"/>
          <w:sz w:val="14"/>
          <w:szCs w:val="14"/>
          <w:b w:val="1"/>
          <w:bCs w:val="1"/>
          <w:color w:val="auto"/>
        </w:rPr>
        <w:t>Commission File No. 001-10308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1840865</wp:posOffset>
            </wp:positionH>
            <wp:positionV relativeFrom="paragraph">
              <wp:posOffset>361950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1240" w:space="420"/>
            <w:col w:w="9660"/>
          </w:cols>
          <w:pgMar w:left="240" w:top="225"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tbl>
      <w:tblPr>
        <w:tblLayout w:type="fixed"/>
        <w:tblInd w:w="520" w:type="dxa"/>
        <w:tblCellMar>
          <w:top w:w="0" w:type="dxa"/>
          <w:left w:w="0" w:type="dxa"/>
          <w:bottom w:w="0" w:type="dxa"/>
          <w:right w:w="0" w:type="dxa"/>
        </w:tblCellMar>
      </w:tblPr>
      <w:tr>
        <w:trPr>
          <w:trHeight w:val="358"/>
        </w:trPr>
        <w:tc>
          <w:tcPr>
            <w:tcW w:w="2940" w:type="dxa"/>
            <w:vAlign w:val="bottom"/>
          </w:tcPr>
          <w:p>
            <w:pPr>
              <w:spacing w:after="0"/>
              <w:rPr>
                <w:sz w:val="24"/>
                <w:szCs w:val="24"/>
                <w:color w:val="auto"/>
              </w:rPr>
            </w:pPr>
          </w:p>
        </w:tc>
        <w:tc>
          <w:tcPr>
            <w:tcW w:w="6840" w:type="dxa"/>
            <w:vAlign w:val="bottom"/>
          </w:tcPr>
          <w:p>
            <w:pPr>
              <w:jc w:val="center"/>
              <w:ind w:right="2262"/>
              <w:spacing w:after="0"/>
              <w:rPr>
                <w:sz w:val="20"/>
                <w:szCs w:val="20"/>
                <w:color w:val="auto"/>
              </w:rPr>
            </w:pPr>
            <w:r>
              <w:rPr>
                <w:rFonts w:ascii="Arial" w:cs="Arial" w:eastAsia="Arial" w:hAnsi="Arial"/>
                <w:sz w:val="25"/>
                <w:szCs w:val="25"/>
                <w:b w:val="1"/>
                <w:bCs w:val="1"/>
                <w:color w:val="auto"/>
              </w:rPr>
              <w:t>Avis Budget Group, Inc.</w:t>
            </w:r>
          </w:p>
        </w:tc>
      </w:tr>
      <w:tr>
        <w:trPr>
          <w:trHeight w:val="377"/>
        </w:trPr>
        <w:tc>
          <w:tcPr>
            <w:tcW w:w="2940" w:type="dxa"/>
            <w:vAlign w:val="bottom"/>
          </w:tcPr>
          <w:p>
            <w:pPr>
              <w:spacing w:after="0"/>
              <w:rPr>
                <w:sz w:val="24"/>
                <w:szCs w:val="24"/>
                <w:color w:val="auto"/>
              </w:rPr>
            </w:pPr>
          </w:p>
        </w:tc>
        <w:tc>
          <w:tcPr>
            <w:tcW w:w="6840" w:type="dxa"/>
            <w:vAlign w:val="bottom"/>
          </w:tcPr>
          <w:p>
            <w:pPr>
              <w:ind w:left="460"/>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r>
      <w:tr>
        <w:trPr>
          <w:trHeight w:val="405"/>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Delaware</w:t>
            </w:r>
          </w:p>
        </w:tc>
        <w:tc>
          <w:tcPr>
            <w:tcW w:w="6840" w:type="dxa"/>
            <w:vAlign w:val="bottom"/>
          </w:tcPr>
          <w:p>
            <w:pPr>
              <w:jc w:val="right"/>
              <w:ind w:right="242"/>
              <w:spacing w:after="0"/>
              <w:rPr>
                <w:sz w:val="20"/>
                <w:szCs w:val="20"/>
                <w:color w:val="auto"/>
              </w:rPr>
            </w:pPr>
            <w:r>
              <w:rPr>
                <w:rFonts w:ascii="Arial" w:cs="Arial" w:eastAsia="Arial" w:hAnsi="Arial"/>
                <w:sz w:val="14"/>
                <w:szCs w:val="14"/>
                <w:b w:val="1"/>
                <w:bCs w:val="1"/>
                <w:color w:val="auto"/>
              </w:rPr>
              <w:t>06-0918165</w:t>
            </w:r>
          </w:p>
        </w:tc>
      </w:tr>
      <w:tr>
        <w:trPr>
          <w:trHeight w:val="180"/>
        </w:trPr>
        <w:tc>
          <w:tcPr>
            <w:tcW w:w="2940" w:type="dxa"/>
            <w:vAlign w:val="bottom"/>
          </w:tcPr>
          <w:p>
            <w:pPr>
              <w:jc w:val="center"/>
              <w:ind w:right="388"/>
              <w:spacing w:after="0"/>
              <w:rPr>
                <w:sz w:val="20"/>
                <w:szCs w:val="20"/>
                <w:color w:val="auto"/>
              </w:rPr>
            </w:pPr>
            <w:r>
              <w:rPr>
                <w:rFonts w:ascii="Arial" w:cs="Arial" w:eastAsia="Arial" w:hAnsi="Arial"/>
                <w:sz w:val="14"/>
                <w:szCs w:val="14"/>
                <w:i w:val="1"/>
                <w:iCs w:val="1"/>
                <w:color w:val="auto"/>
              </w:rPr>
              <w:t>(State or other jurisdiction of</w:t>
            </w:r>
          </w:p>
        </w:tc>
        <w:tc>
          <w:tcPr>
            <w:tcW w:w="6840" w:type="dxa"/>
            <w:vAlign w:val="bottom"/>
          </w:tcPr>
          <w:p>
            <w:pPr>
              <w:jc w:val="center"/>
              <w:ind w:left="5342"/>
              <w:spacing w:after="0"/>
              <w:rPr>
                <w:sz w:val="20"/>
                <w:szCs w:val="20"/>
                <w:color w:val="auto"/>
              </w:rPr>
            </w:pPr>
            <w:r>
              <w:rPr>
                <w:rFonts w:ascii="Arial" w:cs="Arial" w:eastAsia="Arial" w:hAnsi="Arial"/>
                <w:sz w:val="14"/>
                <w:szCs w:val="14"/>
                <w:i w:val="1"/>
                <w:iCs w:val="1"/>
                <w:color w:val="auto"/>
              </w:rPr>
              <w:t>(I.R.S. Employer</w:t>
            </w:r>
          </w:p>
        </w:tc>
      </w:tr>
      <w:tr>
        <w:trPr>
          <w:trHeight w:val="192"/>
        </w:trPr>
        <w:tc>
          <w:tcPr>
            <w:tcW w:w="2940" w:type="dxa"/>
            <w:vAlign w:val="bottom"/>
          </w:tcPr>
          <w:p>
            <w:pPr>
              <w:jc w:val="center"/>
              <w:ind w:right="388"/>
              <w:spacing w:after="0"/>
              <w:rPr>
                <w:sz w:val="20"/>
                <w:szCs w:val="20"/>
                <w:color w:val="auto"/>
              </w:rPr>
            </w:pPr>
            <w:r>
              <w:rPr>
                <w:rFonts w:ascii="Arial" w:cs="Arial" w:eastAsia="Arial" w:hAnsi="Arial"/>
                <w:sz w:val="14"/>
                <w:szCs w:val="14"/>
                <w:i w:val="1"/>
                <w:iCs w:val="1"/>
                <w:color w:val="auto"/>
              </w:rPr>
              <w:t>incorporation or organization)</w:t>
            </w:r>
          </w:p>
        </w:tc>
        <w:tc>
          <w:tcPr>
            <w:tcW w:w="6840" w:type="dxa"/>
            <w:vAlign w:val="bottom"/>
          </w:tcPr>
          <w:p>
            <w:pPr>
              <w:jc w:val="center"/>
              <w:ind w:left="5362"/>
              <w:spacing w:after="0"/>
              <w:rPr>
                <w:sz w:val="20"/>
                <w:szCs w:val="20"/>
                <w:color w:val="auto"/>
              </w:rPr>
            </w:pPr>
            <w:r>
              <w:rPr>
                <w:rFonts w:ascii="Arial" w:cs="Arial" w:eastAsia="Arial" w:hAnsi="Arial"/>
                <w:sz w:val="14"/>
                <w:szCs w:val="14"/>
                <w:i w:val="1"/>
                <w:iCs w:val="1"/>
                <w:color w:val="auto"/>
              </w:rPr>
              <w:t>Identification Number)</w:t>
            </w:r>
          </w:p>
        </w:tc>
      </w:tr>
      <w:tr>
        <w:trPr>
          <w:trHeight w:val="182"/>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6 Sylvan Way</w:t>
            </w:r>
          </w:p>
        </w:tc>
        <w:tc>
          <w:tcPr>
            <w:tcW w:w="6840" w:type="dxa"/>
            <w:vAlign w:val="bottom"/>
          </w:tcPr>
          <w:p>
            <w:pPr>
              <w:spacing w:after="0"/>
              <w:rPr>
                <w:sz w:val="15"/>
                <w:szCs w:val="15"/>
                <w:color w:val="auto"/>
              </w:rPr>
            </w:pPr>
          </w:p>
        </w:tc>
      </w:tr>
      <w:tr>
        <w:trPr>
          <w:trHeight w:val="202"/>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Parsippany, NJ</w:t>
            </w:r>
          </w:p>
        </w:tc>
        <w:tc>
          <w:tcPr>
            <w:tcW w:w="6840" w:type="dxa"/>
            <w:vAlign w:val="bottom"/>
          </w:tcPr>
          <w:p>
            <w:pPr>
              <w:jc w:val="right"/>
              <w:ind w:right="422"/>
              <w:spacing w:after="0"/>
              <w:rPr>
                <w:sz w:val="20"/>
                <w:szCs w:val="20"/>
                <w:color w:val="auto"/>
              </w:rPr>
            </w:pPr>
            <w:r>
              <w:rPr>
                <w:rFonts w:ascii="Arial" w:cs="Arial" w:eastAsia="Arial" w:hAnsi="Arial"/>
                <w:sz w:val="14"/>
                <w:szCs w:val="14"/>
                <w:b w:val="1"/>
                <w:bCs w:val="1"/>
                <w:color w:val="auto"/>
              </w:rPr>
              <w:t>07054</w:t>
            </w:r>
          </w:p>
        </w:tc>
      </w:tr>
      <w:tr>
        <w:trPr>
          <w:trHeight w:val="264"/>
        </w:trPr>
        <w:tc>
          <w:tcPr>
            <w:tcW w:w="2940" w:type="dxa"/>
            <w:vAlign w:val="bottom"/>
          </w:tcPr>
          <w:p>
            <w:pPr>
              <w:jc w:val="center"/>
              <w:ind w:right="408"/>
              <w:spacing w:after="0"/>
              <w:rPr>
                <w:sz w:val="20"/>
                <w:szCs w:val="20"/>
                <w:color w:val="auto"/>
              </w:rPr>
            </w:pPr>
            <w:r>
              <w:rPr>
                <w:rFonts w:ascii="Arial" w:cs="Arial" w:eastAsia="Arial" w:hAnsi="Arial"/>
                <w:sz w:val="14"/>
                <w:szCs w:val="14"/>
                <w:i w:val="1"/>
                <w:iCs w:val="1"/>
                <w:color w:val="auto"/>
              </w:rPr>
              <w:t>(Address of principal executive offices)</w:t>
            </w:r>
          </w:p>
        </w:tc>
        <w:tc>
          <w:tcPr>
            <w:tcW w:w="6840" w:type="dxa"/>
            <w:vAlign w:val="bottom"/>
          </w:tcPr>
          <w:p>
            <w:pPr>
              <w:jc w:val="center"/>
              <w:ind w:left="5362"/>
              <w:spacing w:after="0"/>
              <w:rPr>
                <w:sz w:val="20"/>
                <w:szCs w:val="20"/>
                <w:color w:val="auto"/>
              </w:rPr>
            </w:pPr>
            <w:r>
              <w:rPr>
                <w:rFonts w:ascii="Arial" w:cs="Arial" w:eastAsia="Arial" w:hAnsi="Arial"/>
                <w:sz w:val="14"/>
                <w:szCs w:val="14"/>
                <w:i w:val="1"/>
                <w:iCs w:val="1"/>
                <w:color w:val="auto"/>
              </w:rPr>
              <w:t>(Zip Code)</w:t>
            </w:r>
          </w:p>
        </w:tc>
      </w:tr>
      <w:tr>
        <w:trPr>
          <w:trHeight w:val="186"/>
        </w:trPr>
        <w:tc>
          <w:tcPr>
            <w:tcW w:w="2940" w:type="dxa"/>
            <w:vAlign w:val="bottom"/>
          </w:tcPr>
          <w:p>
            <w:pPr>
              <w:spacing w:after="0"/>
              <w:rPr>
                <w:sz w:val="16"/>
                <w:szCs w:val="16"/>
                <w:color w:val="auto"/>
              </w:rPr>
            </w:pPr>
          </w:p>
        </w:tc>
        <w:tc>
          <w:tcPr>
            <w:tcW w:w="6840" w:type="dxa"/>
            <w:vAlign w:val="bottom"/>
          </w:tcPr>
          <w:p>
            <w:pPr>
              <w:jc w:val="center"/>
              <w:ind w:right="2262"/>
              <w:spacing w:after="0"/>
              <w:rPr>
                <w:sz w:val="20"/>
                <w:szCs w:val="20"/>
                <w:color w:val="auto"/>
              </w:rPr>
            </w:pPr>
            <w:r>
              <w:rPr>
                <w:rFonts w:ascii="Arial" w:cs="Arial" w:eastAsia="Arial" w:hAnsi="Arial"/>
                <w:sz w:val="14"/>
                <w:szCs w:val="14"/>
                <w:b w:val="1"/>
                <w:bCs w:val="1"/>
                <w:color w:val="auto"/>
              </w:rPr>
              <w:t>(973) 496-4700</w:t>
            </w:r>
          </w:p>
        </w:tc>
      </w:tr>
      <w:tr>
        <w:trPr>
          <w:trHeight w:val="192"/>
        </w:trPr>
        <w:tc>
          <w:tcPr>
            <w:tcW w:w="2940" w:type="dxa"/>
            <w:vAlign w:val="bottom"/>
          </w:tcPr>
          <w:p>
            <w:pPr>
              <w:spacing w:after="0"/>
              <w:rPr>
                <w:sz w:val="16"/>
                <w:szCs w:val="16"/>
                <w:color w:val="auto"/>
              </w:rPr>
            </w:pPr>
          </w:p>
        </w:tc>
        <w:tc>
          <w:tcPr>
            <w:tcW w:w="6840" w:type="dxa"/>
            <w:vAlign w:val="bottom"/>
          </w:tcPr>
          <w:p>
            <w:pPr>
              <w:jc w:val="center"/>
              <w:ind w:right="2262"/>
              <w:spacing w:after="0"/>
              <w:rPr>
                <w:sz w:val="20"/>
                <w:szCs w:val="20"/>
                <w:color w:val="auto"/>
              </w:rPr>
            </w:pPr>
            <w:r>
              <w:rPr>
                <w:rFonts w:ascii="Arial" w:cs="Arial" w:eastAsia="Arial" w:hAnsi="Arial"/>
                <w:sz w:val="14"/>
                <w:szCs w:val="14"/>
                <w:i w:val="1"/>
                <w:iCs w:val="1"/>
                <w:color w:val="auto"/>
              </w:rPr>
              <w:t>(Registrant’s telephone number, including area code)</w:t>
            </w:r>
          </w:p>
        </w:tc>
      </w:tr>
    </w:tbl>
    <w:p>
      <w:pPr>
        <w:spacing w:after="0" w:line="76" w:lineRule="exact"/>
        <w:rPr>
          <w:sz w:val="24"/>
          <w:szCs w:val="24"/>
          <w:color w:val="auto"/>
        </w:rPr>
      </w:pPr>
    </w:p>
    <w:p>
      <w:pPr>
        <w:ind w:right="60"/>
        <w:spacing w:after="0" w:line="291"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6"/>
          <w:szCs w:val="16"/>
          <w:color w:val="auto"/>
        </w:rPr>
        <w:t>x</w:t>
      </w:r>
      <w:r>
        <w:rPr>
          <w:rFonts w:ascii="Arial" w:cs="Arial" w:eastAsia="Arial" w:hAnsi="Arial"/>
          <w:sz w:val="14"/>
          <w:szCs w:val="14"/>
          <w:color w:val="auto"/>
        </w:rPr>
        <w:t xml:space="preserve"> No </w:t>
      </w:r>
      <w:r>
        <w:rPr>
          <w:rFonts w:ascii="Times New Roman" w:cs="Times New Roman" w:eastAsia="Times New Roman" w:hAnsi="Times New Roman"/>
          <w:sz w:val="16"/>
          <w:szCs w:val="16"/>
          <w:color w:val="auto"/>
        </w:rPr>
        <w:t>o</w:t>
      </w:r>
    </w:p>
    <w:p>
      <w:pPr>
        <w:spacing w:after="0" w:line="121" w:lineRule="exact"/>
        <w:rPr>
          <w:sz w:val="24"/>
          <w:szCs w:val="24"/>
          <w:color w:val="auto"/>
        </w:rPr>
      </w:pPr>
    </w:p>
    <w:p>
      <w:pPr>
        <w:spacing w:after="0" w:line="291" w:lineRule="auto"/>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Times New Roman" w:cs="Times New Roman" w:eastAsia="Times New Roman" w:hAnsi="Times New Roman"/>
          <w:sz w:val="16"/>
          <w:szCs w:val="16"/>
          <w:color w:val="auto"/>
        </w:rPr>
        <w:t>x</w:t>
      </w:r>
      <w:r>
        <w:rPr>
          <w:rFonts w:ascii="Arial" w:cs="Arial" w:eastAsia="Arial" w:hAnsi="Arial"/>
          <w:sz w:val="14"/>
          <w:szCs w:val="14"/>
          <w:color w:val="auto"/>
        </w:rPr>
        <w:t xml:space="preserve"> No </w:t>
      </w:r>
      <w:r>
        <w:rPr>
          <w:rFonts w:ascii="Times New Roman" w:cs="Times New Roman" w:eastAsia="Times New Roman" w:hAnsi="Times New Roman"/>
          <w:sz w:val="16"/>
          <w:szCs w:val="16"/>
          <w:color w:val="auto"/>
        </w:rPr>
        <w:t>o</w:t>
      </w:r>
    </w:p>
    <w:p>
      <w:pPr>
        <w:spacing w:after="0" w:line="10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145" w:lineRule="exact"/>
        <w:rPr>
          <w:sz w:val="24"/>
          <w:szCs w:val="24"/>
          <w:color w:val="auto"/>
        </w:rPr>
      </w:pPr>
    </w:p>
    <w:tbl>
      <w:tblPr>
        <w:tblLayout w:type="fixed"/>
        <w:tblInd w:w="40" w:type="dxa"/>
        <w:tblCellMar>
          <w:top w:w="0" w:type="dxa"/>
          <w:left w:w="0" w:type="dxa"/>
          <w:bottom w:w="0" w:type="dxa"/>
          <w:right w:w="0" w:type="dxa"/>
        </w:tblCellMar>
      </w:tblPr>
      <w:tr>
        <w:trPr>
          <w:trHeight w:val="235"/>
        </w:trPr>
        <w:tc>
          <w:tcPr>
            <w:tcW w:w="26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10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x</w:t>
            </w:r>
          </w:p>
        </w:tc>
        <w:tc>
          <w:tcPr>
            <w:tcW w:w="2680" w:type="dxa"/>
            <w:vAlign w:val="bottom"/>
          </w:tcPr>
          <w:p>
            <w:pPr>
              <w:ind w:left="80"/>
              <w:spacing w:after="0"/>
              <w:rPr>
                <w:sz w:val="20"/>
                <w:szCs w:val="20"/>
                <w:color w:val="auto"/>
              </w:rPr>
            </w:pPr>
            <w:r>
              <w:rPr>
                <w:rFonts w:ascii="Arial" w:cs="Arial" w:eastAsia="Arial" w:hAnsi="Arial"/>
                <w:sz w:val="14"/>
                <w:szCs w:val="14"/>
                <w:color w:val="auto"/>
              </w:rPr>
              <w:t>Accelerated filer</w:t>
            </w:r>
          </w:p>
        </w:tc>
        <w:tc>
          <w:tcPr>
            <w:tcW w:w="10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o</w:t>
            </w:r>
          </w:p>
        </w:tc>
        <w:tc>
          <w:tcPr>
            <w:tcW w:w="2480" w:type="dxa"/>
            <w:vAlign w:val="bottom"/>
          </w:tcPr>
          <w:p>
            <w:pPr>
              <w:ind w:left="80"/>
              <w:spacing w:after="0"/>
              <w:rPr>
                <w:sz w:val="20"/>
                <w:szCs w:val="20"/>
                <w:color w:val="auto"/>
              </w:rPr>
            </w:pPr>
            <w:r>
              <w:rPr>
                <w:rFonts w:ascii="Arial" w:cs="Arial" w:eastAsia="Arial" w:hAnsi="Arial"/>
                <w:sz w:val="14"/>
                <w:szCs w:val="14"/>
                <w:color w:val="auto"/>
              </w:rPr>
              <w:t>Non-accelerated filer</w:t>
            </w:r>
          </w:p>
        </w:tc>
        <w:tc>
          <w:tcPr>
            <w:tcW w:w="1160" w:type="dxa"/>
            <w:vAlign w:val="bottom"/>
          </w:tcPr>
          <w:p>
            <w:pPr>
              <w:ind w:left="1080"/>
              <w:spacing w:after="0"/>
              <w:rPr>
                <w:sz w:val="20"/>
                <w:szCs w:val="20"/>
                <w:color w:val="auto"/>
              </w:rPr>
            </w:pPr>
            <w:r>
              <w:rPr>
                <w:rFonts w:ascii="Times New Roman" w:cs="Times New Roman" w:eastAsia="Times New Roman" w:hAnsi="Times New Roman"/>
                <w:sz w:val="16"/>
                <w:szCs w:val="16"/>
                <w:color w:val="auto"/>
                <w:w w:val="74"/>
              </w:rPr>
              <w:t>o</w:t>
            </w:r>
          </w:p>
        </w:tc>
      </w:tr>
      <w:tr>
        <w:trPr>
          <w:trHeight w:val="270"/>
        </w:trPr>
        <w:tc>
          <w:tcPr>
            <w:tcW w:w="2660" w:type="dxa"/>
            <w:vAlign w:val="bottom"/>
          </w:tcPr>
          <w:p>
            <w:pPr>
              <w:spacing w:after="0"/>
              <w:rPr>
                <w:sz w:val="20"/>
                <w:szCs w:val="20"/>
                <w:color w:val="auto"/>
              </w:rPr>
            </w:pPr>
            <w:r>
              <w:rPr>
                <w:rFonts w:ascii="Arial" w:cs="Arial" w:eastAsia="Arial" w:hAnsi="Arial"/>
                <w:sz w:val="14"/>
                <w:szCs w:val="14"/>
                <w:color w:val="auto"/>
              </w:rPr>
              <w:t>Smaller reporting company</w:t>
            </w:r>
          </w:p>
        </w:tc>
        <w:tc>
          <w:tcPr>
            <w:tcW w:w="110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o</w:t>
            </w:r>
          </w:p>
        </w:tc>
        <w:tc>
          <w:tcPr>
            <w:tcW w:w="2680" w:type="dxa"/>
            <w:vAlign w:val="bottom"/>
          </w:tcPr>
          <w:p>
            <w:pPr>
              <w:ind w:left="80"/>
              <w:spacing w:after="0"/>
              <w:rPr>
                <w:sz w:val="20"/>
                <w:szCs w:val="20"/>
                <w:color w:val="auto"/>
              </w:rPr>
            </w:pPr>
            <w:r>
              <w:rPr>
                <w:rFonts w:ascii="Arial" w:cs="Arial" w:eastAsia="Arial" w:hAnsi="Arial"/>
                <w:sz w:val="14"/>
                <w:szCs w:val="14"/>
                <w:color w:val="auto"/>
              </w:rPr>
              <w:t>Emerging growth company</w:t>
            </w:r>
          </w:p>
        </w:tc>
        <w:tc>
          <w:tcPr>
            <w:tcW w:w="10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o</w:t>
            </w:r>
          </w:p>
        </w:tc>
        <w:tc>
          <w:tcPr>
            <w:tcW w:w="2480" w:type="dxa"/>
            <w:vAlign w:val="bottom"/>
          </w:tcPr>
          <w:p>
            <w:pPr>
              <w:spacing w:after="0"/>
              <w:rPr>
                <w:sz w:val="23"/>
                <w:szCs w:val="23"/>
                <w:color w:val="auto"/>
              </w:rPr>
            </w:pPr>
          </w:p>
        </w:tc>
        <w:tc>
          <w:tcPr>
            <w:tcW w:w="1160" w:type="dxa"/>
            <w:vAlign w:val="bottom"/>
          </w:tcPr>
          <w:p>
            <w:pPr>
              <w:spacing w:after="0"/>
              <w:rPr>
                <w:sz w:val="23"/>
                <w:szCs w:val="23"/>
                <w:color w:val="auto"/>
              </w:rPr>
            </w:pPr>
          </w:p>
        </w:tc>
      </w:tr>
    </w:tbl>
    <w:p>
      <w:pPr>
        <w:spacing w:after="0" w:line="197" w:lineRule="exact"/>
        <w:rPr>
          <w:sz w:val="24"/>
          <w:szCs w:val="24"/>
          <w:color w:val="auto"/>
        </w:rPr>
      </w:pPr>
    </w:p>
    <w:p>
      <w:pPr>
        <w:ind w:right="380"/>
        <w:spacing w:after="0" w:line="291"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6"/>
          <w:szCs w:val="16"/>
          <w:color w:val="auto"/>
        </w:rPr>
        <w:t>o</w:t>
      </w:r>
    </w:p>
    <w:p>
      <w:pPr>
        <w:spacing w:after="0" w:line="10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Times New Roman" w:cs="Times New Roman" w:eastAsia="Times New Roman" w:hAnsi="Times New Roman"/>
          <w:sz w:val="16"/>
          <w:szCs w:val="16"/>
          <w:color w:val="auto"/>
        </w:rPr>
        <w:t>o</w:t>
      </w:r>
      <w:r>
        <w:rPr>
          <w:rFonts w:ascii="Arial" w:cs="Arial" w:eastAsia="Arial" w:hAnsi="Arial"/>
          <w:sz w:val="14"/>
          <w:szCs w:val="14"/>
          <w:color w:val="auto"/>
        </w:rPr>
        <w:t xml:space="preserve">  No </w:t>
      </w:r>
      <w:r>
        <w:rPr>
          <w:rFonts w:ascii="Times New Roman" w:cs="Times New Roman" w:eastAsia="Times New Roman" w:hAnsi="Times New Roman"/>
          <w:sz w:val="16"/>
          <w:szCs w:val="16"/>
          <w:color w:val="auto"/>
        </w:rPr>
        <w:t>x</w:t>
      </w:r>
    </w:p>
    <w:p>
      <w:pPr>
        <w:spacing w:after="0" w:line="194"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61" w:lineRule="exact"/>
        <w:rPr>
          <w:sz w:val="24"/>
          <w:szCs w:val="24"/>
          <w:color w:val="auto"/>
        </w:rPr>
      </w:pPr>
    </w:p>
    <w:p>
      <w:pPr>
        <w:ind w:left="1340"/>
        <w:spacing w:after="0"/>
        <w:tabs>
          <w:tab w:leader="none" w:pos="5140" w:val="left"/>
          <w:tab w:leader="none" w:pos="8000"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4"/>
          <w:szCs w:val="14"/>
          <w:b w:val="1"/>
          <w:bCs w:val="1"/>
          <w:color w:val="auto"/>
        </w:rPr>
        <w:t>Trading Symbol(s)</w:t>
      </w:r>
      <w:r>
        <w:rPr>
          <w:sz w:val="20"/>
          <w:szCs w:val="20"/>
          <w:color w:val="auto"/>
        </w:rPr>
        <w:tab/>
      </w:r>
      <w:r>
        <w:rPr>
          <w:rFonts w:ascii="Arial" w:cs="Arial" w:eastAsia="Arial" w:hAnsi="Arial"/>
          <w:sz w:val="14"/>
          <w:szCs w:val="14"/>
          <w:b w:val="1"/>
          <w:bCs w:val="1"/>
          <w:color w:val="auto"/>
        </w:rPr>
        <w:t>Name of each exchange on which registered</w:t>
      </w:r>
    </w:p>
    <w:p>
      <w:pPr>
        <w:spacing w:after="0" w:line="57" w:lineRule="exact"/>
        <w:rPr>
          <w:sz w:val="24"/>
          <w:szCs w:val="24"/>
          <w:color w:val="auto"/>
        </w:rPr>
      </w:pPr>
    </w:p>
    <w:p>
      <w:pPr>
        <w:ind w:left="920"/>
        <w:spacing w:after="0"/>
        <w:tabs>
          <w:tab w:leader="none" w:pos="5600" w:val="left"/>
          <w:tab w:leader="none" w:pos="8380" w:val="left"/>
        </w:tabs>
        <w:rPr>
          <w:sz w:val="20"/>
          <w:szCs w:val="20"/>
          <w:color w:val="auto"/>
        </w:rPr>
      </w:pPr>
      <w:r>
        <w:rPr>
          <w:rFonts w:ascii="Arial" w:cs="Arial" w:eastAsia="Arial" w:hAnsi="Arial"/>
          <w:sz w:val="14"/>
          <w:szCs w:val="14"/>
          <w:color w:val="auto"/>
        </w:rPr>
        <w:t>Common Stock, Par Value $0.01</w:t>
      </w:r>
      <w:r>
        <w:rPr>
          <w:sz w:val="20"/>
          <w:szCs w:val="20"/>
          <w:color w:val="auto"/>
        </w:rPr>
        <w:tab/>
      </w:r>
      <w:r>
        <w:rPr>
          <w:rFonts w:ascii="Arial" w:cs="Arial" w:eastAsia="Arial" w:hAnsi="Arial"/>
          <w:sz w:val="14"/>
          <w:szCs w:val="14"/>
          <w:color w:val="auto"/>
        </w:rPr>
        <w:t>CAR</w:t>
      </w:r>
      <w:r>
        <w:rPr>
          <w:sz w:val="20"/>
          <w:szCs w:val="20"/>
          <w:color w:val="auto"/>
        </w:rPr>
        <w:tab/>
      </w:r>
      <w:r>
        <w:rPr>
          <w:rFonts w:ascii="Arial" w:cs="Arial" w:eastAsia="Arial" w:hAnsi="Arial"/>
          <w:sz w:val="14"/>
          <w:szCs w:val="14"/>
          <w:color w:val="auto"/>
        </w:rPr>
        <w:t>The NASDAQ Global Select Market</w:t>
      </w:r>
    </w:p>
    <w:p>
      <w:pPr>
        <w:spacing w:after="0" w:line="244"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issuer’s common stock was 75,912,038 shares as of April 30,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03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03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r>
      <w:tr>
        <w:trPr>
          <w:trHeight w:val="223"/>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68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Financial Information</w:t>
              </w:r>
            </w:hyperlink>
          </w:p>
        </w:tc>
        <w:tc>
          <w:tcPr>
            <w:tcW w:w="7880" w:type="dxa"/>
            <w:vAlign w:val="bottom"/>
            <w:gridSpan w:val="10"/>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956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Condensed Statements of Comprehensive Income for the Three Months Ended March 31, 2019 and</w:t>
              </w:r>
            </w:hyperlink>
          </w:p>
        </w:tc>
        <w:tc>
          <w:tcPr>
            <w:tcW w:w="72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183"/>
        </w:trPr>
        <w:tc>
          <w:tcPr>
            <w:tcW w:w="1020" w:type="dxa"/>
            <w:vAlign w:val="bottom"/>
          </w:tcPr>
          <w:p>
            <w:pPr>
              <w:spacing w:after="0"/>
              <w:rPr>
                <w:sz w:val="15"/>
                <w:szCs w:val="15"/>
                <w:color w:val="auto"/>
              </w:rPr>
            </w:pPr>
          </w:p>
        </w:tc>
        <w:tc>
          <w:tcPr>
            <w:tcW w:w="14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2018 (Unaudited)</w:t>
              </w:r>
            </w:hyperlink>
          </w:p>
        </w:tc>
        <w:tc>
          <w:tcPr>
            <w:tcW w:w="7680" w:type="dxa"/>
            <w:vAlign w:val="bottom"/>
            <w:tcBorders>
              <w:top w:val="single" w:sz="8" w:color="0000EE"/>
            </w:tcBorders>
            <w:gridSpan w:val="11"/>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Condensed Balance Sheets as of March 31, 2019 and December 31, 2018 (Unaudited)</w:t>
              </w:r>
            </w:hyperlink>
          </w:p>
        </w:tc>
        <w:tc>
          <w:tcPr>
            <w:tcW w:w="720" w:type="dxa"/>
            <w:vAlign w:val="bottom"/>
            <w:gridSpan w:val="4"/>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956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Condensed Statements of Cash Flows for the Three Months Ended March 31, 2019 and 2018</w:t>
              </w:r>
            </w:hyperlink>
          </w:p>
        </w:tc>
        <w:tc>
          <w:tcPr>
            <w:tcW w:w="720" w:type="dxa"/>
            <w:vAlign w:val="bottom"/>
            <w:gridSpan w:val="4"/>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5</w:t>
              </w:r>
            </w:hyperlink>
          </w:p>
        </w:tc>
      </w:tr>
      <w:tr>
        <w:trPr>
          <w:trHeight w:val="183"/>
        </w:trPr>
        <w:tc>
          <w:tcPr>
            <w:tcW w:w="1020" w:type="dxa"/>
            <w:vAlign w:val="bottom"/>
          </w:tcPr>
          <w:p>
            <w:pPr>
              <w:spacing w:after="0"/>
              <w:rPr>
                <w:sz w:val="15"/>
                <w:szCs w:val="15"/>
                <w:color w:val="auto"/>
              </w:rPr>
            </w:pPr>
          </w:p>
        </w:tc>
        <w:tc>
          <w:tcPr>
            <w:tcW w:w="856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(Unaudited)</w:t>
              </w:r>
            </w:hyperlink>
          </w:p>
        </w:tc>
        <w:tc>
          <w:tcPr>
            <w:tcW w:w="24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Consolidated Condensed Statements of Stockholders’ Equity for the Three Months Ended March 31, 2019 and</w:t>
              </w:r>
            </w:hyperlink>
          </w:p>
        </w:tc>
        <w:tc>
          <w:tcPr>
            <w:tcW w:w="720" w:type="dxa"/>
            <w:vAlign w:val="bottom"/>
            <w:gridSpan w:val="4"/>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7</w:t>
              </w:r>
            </w:hyperlink>
          </w:p>
        </w:tc>
      </w:tr>
      <w:tr>
        <w:trPr>
          <w:trHeight w:val="183"/>
        </w:trPr>
        <w:tc>
          <w:tcPr>
            <w:tcW w:w="1020" w:type="dxa"/>
            <w:vAlign w:val="bottom"/>
          </w:tcPr>
          <w:p>
            <w:pPr>
              <w:spacing w:after="0"/>
              <w:rPr>
                <w:sz w:val="15"/>
                <w:szCs w:val="15"/>
                <w:color w:val="auto"/>
              </w:rPr>
            </w:pPr>
          </w:p>
        </w:tc>
        <w:tc>
          <w:tcPr>
            <w:tcW w:w="14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2018 (Unaudited)</w:t>
              </w:r>
            </w:hyperlink>
          </w:p>
        </w:tc>
        <w:tc>
          <w:tcPr>
            <w:tcW w:w="7400" w:type="dxa"/>
            <w:vAlign w:val="bottom"/>
            <w:tcBorders>
              <w:top w:val="single" w:sz="8" w:color="0000EE"/>
            </w:tcBorders>
            <w:gridSpan w:val="10"/>
          </w:tcPr>
          <w:p>
            <w:pPr>
              <w:spacing w:after="0"/>
              <w:rPr>
                <w:sz w:val="15"/>
                <w:szCs w:val="15"/>
                <w:color w:val="auto"/>
              </w:rPr>
            </w:pPr>
          </w:p>
        </w:tc>
        <w:tc>
          <w:tcPr>
            <w:tcW w:w="76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7"/>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Notes to Consolidated Condensed Financial Statements (Unaudited)</w:t>
              </w:r>
            </w:hyperlink>
          </w:p>
        </w:tc>
        <w:tc>
          <w:tcPr>
            <w:tcW w:w="720" w:type="dxa"/>
            <w:vAlign w:val="bottom"/>
            <w:gridSpan w:val="4"/>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8</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7"/>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Management’s Discussion and Analysis of Financial Condition and Results of Operations</w:t>
              </w:r>
            </w:hyperlink>
          </w:p>
        </w:tc>
        <w:tc>
          <w:tcPr>
            <w:tcW w:w="720" w:type="dxa"/>
            <w:vAlign w:val="bottom"/>
            <w:gridSpan w:val="4"/>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37</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700" w:type="dxa"/>
            <w:vAlign w:val="bottom"/>
            <w:gridSpan w:val="9"/>
          </w:tcPr>
          <w:p>
            <w:pPr>
              <w:spacing w:after="0"/>
              <w:rPr>
                <w:rFonts w:ascii="Arial" w:cs="Arial" w:eastAsia="Arial" w:hAnsi="Arial"/>
                <w:sz w:val="18"/>
                <w:szCs w:val="18"/>
                <w:color w:val="0000FF"/>
                <w:w w:val="99"/>
              </w:rPr>
            </w:pPr>
            <w:hyperlink w:anchor="page46">
              <w:r>
                <w:rPr>
                  <w:rFonts w:ascii="Arial" w:cs="Arial" w:eastAsia="Arial" w:hAnsi="Arial"/>
                  <w:sz w:val="18"/>
                  <w:szCs w:val="18"/>
                  <w:color w:val="0000FF"/>
                  <w:w w:val="99"/>
                </w:rPr>
                <w:t>Quantitative and Qualitative Disclosures about Market Risk</w:t>
              </w:r>
            </w:hyperlink>
          </w:p>
        </w:tc>
        <w:tc>
          <w:tcPr>
            <w:tcW w:w="2380" w:type="dxa"/>
            <w:vAlign w:val="bottom"/>
            <w:gridSpan w:val="3"/>
          </w:tcPr>
          <w:p>
            <w:pPr>
              <w:spacing w:after="0"/>
              <w:rPr>
                <w:sz w:val="20"/>
                <w:szCs w:val="20"/>
                <w:color w:val="auto"/>
              </w:rPr>
            </w:pPr>
          </w:p>
        </w:tc>
        <w:tc>
          <w:tcPr>
            <w:tcW w:w="2480" w:type="dxa"/>
            <w:vAlign w:val="bottom"/>
            <w:gridSpan w:val="5"/>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8"/>
          </w:tcPr>
          <w:p>
            <w:pPr>
              <w:spacing w:after="0"/>
              <w:rPr>
                <w:rFonts w:ascii="Arial" w:cs="Arial" w:eastAsia="Arial" w:hAnsi="Arial"/>
                <w:sz w:val="18"/>
                <w:szCs w:val="18"/>
                <w:color w:val="0000FF"/>
                <w:w w:val="99"/>
              </w:rPr>
            </w:pPr>
            <w:hyperlink w:anchor="page47">
              <w:r>
                <w:rPr>
                  <w:rFonts w:ascii="Arial" w:cs="Arial" w:eastAsia="Arial" w:hAnsi="Arial"/>
                  <w:sz w:val="18"/>
                  <w:szCs w:val="18"/>
                  <w:color w:val="0000FF"/>
                  <w:w w:val="99"/>
                </w:rPr>
                <w:t>Controls and Procedures</w:t>
              </w:r>
            </w:hyperlink>
          </w:p>
        </w:tc>
        <w:tc>
          <w:tcPr>
            <w:tcW w:w="2700" w:type="dxa"/>
            <w:vAlign w:val="bottom"/>
          </w:tcPr>
          <w:p>
            <w:pPr>
              <w:spacing w:after="0"/>
              <w:rPr>
                <w:sz w:val="20"/>
                <w:szCs w:val="20"/>
                <w:color w:val="auto"/>
              </w:rPr>
            </w:pPr>
          </w:p>
        </w:tc>
        <w:tc>
          <w:tcPr>
            <w:tcW w:w="4860" w:type="dxa"/>
            <w:vAlign w:val="bottom"/>
            <w:gridSpan w:val="8"/>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44</w:t>
              </w:r>
            </w:hyperlink>
          </w:p>
        </w:tc>
      </w:tr>
      <w:tr>
        <w:trPr>
          <w:trHeight w:val="237"/>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8"/>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Other Information</w:t>
              </w:r>
            </w:hyperlink>
          </w:p>
        </w:tc>
        <w:tc>
          <w:tcPr>
            <w:tcW w:w="7560" w:type="dxa"/>
            <w:vAlign w:val="bottom"/>
            <w:gridSpan w:val="9"/>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6"/>
          </w:tcPr>
          <w:p>
            <w:pPr>
              <w:spacing w:after="0"/>
              <w:rPr>
                <w:rFonts w:ascii="Arial" w:cs="Arial" w:eastAsia="Arial" w:hAnsi="Arial"/>
                <w:sz w:val="18"/>
                <w:szCs w:val="18"/>
                <w:color w:val="0000FF"/>
                <w:w w:val="99"/>
              </w:rPr>
            </w:pPr>
            <w:hyperlink w:anchor="page48">
              <w:r>
                <w:rPr>
                  <w:rFonts w:ascii="Arial" w:cs="Arial" w:eastAsia="Arial" w:hAnsi="Arial"/>
                  <w:sz w:val="18"/>
                  <w:szCs w:val="18"/>
                  <w:color w:val="0000FF"/>
                  <w:w w:val="99"/>
                </w:rPr>
                <w:t>Legal Proceedings</w:t>
              </w:r>
            </w:hyperlink>
          </w:p>
        </w:tc>
        <w:tc>
          <w:tcPr>
            <w:tcW w:w="8060" w:type="dxa"/>
            <w:vAlign w:val="bottom"/>
            <w:gridSpan w:val="11"/>
          </w:tcPr>
          <w:p>
            <w:pPr>
              <w:spacing w:after="0"/>
              <w:rPr>
                <w:sz w:val="21"/>
                <w:szCs w:val="21"/>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45</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6"/>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Risk Factors</w:t>
              </w:r>
            </w:hyperlink>
          </w:p>
        </w:tc>
        <w:tc>
          <w:tcPr>
            <w:tcW w:w="8060" w:type="dxa"/>
            <w:vAlign w:val="bottom"/>
            <w:gridSpan w:val="11"/>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gridSpan w:val="10"/>
          </w:tcPr>
          <w:p>
            <w:pPr>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Unregistered Sales of Equity Securities and Use of Proceeds</w:t>
              </w:r>
            </w:hyperlink>
          </w:p>
        </w:tc>
        <w:tc>
          <w:tcPr>
            <w:tcW w:w="4700" w:type="dxa"/>
            <w:vAlign w:val="bottom"/>
            <w:gridSpan w:val="7"/>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0" w:type="dxa"/>
            <w:vAlign w:val="bottom"/>
            <w:gridSpan w:val="8"/>
            <w:shd w:val="clear" w:color="auto" w:fill="0000EE"/>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rFonts w:ascii="Arial" w:cs="Arial" w:eastAsia="Arial" w:hAnsi="Arial"/>
                <w:sz w:val="18"/>
                <w:szCs w:val="18"/>
                <w:color w:val="0000FF"/>
                <w:w w:val="98"/>
              </w:rPr>
            </w:pPr>
            <w:hyperlink w:anchor="page48">
              <w:r>
                <w:rPr>
                  <w:rFonts w:ascii="Arial" w:cs="Arial" w:eastAsia="Arial" w:hAnsi="Arial"/>
                  <w:sz w:val="18"/>
                  <w:szCs w:val="18"/>
                  <w:color w:val="0000FF"/>
                  <w:w w:val="98"/>
                </w:rPr>
                <w:t>Exhibits</w:t>
              </w:r>
            </w:hyperlink>
          </w:p>
        </w:tc>
        <w:tc>
          <w:tcPr>
            <w:tcW w:w="4220" w:type="dxa"/>
            <w:vAlign w:val="bottom"/>
            <w:gridSpan w:val="9"/>
          </w:tcPr>
          <w:p>
            <w:pPr>
              <w:spacing w:after="0"/>
              <w:rPr>
                <w:sz w:val="20"/>
                <w:szCs w:val="20"/>
                <w:color w:val="auto"/>
              </w:rPr>
            </w:pPr>
          </w:p>
        </w:tc>
        <w:tc>
          <w:tcPr>
            <w:tcW w:w="4700" w:type="dxa"/>
            <w:vAlign w:val="bottom"/>
            <w:gridSpan w:val="7"/>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45</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700" w:type="dxa"/>
            <w:vAlign w:val="bottom"/>
            <w:gridSpan w:val="1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7"/>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Signatures</w:t>
              </w:r>
            </w:hyperlink>
          </w:p>
        </w:tc>
        <w:tc>
          <w:tcPr>
            <w:tcW w:w="720" w:type="dxa"/>
            <w:vAlign w:val="bottom"/>
            <w:gridSpan w:val="4"/>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46</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340"/>
          </w:cols>
          <w:pgMar w:left="240" w:top="115" w:right="3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w:t>
      </w:r>
    </w:p>
    <w:p>
      <w:pPr>
        <w:spacing w:after="0" w:line="178" w:lineRule="exact"/>
        <w:rPr>
          <w:sz w:val="20"/>
          <w:szCs w:val="20"/>
          <w:color w:val="auto"/>
        </w:rPr>
      </w:pPr>
    </w:p>
    <w:p>
      <w:pPr>
        <w:ind w:left="660" w:hanging="328"/>
        <w:spacing w:after="0" w:line="29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high level of competition in the mobility industry, including from new companies or technology, and the impact such competition may have on pricing and rental volume;</w:t>
      </w:r>
    </w:p>
    <w:p>
      <w:pPr>
        <w:spacing w:after="0" w:line="144" w:lineRule="exact"/>
        <w:rPr>
          <w:rFonts w:ascii="Arial" w:cs="Arial" w:eastAsia="Arial" w:hAnsi="Arial"/>
          <w:sz w:val="18"/>
          <w:szCs w:val="18"/>
          <w:color w:val="auto"/>
        </w:rPr>
      </w:pPr>
    </w:p>
    <w:p>
      <w:pPr>
        <w:ind w:left="660" w:right="260" w:hanging="328"/>
        <w:spacing w:after="0" w:line="27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our fleet costs as a result of a change in the cost of new vehicles, manufacturer recalls, disruption in the supply of new vehicles, and/or a change in the price at which we dispose of used vehicles either in the used vehicle market or under repurchase or guaranteed depreciation programs;</w:t>
      </w:r>
    </w:p>
    <w:p>
      <w:pPr>
        <w:spacing w:after="0" w:line="163"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cars, which could impact their ability to perform their payment obligations under our agreements with them, including repurchase and/or guaranteed depreciation arrangements, and/or their willingness or ability to make cars available to us or the rental car industry as a whole on commercially reasonable terms or at all;</w:t>
      </w:r>
    </w:p>
    <w:p>
      <w:pPr>
        <w:spacing w:after="0" w:line="1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travel demand, including changes or disruptions in airline passenger traffic;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change in economic conditions generally, particularly during our peak season or in key market segments;</w:t>
      </w:r>
    </w:p>
    <w:p>
      <w:pPr>
        <w:spacing w:after="0" w:line="225" w:lineRule="exact"/>
        <w:rPr>
          <w:rFonts w:ascii="Arial" w:cs="Arial" w:eastAsia="Arial" w:hAnsi="Arial"/>
          <w:sz w:val="18"/>
          <w:szCs w:val="18"/>
          <w:color w:val="auto"/>
        </w:rPr>
      </w:pPr>
    </w:p>
    <w:p>
      <w:pPr>
        <w:ind w:left="660" w:right="600" w:hanging="328"/>
        <w:spacing w:after="0" w:line="29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occurrence or threat of terrorism, pandemic disease, natural disasters, military conflict, civil unrest or political instability in the locations in which we operate;</w:t>
      </w:r>
    </w:p>
    <w:p>
      <w:pPr>
        <w:spacing w:after="0" w:line="144"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w:t>
      </w:r>
    </w:p>
    <w:p>
      <w:pPr>
        <w:spacing w:after="0" w:line="144" w:lineRule="exact"/>
        <w:rPr>
          <w:rFonts w:ascii="Arial" w:cs="Arial" w:eastAsia="Arial" w:hAnsi="Arial"/>
          <w:sz w:val="18"/>
          <w:szCs w:val="18"/>
          <w:color w:val="auto"/>
        </w:rPr>
      </w:pPr>
    </w:p>
    <w:p>
      <w:pPr>
        <w:ind w:left="660" w:right="100" w:hanging="328"/>
        <w:spacing w:after="0" w:line="29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to successfully implement our business strategies, achieve and maintain cost savings and adapt our business to changes in mobility;</w:t>
      </w:r>
    </w:p>
    <w:p>
      <w:pPr>
        <w:spacing w:after="0" w:line="144" w:lineRule="exact"/>
        <w:rPr>
          <w:rFonts w:ascii="Arial" w:cs="Arial" w:eastAsia="Arial" w:hAnsi="Arial"/>
          <w:sz w:val="18"/>
          <w:szCs w:val="18"/>
          <w:color w:val="auto"/>
        </w:rPr>
      </w:pPr>
    </w:p>
    <w:p>
      <w:pPr>
        <w:ind w:left="660" w:right="220" w:hanging="328"/>
        <w:spacing w:after="0" w:line="29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political, economic or commercial instability in the countries in which we operate, and our ability to conform to multiple and conflicting laws or regulations in those countries;</w:t>
      </w:r>
    </w:p>
    <w:p>
      <w:pPr>
        <w:spacing w:after="0" w:line="144" w:lineRule="exact"/>
        <w:rPr>
          <w:rFonts w:ascii="Arial" w:cs="Arial" w:eastAsia="Arial" w:hAnsi="Arial"/>
          <w:sz w:val="18"/>
          <w:szCs w:val="18"/>
          <w:color w:val="auto"/>
        </w:rPr>
      </w:pPr>
    </w:p>
    <w:p>
      <w:pPr>
        <w:ind w:left="660" w:right="240" w:hanging="328"/>
        <w:spacing w:after="0" w:line="29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the performance and retention of our senior management and key employees;</w:t>
      </w:r>
    </w:p>
    <w:p>
      <w:pPr>
        <w:spacing w:after="0" w:line="225" w:lineRule="exact"/>
        <w:rPr>
          <w:rFonts w:ascii="Arial" w:cs="Arial" w:eastAsia="Arial" w:hAnsi="Arial"/>
          <w:sz w:val="18"/>
          <w:szCs w:val="18"/>
          <w:color w:val="auto"/>
        </w:rPr>
      </w:pPr>
    </w:p>
    <w:p>
      <w:pPr>
        <w:ind w:left="660" w:right="160" w:hanging="328"/>
        <w:spacing w:after="0" w:line="27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spacing w:after="0" w:line="163" w:lineRule="exact"/>
        <w:rPr>
          <w:rFonts w:ascii="Arial" w:cs="Arial" w:eastAsia="Arial" w:hAnsi="Arial"/>
          <w:sz w:val="18"/>
          <w:szCs w:val="18"/>
          <w:color w:val="auto"/>
        </w:rPr>
      </w:pPr>
    </w:p>
    <w:p>
      <w:pPr>
        <w:ind w:left="660" w:right="180" w:hanging="328"/>
        <w:spacing w:after="0" w:line="29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left="660" w:right="240" w:hanging="328"/>
        <w:spacing w:after="0" w:line="27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163" w:lineRule="exact"/>
        <w:rPr>
          <w:rFonts w:ascii="Arial" w:cs="Arial" w:eastAsia="Arial" w:hAnsi="Arial"/>
          <w:sz w:val="18"/>
          <w:szCs w:val="18"/>
          <w:color w:val="auto"/>
        </w:rPr>
      </w:pPr>
    </w:p>
    <w:p>
      <w:pPr>
        <w:jc w:val="both"/>
        <w:ind w:left="660" w:right="220" w:hanging="328"/>
        <w:spacing w:after="0" w:line="294"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related to protecting the integrity of, and preventing unauthorized access to, our information technology systems or those of our third-party vendors, and protecting the confidential information of our employees and customers against security breaches, including physical or cybersecurity breaches, attacks, or other disruptions, and compliance with privacy and data protection regulation;</w:t>
      </w:r>
    </w:p>
    <w:p>
      <w:pPr>
        <w:spacing w:after="0" w:line="145"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impact on us from the actions of our licensees, dealers, third-party vendors and independent contractors;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tax laws and accounting standards;</w:t>
      </w:r>
    </w:p>
    <w:p>
      <w:pPr>
        <w:spacing w:after="0" w:line="225"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potential interest rate increases, and our ability to incur substantially more debt;</w:t>
      </w:r>
    </w:p>
    <w:p>
      <w:pPr>
        <w:spacing w:after="0" w:line="144" w:lineRule="exact"/>
        <w:rPr>
          <w:rFonts w:ascii="Arial" w:cs="Arial" w:eastAsia="Arial" w:hAnsi="Arial"/>
          <w:sz w:val="18"/>
          <w:szCs w:val="18"/>
          <w:color w:val="auto"/>
        </w:rPr>
      </w:pPr>
    </w:p>
    <w:p>
      <w:pPr>
        <w:ind w:left="660" w:right="160" w:hanging="328"/>
        <w:spacing w:after="0" w:line="29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accurately estimate our future results; and</w:t>
      </w:r>
    </w:p>
    <w:p>
      <w:pPr>
        <w:spacing w:after="0" w:line="225" w:lineRule="exact"/>
        <w:rPr>
          <w:rFonts w:ascii="Arial" w:cs="Arial" w:eastAsia="Arial" w:hAnsi="Arial"/>
          <w:sz w:val="18"/>
          <w:szCs w:val="18"/>
          <w:color w:val="auto"/>
        </w:rPr>
      </w:pPr>
    </w:p>
    <w:p>
      <w:pPr>
        <w:ind w:left="660" w:right="240" w:hanging="328"/>
        <w:spacing w:after="0" w:line="29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14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 accuracy and completeness of those statements. Other factors and assumptions not identified above, including those discussed in “Management’s Discussion and Analysis of Financial Condition and Results of Operations,” “Risk Factors” and other portions of our 2018 Annual Report on Form 10-K filed with the Securities and Exchange Commission on February 21, 2019 (the “2018 Form 10-K”), could cause actual results to differ materially from those projected in any forward-looking statements.</w:t>
      </w:r>
    </w:p>
    <w:p>
      <w:pPr>
        <w:spacing w:after="0" w:line="17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16"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36" w:lineRule="exact"/>
        <w:rPr>
          <w:sz w:val="20"/>
          <w:szCs w:val="20"/>
          <w:color w:val="auto"/>
        </w:rPr>
      </w:pPr>
    </w:p>
    <w:p>
      <w:pPr>
        <w:ind w:left="908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p>
    <w:p>
      <w:pPr>
        <w:ind w:left="96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14605</wp:posOffset>
            </wp:positionV>
            <wp:extent cx="18180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3" w:lineRule="exact"/>
        <w:rPr>
          <w:sz w:val="20"/>
          <w:szCs w:val="20"/>
          <w:color w:val="auto"/>
        </w:rPr>
      </w:pPr>
    </w:p>
    <w:p>
      <w:pPr>
        <w:ind w:left="9040"/>
        <w:spacing w:after="0"/>
        <w:tabs>
          <w:tab w:leader="none" w:pos="1052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29845</wp:posOffset>
            </wp:positionV>
            <wp:extent cx="18180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0" w:lineRule="exact"/>
        <w:rPr>
          <w:sz w:val="20"/>
          <w:szCs w:val="20"/>
          <w:color w:val="auto"/>
        </w:rPr>
      </w:pPr>
    </w:p>
    <w:p>
      <w:pPr>
        <w:ind w:left="40"/>
        <w:spacing w:after="0"/>
        <w:tabs>
          <w:tab w:leader="none" w:pos="8560" w:val="left"/>
          <w:tab w:leader="none" w:pos="9360" w:val="left"/>
          <w:tab w:leader="none" w:pos="10040" w:val="left"/>
          <w:tab w:leader="none" w:pos="10840" w:val="left"/>
        </w:tabs>
        <w:rPr>
          <w:sz w:val="20"/>
          <w:szCs w:val="20"/>
          <w:color w:val="auto"/>
        </w:rPr>
      </w:pPr>
      <w:r>
        <w:rPr>
          <w:rFonts w:ascii="Arial" w:cs="Arial" w:eastAsia="Arial" w:hAnsi="Arial"/>
          <w:sz w:val="18"/>
          <w:szCs w:val="18"/>
          <w:b w:val="1"/>
          <w:bCs w:val="1"/>
          <w:color w:val="auto"/>
        </w:rPr>
        <w:t>Revenues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1,920</w:t>
        <w:tab/>
        <w:t>$</w:t>
      </w:r>
      <w:r>
        <w:rPr>
          <w:sz w:val="20"/>
          <w:szCs w:val="20"/>
          <w:color w:val="auto"/>
        </w:rPr>
        <w:tab/>
      </w:r>
      <w:r>
        <w:rPr>
          <w:rFonts w:ascii="Arial" w:cs="Arial" w:eastAsia="Arial" w:hAnsi="Arial"/>
          <w:sz w:val="18"/>
          <w:szCs w:val="18"/>
          <w:color w:val="auto"/>
        </w:rPr>
        <w:t>1,968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38735</wp:posOffset>
            </wp:positionV>
            <wp:extent cx="18180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Expenses</w:t>
      </w:r>
    </w:p>
    <w:p>
      <w:pPr>
        <w:sectPr>
          <w:pgSz w:w="11900" w:h="16838" w:orient="portrait"/>
          <w:cols w:equalWidth="0" w:num="1">
            <w:col w:w="11420"/>
          </w:cols>
          <w:pgMar w:left="240" w:top="116" w:right="239" w:bottom="1160" w:gutter="0" w:footer="0" w:header="0"/>
        </w:sectPr>
      </w:pPr>
    </w:p>
    <w:p>
      <w:pPr>
        <w:spacing w:after="0" w:line="6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Vehicle depreciation and lease charges, net</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Selling, general and administrative</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Vehicle interest, net</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Non-vehicle related depreciation and amortization</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expense related to corporate debt, net:</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Early extinguishment of debt</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Restructuring and other related charges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Transaction-related costs,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expenses</w:t>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Loss before income taxes</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Benefit from income taxes</w:t>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loss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1" w:lineRule="exact"/>
        <w:rPr>
          <w:sz w:val="1"/>
          <w:szCs w:val="1"/>
          <w:color w:val="auto"/>
        </w:rPr>
      </w:pPr>
    </w:p>
    <w:tbl>
      <w:tblPr>
        <w:tblLayout w:type="fixed"/>
        <w:tblInd w:w="800" w:type="dxa"/>
        <w:tblCellMar>
          <w:top w:w="0" w:type="dxa"/>
          <w:left w:w="0" w:type="dxa"/>
          <w:bottom w:w="0" w:type="dxa"/>
          <w:right w:w="0" w:type="dxa"/>
        </w:tblCellMar>
      </w:tblPr>
      <w:tr>
        <w:trPr>
          <w:trHeight w:val="243"/>
        </w:trPr>
        <w:tc>
          <w:tcPr>
            <w:tcW w:w="960" w:type="dxa"/>
            <w:vAlign w:val="bottom"/>
          </w:tcPr>
          <w:p>
            <w:pPr>
              <w:jc w:val="right"/>
              <w:ind w:right="430"/>
              <w:spacing w:after="0"/>
              <w:rPr>
                <w:sz w:val="20"/>
                <w:szCs w:val="20"/>
                <w:color w:val="auto"/>
              </w:rPr>
            </w:pPr>
            <w:r>
              <w:rPr>
                <w:rFonts w:ascii="Arial" w:cs="Arial" w:eastAsia="Arial" w:hAnsi="Arial"/>
                <w:sz w:val="18"/>
                <w:szCs w:val="18"/>
                <w:color w:val="auto"/>
                <w:w w:val="93"/>
              </w:rPr>
              <w:t>1,071</w:t>
            </w:r>
          </w:p>
        </w:tc>
        <w:tc>
          <w:tcPr>
            <w:tcW w:w="980" w:type="dxa"/>
            <w:vAlign w:val="bottom"/>
          </w:tcPr>
          <w:p>
            <w:pPr>
              <w:jc w:val="right"/>
              <w:spacing w:after="0"/>
              <w:rPr>
                <w:sz w:val="20"/>
                <w:szCs w:val="20"/>
                <w:color w:val="auto"/>
              </w:rPr>
            </w:pPr>
            <w:r>
              <w:rPr>
                <w:rFonts w:ascii="Arial" w:cs="Arial" w:eastAsia="Arial" w:hAnsi="Arial"/>
                <w:sz w:val="18"/>
                <w:szCs w:val="18"/>
                <w:color w:val="auto"/>
              </w:rPr>
              <w:t>1,092</w:t>
            </w:r>
          </w:p>
        </w:tc>
      </w:tr>
      <w:tr>
        <w:trPr>
          <w:trHeight w:val="270"/>
        </w:trPr>
        <w:tc>
          <w:tcPr>
            <w:tcW w:w="960" w:type="dxa"/>
            <w:vAlign w:val="bottom"/>
          </w:tcPr>
          <w:p>
            <w:pPr>
              <w:jc w:val="right"/>
              <w:ind w:right="430"/>
              <w:spacing w:after="0"/>
              <w:rPr>
                <w:sz w:val="20"/>
                <w:szCs w:val="20"/>
                <w:color w:val="auto"/>
              </w:rPr>
            </w:pPr>
            <w:r>
              <w:rPr>
                <w:rFonts w:ascii="Arial" w:cs="Arial" w:eastAsia="Arial" w:hAnsi="Arial"/>
                <w:sz w:val="18"/>
                <w:szCs w:val="18"/>
                <w:color w:val="auto"/>
              </w:rPr>
              <w:t>485</w:t>
            </w:r>
          </w:p>
        </w:tc>
        <w:tc>
          <w:tcPr>
            <w:tcW w:w="98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70"/>
        </w:trPr>
        <w:tc>
          <w:tcPr>
            <w:tcW w:w="960" w:type="dxa"/>
            <w:vAlign w:val="bottom"/>
          </w:tcPr>
          <w:p>
            <w:pPr>
              <w:jc w:val="right"/>
              <w:ind w:right="430"/>
              <w:spacing w:after="0"/>
              <w:rPr>
                <w:sz w:val="20"/>
                <w:szCs w:val="20"/>
                <w:color w:val="auto"/>
              </w:rPr>
            </w:pPr>
            <w:r>
              <w:rPr>
                <w:rFonts w:ascii="Arial" w:cs="Arial" w:eastAsia="Arial" w:hAnsi="Arial"/>
                <w:sz w:val="18"/>
                <w:szCs w:val="18"/>
                <w:color w:val="auto"/>
              </w:rPr>
              <w:t>284</w:t>
            </w:r>
          </w:p>
        </w:tc>
        <w:tc>
          <w:tcPr>
            <w:tcW w:w="98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70"/>
        </w:trPr>
        <w:tc>
          <w:tcPr>
            <w:tcW w:w="960" w:type="dxa"/>
            <w:vAlign w:val="bottom"/>
          </w:tcPr>
          <w:p>
            <w:pPr>
              <w:jc w:val="right"/>
              <w:ind w:right="430"/>
              <w:spacing w:after="0"/>
              <w:rPr>
                <w:sz w:val="20"/>
                <w:szCs w:val="20"/>
                <w:color w:val="auto"/>
              </w:rPr>
            </w:pPr>
            <w:r>
              <w:rPr>
                <w:rFonts w:ascii="Arial" w:cs="Arial" w:eastAsia="Arial" w:hAnsi="Arial"/>
                <w:sz w:val="18"/>
                <w:szCs w:val="18"/>
                <w:color w:val="auto"/>
              </w:rPr>
              <w:t>81</w:t>
            </w: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960" w:type="dxa"/>
            <w:vAlign w:val="bottom"/>
          </w:tcPr>
          <w:p>
            <w:pPr>
              <w:jc w:val="right"/>
              <w:ind w:right="430"/>
              <w:spacing w:after="0"/>
              <w:rPr>
                <w:sz w:val="20"/>
                <w:szCs w:val="20"/>
                <w:color w:val="auto"/>
              </w:rPr>
            </w:pPr>
            <w:r>
              <w:rPr>
                <w:rFonts w:ascii="Arial" w:cs="Arial" w:eastAsia="Arial" w:hAnsi="Arial"/>
                <w:sz w:val="18"/>
                <w:szCs w:val="18"/>
                <w:color w:val="auto"/>
              </w:rPr>
              <w:t>67</w:t>
            </w: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540"/>
        </w:trPr>
        <w:tc>
          <w:tcPr>
            <w:tcW w:w="960" w:type="dxa"/>
            <w:vAlign w:val="bottom"/>
          </w:tcPr>
          <w:p>
            <w:pPr>
              <w:jc w:val="right"/>
              <w:ind w:right="430"/>
              <w:spacing w:after="0"/>
              <w:rPr>
                <w:sz w:val="20"/>
                <w:szCs w:val="20"/>
                <w:color w:val="auto"/>
              </w:rPr>
            </w:pPr>
            <w:r>
              <w:rPr>
                <w:rFonts w:ascii="Arial" w:cs="Arial" w:eastAsia="Arial" w:hAnsi="Arial"/>
                <w:sz w:val="18"/>
                <w:szCs w:val="18"/>
                <w:color w:val="auto"/>
              </w:rPr>
              <w:t>42</w:t>
            </w: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2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5</w:t>
      </w:r>
    </w:p>
    <w:p>
      <w:pPr>
        <w:spacing w:after="0" w:line="63" w:lineRule="exact"/>
        <w:rPr>
          <w:sz w:val="20"/>
          <w:szCs w:val="20"/>
          <w:color w:val="auto"/>
        </w:rPr>
      </w:pPr>
    </w:p>
    <w:p>
      <w:pPr>
        <w:ind w:left="1040"/>
        <w:spacing w:after="0"/>
        <w:tabs>
          <w:tab w:leader="none" w:pos="2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6</w:t>
      </w:r>
    </w:p>
    <w:p>
      <w:pPr>
        <w:spacing w:after="0" w:line="63" w:lineRule="exact"/>
        <w:rPr>
          <w:sz w:val="20"/>
          <w:szCs w:val="20"/>
          <w:color w:val="auto"/>
        </w:rPr>
      </w:pPr>
    </w:p>
    <w:p>
      <w:pPr>
        <w:ind w:left="2640" w:hanging="1494"/>
        <w:spacing w:after="0"/>
        <w:tabs>
          <w:tab w:leader="none" w:pos="2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28575</wp:posOffset>
            </wp:positionV>
            <wp:extent cx="18180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43" w:lineRule="exact"/>
        <w:rPr>
          <w:sz w:val="20"/>
          <w:szCs w:val="20"/>
          <w:color w:val="auto"/>
        </w:rPr>
      </w:pPr>
    </w:p>
    <w:p>
      <w:pPr>
        <w:ind w:left="800"/>
        <w:spacing w:after="0"/>
        <w:tabs>
          <w:tab w:leader="none" w:pos="2260" w:val="left"/>
        </w:tabs>
        <w:rPr>
          <w:sz w:val="20"/>
          <w:szCs w:val="20"/>
          <w:color w:val="auto"/>
        </w:rPr>
      </w:pPr>
      <w:r>
        <w:rPr>
          <w:rFonts w:ascii="Arial" w:cs="Arial" w:eastAsia="Arial" w:hAnsi="Arial"/>
          <w:sz w:val="18"/>
          <w:szCs w:val="18"/>
          <w:color w:val="auto"/>
        </w:rPr>
        <w:t>2,056</w:t>
      </w:r>
      <w:r>
        <w:rPr>
          <w:sz w:val="20"/>
          <w:szCs w:val="20"/>
          <w:color w:val="auto"/>
        </w:rPr>
        <w:tab/>
      </w:r>
      <w:r>
        <w:rPr>
          <w:rFonts w:ascii="Arial" w:cs="Arial" w:eastAsia="Arial" w:hAnsi="Arial"/>
          <w:sz w:val="18"/>
          <w:szCs w:val="18"/>
          <w:color w:val="auto"/>
        </w:rPr>
        <w:t>2,097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28575</wp:posOffset>
            </wp:positionV>
            <wp:extent cx="18180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86" w:lineRule="exact"/>
        <w:rPr>
          <w:sz w:val="20"/>
          <w:szCs w:val="20"/>
          <w:color w:val="auto"/>
        </w:rPr>
      </w:pPr>
    </w:p>
    <w:p>
      <w:pPr>
        <w:ind w:left="2380" w:hanging="1494"/>
        <w:spacing w:after="0"/>
        <w:tabs>
          <w:tab w:leader="none" w:pos="2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(129)</w:t>
      </w:r>
    </w:p>
    <w:p>
      <w:pPr>
        <w:spacing w:after="0" w:line="75" w:lineRule="exact"/>
        <w:rPr>
          <w:sz w:val="20"/>
          <w:szCs w:val="20"/>
          <w:color w:val="auto"/>
        </w:rPr>
      </w:pPr>
    </w:p>
    <w:p>
      <w:pPr>
        <w:ind w:left="2480" w:hanging="1494"/>
        <w:spacing w:after="0"/>
        <w:tabs>
          <w:tab w:leader="none" w:pos="2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36195</wp:posOffset>
            </wp:positionV>
            <wp:extent cx="18180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84" w:lineRule="exact"/>
        <w:rPr>
          <w:sz w:val="20"/>
          <w:szCs w:val="20"/>
          <w:color w:val="auto"/>
        </w:rPr>
      </w:pPr>
    </w:p>
    <w:p>
      <w:pPr>
        <w:spacing w:after="0"/>
        <w:tabs>
          <w:tab w:leader="none" w:pos="960" w:val="left"/>
          <w:tab w:leader="none" w:pos="2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(91)  $</w:t>
      </w:r>
      <w:r>
        <w:rPr>
          <w:sz w:val="20"/>
          <w:szCs w:val="20"/>
          <w:color w:val="auto"/>
        </w:rPr>
        <w:tab/>
      </w: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28575</wp:posOffset>
            </wp:positionV>
            <wp:extent cx="181800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800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720"/>
            <w:col w:w="2840"/>
          </w:cols>
          <w:pgMar w:left="240" w:top="116" w:right="239" w:bottom="1160" w:gutter="0" w:footer="0" w:header="0"/>
          <w:type w:val="continuous"/>
        </w:sectPr>
      </w:pP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852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485"/>
        </w:trPr>
        <w:tc>
          <w:tcPr>
            <w:tcW w:w="8520" w:type="dxa"/>
            <w:vAlign w:val="bottom"/>
          </w:tcPr>
          <w:p>
            <w:pPr>
              <w:spacing w:after="0"/>
              <w:rPr>
                <w:sz w:val="20"/>
                <w:szCs w:val="20"/>
                <w:color w:val="auto"/>
              </w:rPr>
            </w:pPr>
            <w:r>
              <w:rPr>
                <w:rFonts w:ascii="Arial" w:cs="Arial" w:eastAsia="Arial" w:hAnsi="Arial"/>
                <w:sz w:val="18"/>
                <w:szCs w:val="18"/>
                <w:b w:val="1"/>
                <w:bCs w:val="1"/>
                <w:color w:val="auto"/>
              </w:rPr>
              <w:t>Loss per share</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6"/>
        </w:trPr>
        <w:tc>
          <w:tcPr>
            <w:tcW w:w="8520" w:type="dxa"/>
            <w:vAlign w:val="bottom"/>
          </w:tcPr>
          <w:p>
            <w:pPr>
              <w:ind w:left="220"/>
              <w:spacing w:after="0"/>
              <w:rPr>
                <w:sz w:val="20"/>
                <w:szCs w:val="20"/>
                <w:color w:val="auto"/>
              </w:rPr>
            </w:pPr>
            <w:r>
              <w:rPr>
                <w:rFonts w:ascii="Arial" w:cs="Arial" w:eastAsia="Arial" w:hAnsi="Arial"/>
                <w:sz w:val="18"/>
                <w:szCs w:val="18"/>
                <w:color w:val="auto"/>
              </w:rPr>
              <w:t>Basic</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0"/>
        </w:trPr>
        <w:tc>
          <w:tcPr>
            <w:tcW w:w="8520" w:type="dxa"/>
            <w:vAlign w:val="bottom"/>
          </w:tcPr>
          <w:p>
            <w:pPr>
              <w:ind w:left="220"/>
              <w:spacing w:after="0"/>
              <w:rPr>
                <w:sz w:val="20"/>
                <w:szCs w:val="20"/>
                <w:color w:val="auto"/>
              </w:rPr>
            </w:pPr>
            <w:r>
              <w:rPr>
                <w:rFonts w:ascii="Arial" w:cs="Arial" w:eastAsia="Arial" w:hAnsi="Arial"/>
                <w:sz w:val="18"/>
                <w:szCs w:val="18"/>
                <w:color w:val="auto"/>
              </w:rPr>
              <w:t>Diluted</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20"/>
          </w:cols>
          <w:pgMar w:left="240" w:top="116" w:right="239" w:bottom="116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6" w:right="239" w:bottom="116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6"/>
                <w:szCs w:val="16"/>
                <w:color w:val="auto"/>
              </w:rPr>
            </w:pPr>
          </w:p>
        </w:tc>
        <w:tc>
          <w:tcPr>
            <w:tcW w:w="1500" w:type="dxa"/>
            <w:vAlign w:val="bottom"/>
          </w:tcPr>
          <w:p>
            <w:pPr>
              <w:jc w:val="right"/>
              <w:ind w:right="2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30"/>
        </w:trPr>
        <w:tc>
          <w:tcPr>
            <w:tcW w:w="7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22"/>
        </w:trPr>
        <w:tc>
          <w:tcPr>
            <w:tcW w:w="786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7860" w:type="dxa"/>
            <w:vAlign w:val="bottom"/>
          </w:tcPr>
          <w:p>
            <w:pPr>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786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Arial" w:cs="Arial" w:eastAsia="Arial" w:hAnsi="Arial"/>
                <w:sz w:val="16"/>
                <w:szCs w:val="16"/>
                <w:color w:val="auto"/>
              </w:rPr>
              <w:t>Receivables, net</w:t>
            </w:r>
          </w:p>
        </w:tc>
        <w:tc>
          <w:tcPr>
            <w:tcW w:w="280" w:type="dxa"/>
            <w:vAlign w:val="bottom"/>
          </w:tcPr>
          <w:p>
            <w:pPr>
              <w:spacing w:after="0"/>
              <w:rPr>
                <w:sz w:val="23"/>
                <w:szCs w:val="23"/>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915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279"/>
        </w:trPr>
        <w:tc>
          <w:tcPr>
            <w:tcW w:w="786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41"/>
        </w:trPr>
        <w:tc>
          <w:tcPr>
            <w:tcW w:w="7860" w:type="dxa"/>
            <w:vAlign w:val="bottom"/>
          </w:tcPr>
          <w:p>
            <w:pPr>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2,137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2,174</w:t>
            </w:r>
          </w:p>
        </w:tc>
        <w:tc>
          <w:tcPr>
            <w:tcW w:w="0" w:type="dxa"/>
            <w:vAlign w:val="bottom"/>
          </w:tcPr>
          <w:p>
            <w:pPr>
              <w:spacing w:after="0"/>
              <w:rPr>
                <w:sz w:val="1"/>
                <w:szCs w:val="1"/>
                <w:color w:val="auto"/>
              </w:rPr>
            </w:pPr>
          </w:p>
        </w:tc>
      </w:tr>
      <w:tr>
        <w:trPr>
          <w:trHeight w:val="459"/>
        </w:trPr>
        <w:tc>
          <w:tcPr>
            <w:tcW w:w="78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80" w:type="dxa"/>
            <w:vAlign w:val="bottom"/>
          </w:tcPr>
          <w:p>
            <w:pPr>
              <w:spacing w:after="0"/>
              <w:rPr>
                <w:sz w:val="24"/>
                <w:szCs w:val="24"/>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tcPr>
          <w:p>
            <w:pPr>
              <w:spacing w:after="0"/>
              <w:rPr>
                <w:sz w:val="23"/>
                <w:szCs w:val="23"/>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2,506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3"/>
                <w:szCs w:val="23"/>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1,389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1,301</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3"/>
                <w:szCs w:val="23"/>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1,086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1,092</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6"/>
                <w:szCs w:val="16"/>
                <w:color w:val="auto"/>
              </w:rPr>
              <w:t>Other intangibles, net</w:t>
            </w:r>
          </w:p>
        </w:tc>
        <w:tc>
          <w:tcPr>
            <w:tcW w:w="280" w:type="dxa"/>
            <w:vAlign w:val="bottom"/>
          </w:tcPr>
          <w:p>
            <w:pPr>
              <w:spacing w:after="0"/>
              <w:rPr>
                <w:sz w:val="23"/>
                <w:szCs w:val="23"/>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809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279"/>
        </w:trPr>
        <w:tc>
          <w:tcPr>
            <w:tcW w:w="786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50"/>
        </w:trPr>
        <w:tc>
          <w:tcPr>
            <w:tcW w:w="7860" w:type="dxa"/>
            <w:vAlign w:val="bottom"/>
          </w:tcPr>
          <w:p>
            <w:pPr>
              <w:spacing w:after="0"/>
              <w:rPr>
                <w:sz w:val="20"/>
                <w:szCs w:val="20"/>
                <w:color w:val="auto"/>
              </w:rPr>
            </w:pPr>
            <w:r>
              <w:rPr>
                <w:rFonts w:ascii="Arial" w:cs="Arial" w:eastAsia="Arial" w:hAnsi="Arial"/>
                <w:sz w:val="16"/>
                <w:szCs w:val="16"/>
                <w:color w:val="auto"/>
              </w:rPr>
              <w:t>Total assets exclusive of assets under vehicle programs</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8,922</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6,370</w:t>
            </w:r>
          </w:p>
        </w:tc>
        <w:tc>
          <w:tcPr>
            <w:tcW w:w="0" w:type="dxa"/>
            <w:vAlign w:val="bottom"/>
          </w:tcPr>
          <w:p>
            <w:pPr>
              <w:spacing w:after="0"/>
              <w:rPr>
                <w:sz w:val="1"/>
                <w:szCs w:val="1"/>
                <w:color w:val="auto"/>
              </w:rPr>
            </w:pPr>
          </w:p>
        </w:tc>
      </w:tr>
      <w:tr>
        <w:trPr>
          <w:trHeight w:val="417"/>
        </w:trPr>
        <w:tc>
          <w:tcPr>
            <w:tcW w:w="7860" w:type="dxa"/>
            <w:vAlign w:val="bottom"/>
          </w:tcPr>
          <w:p>
            <w:pPr>
              <w:spacing w:after="0"/>
              <w:rPr>
                <w:sz w:val="20"/>
                <w:szCs w:val="20"/>
                <w:color w:val="auto"/>
              </w:rPr>
            </w:pPr>
            <w:r>
              <w:rPr>
                <w:rFonts w:ascii="Arial" w:cs="Arial" w:eastAsia="Arial" w:hAnsi="Arial"/>
                <w:sz w:val="16"/>
                <w:szCs w:val="16"/>
                <w:color w:val="auto"/>
              </w:rPr>
              <w:t>Assets under vehicle programs:</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60" w:type="dxa"/>
            <w:vAlign w:val="bottom"/>
          </w:tcPr>
          <w:p>
            <w:pPr>
              <w:ind w:left="120"/>
              <w:spacing w:after="0"/>
              <w:rPr>
                <w:sz w:val="20"/>
                <w:szCs w:val="20"/>
                <w:color w:val="auto"/>
              </w:rPr>
            </w:pPr>
            <w:r>
              <w:rPr>
                <w:rFonts w:ascii="Arial" w:cs="Arial" w:eastAsia="Arial" w:hAnsi="Arial"/>
                <w:sz w:val="16"/>
                <w:szCs w:val="16"/>
                <w:color w:val="auto"/>
              </w:rPr>
              <w:t>Program cash</w:t>
            </w:r>
          </w:p>
        </w:tc>
        <w:tc>
          <w:tcPr>
            <w:tcW w:w="280" w:type="dxa"/>
            <w:vAlign w:val="bottom"/>
          </w:tcPr>
          <w:p>
            <w:pPr>
              <w:spacing w:after="0"/>
              <w:rPr>
                <w:sz w:val="24"/>
                <w:szCs w:val="24"/>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Arial" w:cs="Arial" w:eastAsia="Arial" w:hAnsi="Arial"/>
                <w:sz w:val="16"/>
                <w:szCs w:val="16"/>
                <w:color w:val="auto"/>
              </w:rPr>
              <w:t>Vehicles, net</w:t>
            </w:r>
          </w:p>
        </w:tc>
        <w:tc>
          <w:tcPr>
            <w:tcW w:w="280" w:type="dxa"/>
            <w:vAlign w:val="bottom"/>
          </w:tcPr>
          <w:p>
            <w:pPr>
              <w:spacing w:after="0"/>
              <w:rPr>
                <w:sz w:val="23"/>
                <w:szCs w:val="23"/>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12,585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11,474</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Arial" w:cs="Arial" w:eastAsia="Arial" w:hAnsi="Arial"/>
                <w:sz w:val="16"/>
                <w:szCs w:val="16"/>
                <w:color w:val="auto"/>
              </w:rPr>
              <w:t>Receivables from vehicle manufacturers and other</w:t>
            </w:r>
          </w:p>
        </w:tc>
        <w:tc>
          <w:tcPr>
            <w:tcW w:w="280" w:type="dxa"/>
            <w:vAlign w:val="bottom"/>
          </w:tcPr>
          <w:p>
            <w:pPr>
              <w:spacing w:after="0"/>
              <w:rPr>
                <w:sz w:val="23"/>
                <w:szCs w:val="23"/>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79"/>
        </w:trPr>
        <w:tc>
          <w:tcPr>
            <w:tcW w:w="7860" w:type="dxa"/>
            <w:vAlign w:val="bottom"/>
          </w:tcPr>
          <w:p>
            <w:pPr>
              <w:ind w:left="120"/>
              <w:spacing w:after="0"/>
              <w:rPr>
                <w:sz w:val="20"/>
                <w:szCs w:val="20"/>
                <w:color w:val="auto"/>
              </w:rPr>
            </w:pPr>
            <w:r>
              <w:rPr>
                <w:rFonts w:ascii="Arial" w:cs="Arial" w:eastAsia="Arial" w:hAnsi="Arial"/>
                <w:sz w:val="16"/>
                <w:szCs w:val="16"/>
                <w:color w:val="auto"/>
              </w:rPr>
              <w:t>Investment in Avis Budget Rental Car Funding (AESOP) LLC—related party</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637</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250"/>
        </w:trPr>
        <w:tc>
          <w:tcPr>
            <w:tcW w:w="78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13,980</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12,779</w:t>
            </w:r>
          </w:p>
        </w:tc>
        <w:tc>
          <w:tcPr>
            <w:tcW w:w="0" w:type="dxa"/>
            <w:vAlign w:val="bottom"/>
          </w:tcPr>
          <w:p>
            <w:pPr>
              <w:spacing w:after="0"/>
              <w:rPr>
                <w:sz w:val="1"/>
                <w:szCs w:val="1"/>
                <w:color w:val="auto"/>
              </w:rPr>
            </w:pPr>
          </w:p>
        </w:tc>
      </w:tr>
      <w:tr>
        <w:trPr>
          <w:trHeight w:val="237"/>
        </w:trPr>
        <w:tc>
          <w:tcPr>
            <w:tcW w:w="786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22,902</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19,149</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860" w:type="dxa"/>
            <w:vAlign w:val="bottom"/>
          </w:tcPr>
          <w:p>
            <w:pPr>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7860" w:type="dxa"/>
            <w:vAlign w:val="bottom"/>
          </w:tcPr>
          <w:p>
            <w:pPr>
              <w:ind w:left="120"/>
              <w:spacing w:after="0"/>
              <w:rPr>
                <w:sz w:val="20"/>
                <w:szCs w:val="20"/>
                <w:color w:val="auto"/>
              </w:rPr>
            </w:pPr>
            <w:r>
              <w:rPr>
                <w:rFonts w:ascii="Arial" w:cs="Arial" w:eastAsia="Arial" w:hAnsi="Arial"/>
                <w:sz w:val="16"/>
                <w:szCs w:val="16"/>
                <w:color w:val="auto"/>
              </w:rPr>
              <w:t>Accounts payable and other current liabilities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2,235</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1,693</w:t>
            </w:r>
          </w:p>
        </w:tc>
        <w:tc>
          <w:tcPr>
            <w:tcW w:w="0" w:type="dxa"/>
            <w:vAlign w:val="bottom"/>
          </w:tcPr>
          <w:p>
            <w:pPr>
              <w:spacing w:after="0"/>
              <w:rPr>
                <w:sz w:val="1"/>
                <w:szCs w:val="1"/>
                <w:color w:val="auto"/>
              </w:rPr>
            </w:pPr>
          </w:p>
        </w:tc>
      </w:tr>
      <w:tr>
        <w:trPr>
          <w:trHeight w:val="279"/>
        </w:trPr>
        <w:tc>
          <w:tcPr>
            <w:tcW w:w="7860" w:type="dxa"/>
            <w:vAlign w:val="bottom"/>
          </w:tcPr>
          <w:p>
            <w:pPr>
              <w:ind w:left="120"/>
              <w:spacing w:after="0"/>
              <w:rPr>
                <w:sz w:val="20"/>
                <w:szCs w:val="20"/>
                <w:color w:val="auto"/>
              </w:rPr>
            </w:pPr>
            <w:r>
              <w:rPr>
                <w:rFonts w:ascii="Arial" w:cs="Arial" w:eastAsia="Arial" w:hAnsi="Arial"/>
                <w:sz w:val="16"/>
                <w:szCs w:val="16"/>
                <w:color w:val="auto"/>
              </w:rPr>
              <w:t>Short-term debt and current portion of long-term debt</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41"/>
        </w:trPr>
        <w:tc>
          <w:tcPr>
            <w:tcW w:w="786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2,258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1,716</w:t>
            </w:r>
          </w:p>
        </w:tc>
        <w:tc>
          <w:tcPr>
            <w:tcW w:w="0" w:type="dxa"/>
            <w:vAlign w:val="bottom"/>
          </w:tcPr>
          <w:p>
            <w:pPr>
              <w:spacing w:after="0"/>
              <w:rPr>
                <w:sz w:val="1"/>
                <w:szCs w:val="1"/>
                <w:color w:val="auto"/>
              </w:rPr>
            </w:pPr>
          </w:p>
        </w:tc>
      </w:tr>
      <w:tr>
        <w:trPr>
          <w:trHeight w:val="459"/>
        </w:trPr>
        <w:tc>
          <w:tcPr>
            <w:tcW w:w="7860" w:type="dxa"/>
            <w:vAlign w:val="bottom"/>
          </w:tcPr>
          <w:p>
            <w:pPr>
              <w:spacing w:after="0"/>
              <w:rPr>
                <w:sz w:val="20"/>
                <w:szCs w:val="20"/>
                <w:color w:val="auto"/>
              </w:rPr>
            </w:pPr>
            <w:r>
              <w:rPr>
                <w:rFonts w:ascii="Arial" w:cs="Arial" w:eastAsia="Arial" w:hAnsi="Arial"/>
                <w:sz w:val="16"/>
                <w:szCs w:val="16"/>
                <w:color w:val="auto"/>
              </w:rPr>
              <w:t>Long-term debt</w:t>
            </w:r>
          </w:p>
        </w:tc>
        <w:tc>
          <w:tcPr>
            <w:tcW w:w="280" w:type="dxa"/>
            <w:vAlign w:val="bottom"/>
          </w:tcPr>
          <w:p>
            <w:pPr>
              <w:spacing w:after="0"/>
              <w:rPr>
                <w:sz w:val="24"/>
                <w:szCs w:val="24"/>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3,501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3,528</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6"/>
                <w:szCs w:val="16"/>
                <w:color w:val="auto"/>
              </w:rPr>
              <w:t>Long-term operating lease liabilities</w:t>
            </w:r>
          </w:p>
        </w:tc>
        <w:tc>
          <w:tcPr>
            <w:tcW w:w="280" w:type="dxa"/>
            <w:vAlign w:val="bottom"/>
          </w:tcPr>
          <w:p>
            <w:pPr>
              <w:spacing w:after="0"/>
              <w:rPr>
                <w:sz w:val="23"/>
                <w:szCs w:val="23"/>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2,046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9"/>
        </w:trPr>
        <w:tc>
          <w:tcPr>
            <w:tcW w:w="786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739</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767</w:t>
            </w:r>
          </w:p>
        </w:tc>
        <w:tc>
          <w:tcPr>
            <w:tcW w:w="0" w:type="dxa"/>
            <w:vAlign w:val="bottom"/>
          </w:tcPr>
          <w:p>
            <w:pPr>
              <w:spacing w:after="0"/>
              <w:rPr>
                <w:sz w:val="1"/>
                <w:szCs w:val="1"/>
                <w:color w:val="auto"/>
              </w:rPr>
            </w:pPr>
          </w:p>
        </w:tc>
      </w:tr>
      <w:tr>
        <w:trPr>
          <w:trHeight w:val="250"/>
        </w:trPr>
        <w:tc>
          <w:tcPr>
            <w:tcW w:w="7860" w:type="dxa"/>
            <w:vAlign w:val="bottom"/>
          </w:tcPr>
          <w:p>
            <w:pPr>
              <w:spacing w:after="0"/>
              <w:rPr>
                <w:sz w:val="20"/>
                <w:szCs w:val="20"/>
                <w:color w:val="auto"/>
              </w:rPr>
            </w:pPr>
            <w:r>
              <w:rPr>
                <w:rFonts w:ascii="Arial" w:cs="Arial" w:eastAsia="Arial" w:hAnsi="Arial"/>
                <w:sz w:val="16"/>
                <w:szCs w:val="16"/>
                <w:color w:val="auto"/>
              </w:rPr>
              <w:t>Total liabilities exclusive of liabilities under vehicle programs</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8,544</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6,011</w:t>
            </w:r>
          </w:p>
        </w:tc>
        <w:tc>
          <w:tcPr>
            <w:tcW w:w="0" w:type="dxa"/>
            <w:vAlign w:val="bottom"/>
          </w:tcPr>
          <w:p>
            <w:pPr>
              <w:spacing w:after="0"/>
              <w:rPr>
                <w:sz w:val="1"/>
                <w:szCs w:val="1"/>
                <w:color w:val="auto"/>
              </w:rPr>
            </w:pPr>
          </w:p>
        </w:tc>
      </w:tr>
      <w:tr>
        <w:trPr>
          <w:trHeight w:val="417"/>
        </w:trPr>
        <w:tc>
          <w:tcPr>
            <w:tcW w:w="7860" w:type="dxa"/>
            <w:vAlign w:val="bottom"/>
          </w:tcPr>
          <w:p>
            <w:pPr>
              <w:spacing w:after="0"/>
              <w:rPr>
                <w:sz w:val="20"/>
                <w:szCs w:val="20"/>
                <w:color w:val="auto"/>
              </w:rPr>
            </w:pPr>
            <w:r>
              <w:rPr>
                <w:rFonts w:ascii="Arial" w:cs="Arial" w:eastAsia="Arial" w:hAnsi="Arial"/>
                <w:sz w:val="16"/>
                <w:szCs w:val="16"/>
                <w:color w:val="auto"/>
              </w:rPr>
              <w:t>Liabilities under vehicle programs:</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60" w:type="dxa"/>
            <w:vAlign w:val="bottom"/>
          </w:tcPr>
          <w:p>
            <w:pPr>
              <w:ind w:left="120"/>
              <w:spacing w:after="0"/>
              <w:rPr>
                <w:sz w:val="20"/>
                <w:szCs w:val="20"/>
                <w:color w:val="auto"/>
              </w:rPr>
            </w:pPr>
            <w:r>
              <w:rPr>
                <w:rFonts w:ascii="Arial" w:cs="Arial" w:eastAsia="Arial" w:hAnsi="Arial"/>
                <w:sz w:val="16"/>
                <w:szCs w:val="16"/>
                <w:color w:val="auto"/>
              </w:rPr>
              <w:t>Debt</w:t>
            </w:r>
          </w:p>
        </w:tc>
        <w:tc>
          <w:tcPr>
            <w:tcW w:w="280" w:type="dxa"/>
            <w:vAlign w:val="bottom"/>
          </w:tcPr>
          <w:p>
            <w:pPr>
              <w:spacing w:after="0"/>
              <w:rPr>
                <w:sz w:val="24"/>
                <w:szCs w:val="24"/>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2,665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2,874</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Arial" w:cs="Arial" w:eastAsia="Arial" w:hAnsi="Arial"/>
                <w:sz w:val="16"/>
                <w:szCs w:val="16"/>
                <w:color w:val="auto"/>
              </w:rPr>
              <w:t>Debt due to Avis Budget Rental Car Funding (AESOP) LLC—related party</w:t>
            </w:r>
          </w:p>
        </w:tc>
        <w:tc>
          <w:tcPr>
            <w:tcW w:w="280" w:type="dxa"/>
            <w:vAlign w:val="bottom"/>
          </w:tcPr>
          <w:p>
            <w:pPr>
              <w:spacing w:after="0"/>
              <w:rPr>
                <w:sz w:val="23"/>
                <w:szCs w:val="23"/>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8,540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7,358</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3"/>
                <w:szCs w:val="23"/>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1,995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1,961</w:t>
            </w:r>
          </w:p>
        </w:tc>
        <w:tc>
          <w:tcPr>
            <w:tcW w:w="0" w:type="dxa"/>
            <w:vAlign w:val="bottom"/>
          </w:tcPr>
          <w:p>
            <w:pPr>
              <w:spacing w:after="0"/>
              <w:rPr>
                <w:sz w:val="1"/>
                <w:szCs w:val="1"/>
                <w:color w:val="auto"/>
              </w:rPr>
            </w:pPr>
          </w:p>
        </w:tc>
      </w:tr>
      <w:tr>
        <w:trPr>
          <w:trHeight w:val="279"/>
        </w:trPr>
        <w:tc>
          <w:tcPr>
            <w:tcW w:w="7860" w:type="dxa"/>
            <w:vAlign w:val="bottom"/>
          </w:tcPr>
          <w:p>
            <w:pPr>
              <w:ind w:left="1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834</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50"/>
        </w:trPr>
        <w:tc>
          <w:tcPr>
            <w:tcW w:w="78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14,034</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12,724</w:t>
            </w:r>
          </w:p>
        </w:tc>
        <w:tc>
          <w:tcPr>
            <w:tcW w:w="0" w:type="dxa"/>
            <w:vAlign w:val="bottom"/>
          </w:tcPr>
          <w:p>
            <w:pPr>
              <w:spacing w:after="0"/>
              <w:rPr>
                <w:sz w:val="1"/>
                <w:szCs w:val="1"/>
                <w:color w:val="auto"/>
              </w:rPr>
            </w:pPr>
          </w:p>
        </w:tc>
      </w:tr>
      <w:tr>
        <w:trPr>
          <w:trHeight w:val="214"/>
        </w:trPr>
        <w:tc>
          <w:tcPr>
            <w:tcW w:w="7860" w:type="dxa"/>
            <w:vAlign w:val="bottom"/>
          </w:tcPr>
          <w:p>
            <w:pPr>
              <w:spacing w:after="0"/>
              <w:rPr>
                <w:sz w:val="20"/>
                <w:szCs w:val="20"/>
                <w:color w:val="auto"/>
              </w:rPr>
            </w:pPr>
            <w:r>
              <w:rPr>
                <w:rFonts w:ascii="Arial" w:cs="Arial" w:eastAsia="Arial" w:hAnsi="Arial"/>
                <w:sz w:val="16"/>
                <w:szCs w:val="16"/>
                <w:color w:val="auto"/>
              </w:rPr>
              <w:t>Commitments and contingencies (Note 12)</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7860" w:type="dxa"/>
            <w:vAlign w:val="bottom"/>
          </w:tcPr>
          <w:p>
            <w:pPr>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60" w:type="dxa"/>
            <w:vAlign w:val="bottom"/>
          </w:tcPr>
          <w:p>
            <w:pPr>
              <w:ind w:left="120"/>
              <w:spacing w:after="0"/>
              <w:rPr>
                <w:sz w:val="20"/>
                <w:szCs w:val="20"/>
                <w:color w:val="auto"/>
              </w:rPr>
            </w:pPr>
            <w:r>
              <w:rPr>
                <w:rFonts w:ascii="Arial" w:cs="Arial" w:eastAsia="Arial" w:hAnsi="Arial"/>
                <w:sz w:val="16"/>
                <w:szCs w:val="16"/>
                <w:color w:val="auto"/>
              </w:rPr>
              <w:t>Preferred stock, $0.01 par value—authorized 10 shares; none issued and outstanding, respectively</w:t>
            </w:r>
          </w:p>
        </w:tc>
        <w:tc>
          <w:tcPr>
            <w:tcW w:w="280" w:type="dxa"/>
            <w:vAlign w:val="bottom"/>
          </w:tcPr>
          <w:p>
            <w:pPr>
              <w:spacing w:after="0"/>
              <w:rPr>
                <w:sz w:val="24"/>
                <w:szCs w:val="24"/>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Arial" w:cs="Arial" w:eastAsia="Arial" w:hAnsi="Arial"/>
                <w:sz w:val="16"/>
                <w:szCs w:val="16"/>
                <w:color w:val="auto"/>
              </w:rPr>
              <w:t>Common stock, $0.01 par value—authorized 250 shares; issued 137 shares, respectively</w:t>
            </w:r>
          </w:p>
        </w:tc>
        <w:tc>
          <w:tcPr>
            <w:tcW w:w="280" w:type="dxa"/>
            <w:vAlign w:val="bottom"/>
          </w:tcPr>
          <w:p>
            <w:pPr>
              <w:spacing w:after="0"/>
              <w:rPr>
                <w:sz w:val="23"/>
                <w:szCs w:val="23"/>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23"/>
                <w:szCs w:val="23"/>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6,737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6,771</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(1,178)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(1,091)</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79"/>
        </w:trPr>
        <w:tc>
          <w:tcPr>
            <w:tcW w:w="7860" w:type="dxa"/>
            <w:vAlign w:val="bottom"/>
          </w:tcPr>
          <w:p>
            <w:pPr>
              <w:ind w:left="120"/>
              <w:spacing w:after="0"/>
              <w:rPr>
                <w:sz w:val="20"/>
                <w:szCs w:val="20"/>
                <w:color w:val="auto"/>
              </w:rPr>
            </w:pPr>
            <w:r>
              <w:rPr>
                <w:rFonts w:ascii="Arial" w:cs="Arial" w:eastAsia="Arial" w:hAnsi="Arial"/>
                <w:sz w:val="16"/>
                <w:szCs w:val="16"/>
                <w:color w:val="auto"/>
              </w:rPr>
              <w:t>Treasury stock, at cost—61 shares, respectively</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(5,099)</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(5,134)</w:t>
            </w:r>
          </w:p>
        </w:tc>
        <w:tc>
          <w:tcPr>
            <w:tcW w:w="0" w:type="dxa"/>
            <w:vAlign w:val="bottom"/>
          </w:tcPr>
          <w:p>
            <w:pPr>
              <w:spacing w:after="0"/>
              <w:rPr>
                <w:sz w:val="1"/>
                <w:szCs w:val="1"/>
                <w:color w:val="auto"/>
              </w:rPr>
            </w:pPr>
          </w:p>
        </w:tc>
      </w:tr>
      <w:tr>
        <w:trPr>
          <w:trHeight w:val="250"/>
        </w:trPr>
        <w:tc>
          <w:tcPr>
            <w:tcW w:w="786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37"/>
        </w:trPr>
        <w:tc>
          <w:tcPr>
            <w:tcW w:w="7860" w:type="dxa"/>
            <w:vAlign w:val="bottom"/>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22,902</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19,149</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5" w:right="239"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Consolidated Condensed Financial Statements (Unaudited).</w:t>
      </w:r>
    </w:p>
    <w:p>
      <w:pPr>
        <w:sectPr>
          <w:pgSz w:w="11900" w:h="16838" w:orient="portrait"/>
          <w:cols w:equalWidth="0" w:num="1">
            <w:col w:w="11420"/>
          </w:cols>
          <w:pgMar w:left="240" w:top="115" w:right="239" w:bottom="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115"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55"/>
        </w:trPr>
        <w:tc>
          <w:tcPr>
            <w:tcW w:w="1400" w:type="dxa"/>
            <w:vAlign w:val="bottom"/>
            <w:tcBorders>
              <w:top w:val="single" w:sz="8" w:color="0000EE"/>
            </w:tcBorders>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Avis Budget Group,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7280" w:type="dxa"/>
            <w:vAlign w:val="bottom"/>
            <w:gridSpan w:val="2"/>
          </w:tcPr>
          <w:p>
            <w:pPr>
              <w:jc w:val="center"/>
              <w:ind w:left="125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6940" w:type="dxa"/>
            <w:vAlign w:val="bottom"/>
          </w:tcPr>
          <w:p>
            <w:pPr>
              <w:jc w:val="center"/>
              <w:ind w:left="1590"/>
              <w:spacing w:after="0"/>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3"/>
        </w:trPr>
        <w:tc>
          <w:tcPr>
            <w:tcW w:w="1400" w:type="dxa"/>
            <w:vAlign w:val="bottom"/>
          </w:tcPr>
          <w:p>
            <w:pPr>
              <w:spacing w:after="0"/>
              <w:rPr>
                <w:sz w:val="21"/>
                <w:szCs w:val="21"/>
                <w:color w:val="auto"/>
              </w:rPr>
            </w:pPr>
          </w:p>
        </w:tc>
        <w:tc>
          <w:tcPr>
            <w:tcW w:w="694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328"/>
        </w:trPr>
        <w:tc>
          <w:tcPr>
            <w:tcW w:w="140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r>
      <w:tr>
        <w:trPr>
          <w:trHeight w:val="254"/>
        </w:trPr>
        <w:tc>
          <w:tcPr>
            <w:tcW w:w="140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2"/>
                <w:szCs w:val="22"/>
                <w:color w:val="auto"/>
              </w:rPr>
            </w:pPr>
          </w:p>
        </w:tc>
      </w:tr>
      <w:tr>
        <w:trPr>
          <w:trHeight w:val="263"/>
        </w:trPr>
        <w:tc>
          <w:tcPr>
            <w:tcW w:w="140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89"/>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Vehicle depreciation</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460</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Amortization of right-of-use assets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(Gain) loss on sale of vehicles, net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Non-vehicle related depreciation and amortization</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Amortization of debt financing fees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Early extinguishment of debt costs</w:t>
            </w:r>
          </w:p>
        </w:tc>
        <w:tc>
          <w:tcPr>
            <w:tcW w:w="3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5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Net change in assets and liabilities: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4"/>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Income taxes and deferred income taxes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Accounts payable and other current liabilities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109</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Operating lease liabilities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3"/>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503</w:t>
            </w:r>
          </w:p>
        </w:tc>
      </w:tr>
      <w:tr>
        <w:trPr>
          <w:trHeight w:val="539"/>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6"/>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additions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Proceeds received on asset sales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assets acquired (net of cash acquired)</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531"/>
        </w:trPr>
        <w:tc>
          <w:tcPr>
            <w:tcW w:w="8340" w:type="dxa"/>
            <w:vAlign w:val="bottom"/>
            <w:gridSpan w:val="2"/>
          </w:tcPr>
          <w:p>
            <w:pPr>
              <w:ind w:left="40"/>
              <w:spacing w:after="0"/>
              <w:rPr>
                <w:sz w:val="20"/>
                <w:szCs w:val="20"/>
                <w:color w:val="auto"/>
              </w:rPr>
            </w:pPr>
            <w:r>
              <w:rPr>
                <w:rFonts w:ascii="Arial" w:cs="Arial" w:eastAsia="Arial" w:hAnsi="Arial"/>
                <w:sz w:val="18"/>
                <w:szCs w:val="18"/>
                <w:i w:val="1"/>
                <w:iCs w:val="1"/>
                <w:color w:val="auto"/>
              </w:rPr>
              <w:t>Vehicle programs: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Investment in vehicles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(4,376)</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(4,226)</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Proceeds received on disposition of vehicles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3,083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2,572</w:t>
            </w:r>
          </w:p>
        </w:tc>
      </w:tr>
      <w:tr>
        <w:trPr>
          <w:trHeight w:val="275"/>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Investment in debt securities of Avis Budget Rental Car Funding (AESOP) LLC—related party</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48"/>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r>
      <w:tr>
        <w:trPr>
          <w:trHeight w:val="679"/>
        </w:trPr>
        <w:tc>
          <w:tcPr>
            <w:tcW w:w="8340" w:type="dxa"/>
            <w:vAlign w:val="bottom"/>
            <w:gridSpan w:val="2"/>
          </w:tcPr>
          <w:p>
            <w:pPr>
              <w:jc w:val="center"/>
              <w:ind w:left="2990"/>
              <w:spacing w:after="0"/>
              <w:rPr>
                <w:sz w:val="20"/>
                <w:szCs w:val="20"/>
                <w:color w:val="auto"/>
              </w:rPr>
            </w:pPr>
            <w:r>
              <w:rPr>
                <w:rFonts w:ascii="Arial" w:cs="Arial" w:eastAsia="Arial" w:hAnsi="Arial"/>
                <w:sz w:val="18"/>
                <w:szCs w:val="18"/>
                <w:color w:val="auto"/>
                <w:w w:val="99"/>
              </w:rPr>
              <w:t>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644"/>
        </w:trPr>
        <w:tc>
          <w:tcPr>
            <w:tcW w:w="1400" w:type="dxa"/>
            <w:vAlign w:val="bottom"/>
            <w:tcBorders>
              <w:top w:val="single" w:sz="8" w:color="0000EE"/>
            </w:tcBorders>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Avis Budget Group,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8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CONSOLIDATED CONDENSED STATEMENTS OF CASH FLOWS (Continued)</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6940" w:type="dxa"/>
            <w:vAlign w:val="bottom"/>
          </w:tcPr>
          <w:p>
            <w:pPr>
              <w:jc w:val="center"/>
              <w:ind w:left="1590"/>
              <w:spacing w:after="0"/>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3"/>
        </w:trPr>
        <w:tc>
          <w:tcPr>
            <w:tcW w:w="1400" w:type="dxa"/>
            <w:vAlign w:val="bottom"/>
          </w:tcPr>
          <w:p>
            <w:pPr>
              <w:spacing w:after="0"/>
              <w:rPr>
                <w:sz w:val="21"/>
                <w:szCs w:val="21"/>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7"/>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r>
      <w:tr>
        <w:trPr>
          <w:trHeight w:val="254"/>
        </w:trPr>
        <w:tc>
          <w:tcPr>
            <w:tcW w:w="140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2"/>
                <w:szCs w:val="22"/>
                <w:color w:val="auto"/>
              </w:rPr>
            </w:pPr>
          </w:p>
        </w:tc>
      </w:tr>
      <w:tr>
        <w:trPr>
          <w:trHeight w:val="263"/>
        </w:trPr>
        <w:tc>
          <w:tcPr>
            <w:tcW w:w="140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89"/>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Proceeds from long-term borrowings</w:t>
            </w:r>
          </w:p>
        </w:tc>
        <w:tc>
          <w:tcPr>
            <w:tcW w:w="34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Payments on long-term borrowings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change in short-term borrowings</w:t>
            </w:r>
          </w:p>
        </w:tc>
        <w:tc>
          <w:tcPr>
            <w:tcW w:w="3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Repurchases of common stock</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Debt financing fees</w:t>
            </w:r>
          </w:p>
        </w:tc>
        <w:tc>
          <w:tcPr>
            <w:tcW w:w="3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financing activities exclusive of vehicle programs</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531"/>
        </w:trPr>
        <w:tc>
          <w:tcPr>
            <w:tcW w:w="8340" w:type="dxa"/>
            <w:vAlign w:val="bottom"/>
            <w:gridSpan w:val="2"/>
          </w:tcPr>
          <w:p>
            <w:pPr>
              <w:ind w:left="40"/>
              <w:spacing w:after="0"/>
              <w:rPr>
                <w:sz w:val="20"/>
                <w:szCs w:val="20"/>
                <w:color w:val="auto"/>
              </w:rPr>
            </w:pPr>
            <w:r>
              <w:rPr>
                <w:rFonts w:ascii="Arial" w:cs="Arial" w:eastAsia="Arial" w:hAnsi="Arial"/>
                <w:sz w:val="18"/>
                <w:szCs w:val="18"/>
                <w:i w:val="1"/>
                <w:iCs w:val="1"/>
                <w:color w:val="auto"/>
              </w:rPr>
              <w:t>Vehicle programs: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4"/>
        </w:trPr>
        <w:tc>
          <w:tcPr>
            <w:tcW w:w="8340" w:type="dxa"/>
            <w:vAlign w:val="bottom"/>
            <w:gridSpan w:val="2"/>
          </w:tcPr>
          <w:p>
            <w:pPr>
              <w:ind w:left="140"/>
              <w:spacing w:after="0"/>
              <w:rPr>
                <w:sz w:val="20"/>
                <w:szCs w:val="20"/>
                <w:color w:val="auto"/>
              </w:rPr>
            </w:pPr>
            <w:r>
              <w:rPr>
                <w:rFonts w:ascii="Arial" w:cs="Arial" w:eastAsia="Arial" w:hAnsi="Arial"/>
                <w:sz w:val="18"/>
                <w:szCs w:val="18"/>
                <w:color w:val="auto"/>
              </w:rPr>
              <w:t>Proceeds from borrowings</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5,989</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5,100</w:t>
            </w:r>
          </w:p>
        </w:tc>
      </w:tr>
      <w:tr>
        <w:trPr>
          <w:trHeight w:val="270"/>
        </w:trPr>
        <w:tc>
          <w:tcPr>
            <w:tcW w:w="8340" w:type="dxa"/>
            <w:vAlign w:val="bottom"/>
            <w:gridSpan w:val="2"/>
          </w:tcPr>
          <w:p>
            <w:pPr>
              <w:ind w:left="140"/>
              <w:spacing w:after="0"/>
              <w:rPr>
                <w:sz w:val="20"/>
                <w:szCs w:val="20"/>
                <w:color w:val="auto"/>
              </w:rPr>
            </w:pPr>
            <w:r>
              <w:rPr>
                <w:rFonts w:ascii="Arial" w:cs="Arial" w:eastAsia="Arial" w:hAnsi="Arial"/>
                <w:sz w:val="18"/>
                <w:szCs w:val="18"/>
                <w:color w:val="auto"/>
              </w:rPr>
              <w:t>Payments on borrowings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(5,038)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(4,045)</w:t>
            </w:r>
          </w:p>
        </w:tc>
      </w:tr>
      <w:tr>
        <w:trPr>
          <w:trHeight w:val="275"/>
        </w:trPr>
        <w:tc>
          <w:tcPr>
            <w:tcW w:w="8340" w:type="dxa"/>
            <w:vAlign w:val="bottom"/>
            <w:gridSpan w:val="2"/>
          </w:tcPr>
          <w:p>
            <w:pPr>
              <w:ind w:left="140"/>
              <w:spacing w:after="0"/>
              <w:rPr>
                <w:sz w:val="20"/>
                <w:szCs w:val="20"/>
                <w:color w:val="auto"/>
              </w:rPr>
            </w:pPr>
            <w:r>
              <w:rPr>
                <w:rFonts w:ascii="Arial" w:cs="Arial" w:eastAsia="Arial" w:hAnsi="Arial"/>
                <w:sz w:val="18"/>
                <w:szCs w:val="18"/>
                <w:color w:val="auto"/>
              </w:rPr>
              <w:t>Debt financing fees</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1,054</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financing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1,024</w:t>
            </w:r>
          </w:p>
        </w:tc>
      </w:tr>
      <w:tr>
        <w:trPr>
          <w:trHeight w:val="54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Effect of changes in exchange rates on cash and cash equivalents, program and restricted cash</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r>
      <w:tr>
        <w:trPr>
          <w:trHeight w:val="544"/>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decrease in cash and cash equivalents, program and restricted cash</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901</w:t>
            </w:r>
          </w:p>
        </w:tc>
      </w:tr>
      <w:tr>
        <w:trPr>
          <w:trHeight w:val="252"/>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and cash equivalents, program and restricted cash,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701</w:t>
            </w:r>
          </w:p>
        </w:tc>
      </w:tr>
      <w:tr>
        <w:trPr>
          <w:trHeight w:val="20"/>
        </w:trPr>
        <w:tc>
          <w:tcPr>
            <w:tcW w:w="14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08"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600" w:type="dxa"/>
            <w:vAlign w:val="bottom"/>
          </w:tcPr>
          <w:p>
            <w:pPr>
              <w:spacing w:after="0"/>
              <w:rPr>
                <w:sz w:val="13"/>
                <w:szCs w:val="13"/>
                <w:color w:val="auto"/>
              </w:rPr>
            </w:pPr>
          </w:p>
        </w:tc>
        <w:tc>
          <w:tcPr>
            <w:tcW w:w="1780" w:type="dxa"/>
            <w:vAlign w:val="bottom"/>
            <w:gridSpan w:val="5"/>
          </w:tcPr>
          <w:p>
            <w:pPr>
              <w:ind w:left="380"/>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Accumulated Other</w:t>
            </w:r>
          </w:p>
        </w:tc>
        <w:tc>
          <w:tcPr>
            <w:tcW w:w="1680" w:type="dxa"/>
            <w:vAlign w:val="bottom"/>
            <w:gridSpan w:val="5"/>
          </w:tcPr>
          <w:p>
            <w:pPr>
              <w:ind w:left="340"/>
              <w:spacing w:after="0"/>
              <w:rPr>
                <w:sz w:val="20"/>
                <w:szCs w:val="20"/>
                <w:color w:val="auto"/>
              </w:rPr>
            </w:pPr>
            <w:r>
              <w:rPr>
                <w:rFonts w:ascii="Arial" w:cs="Arial" w:eastAsia="Arial" w:hAnsi="Arial"/>
                <w:sz w:val="13"/>
                <w:szCs w:val="13"/>
                <w:b w:val="1"/>
                <w:bCs w:val="1"/>
                <w:color w:val="auto"/>
              </w:rPr>
              <w:t>Treasury Stock</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26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3"/>
            <w:vMerge w:val="restart"/>
          </w:tcPr>
          <w:p>
            <w:pPr>
              <w:ind w:left="40"/>
              <w:spacing w:after="0" w:line="135" w:lineRule="exact"/>
              <w:rPr>
                <w:sz w:val="20"/>
                <w:szCs w:val="20"/>
                <w:color w:val="auto"/>
              </w:rPr>
            </w:pPr>
            <w:r>
              <w:rPr>
                <w:rFonts w:ascii="Arial" w:cs="Arial" w:eastAsia="Arial" w:hAnsi="Arial"/>
                <w:sz w:val="13"/>
                <w:szCs w:val="13"/>
                <w:b w:val="1"/>
                <w:bCs w:val="1"/>
                <w:color w:val="auto"/>
              </w:rPr>
              <w:t>Additional Paid-in</w:t>
            </w:r>
          </w:p>
        </w:tc>
        <w:tc>
          <w:tcPr>
            <w:tcW w:w="160" w:type="dxa"/>
            <w:vAlign w:val="bottom"/>
          </w:tcPr>
          <w:p>
            <w:pPr>
              <w:spacing w:after="0"/>
              <w:rPr>
                <w:sz w:val="3"/>
                <w:szCs w:val="3"/>
                <w:color w:val="auto"/>
              </w:rPr>
            </w:pPr>
          </w:p>
        </w:tc>
        <w:tc>
          <w:tcPr>
            <w:tcW w:w="11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3"/>
                <w:szCs w:val="3"/>
                <w:color w:val="auto"/>
              </w:rPr>
            </w:pPr>
          </w:p>
        </w:tc>
        <w:tc>
          <w:tcPr>
            <w:tcW w:w="130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restart"/>
          </w:tcPr>
          <w:p>
            <w:pPr>
              <w:ind w:left="40"/>
              <w:spacing w:after="0" w:line="135" w:lineRule="exact"/>
              <w:rPr>
                <w:sz w:val="20"/>
                <w:szCs w:val="20"/>
                <w:color w:val="auto"/>
              </w:rPr>
            </w:pPr>
            <w:r>
              <w:rPr>
                <w:rFonts w:ascii="Arial" w:cs="Arial" w:eastAsia="Arial" w:hAnsi="Arial"/>
                <w:sz w:val="13"/>
                <w:szCs w:val="13"/>
                <w:b w:val="1"/>
                <w:bCs w:val="1"/>
                <w:color w:val="auto"/>
                <w:w w:val="97"/>
              </w:rPr>
              <w:t>Total Stockholders’</w:t>
            </w:r>
          </w:p>
        </w:tc>
        <w:tc>
          <w:tcPr>
            <w:tcW w:w="0" w:type="dxa"/>
            <w:vAlign w:val="bottom"/>
          </w:tcPr>
          <w:p>
            <w:pPr>
              <w:spacing w:after="0"/>
              <w:rPr>
                <w:sz w:val="1"/>
                <w:szCs w:val="1"/>
                <w:color w:val="auto"/>
              </w:rPr>
            </w:pPr>
          </w:p>
        </w:tc>
      </w:tr>
      <w:tr>
        <w:trPr>
          <w:trHeight w:val="78"/>
        </w:trPr>
        <w:tc>
          <w:tcPr>
            <w:tcW w:w="2600" w:type="dxa"/>
            <w:vAlign w:val="bottom"/>
          </w:tcPr>
          <w:p>
            <w:pPr>
              <w:spacing w:after="0"/>
              <w:rPr>
                <w:sz w:val="6"/>
                <w:szCs w:val="6"/>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6"/>
                <w:szCs w:val="6"/>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128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6"/>
                <w:szCs w:val="6"/>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ind w:left="140"/>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Deficit</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Income (Loss)</w:t>
            </w: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35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49"/>
        </w:trPr>
        <w:tc>
          <w:tcPr>
            <w:tcW w:w="2600" w:type="dxa"/>
            <w:vAlign w:val="bottom"/>
          </w:tcPr>
          <w:p>
            <w:pPr>
              <w:spacing w:after="0"/>
              <w:rPr>
                <w:sz w:val="20"/>
                <w:szCs w:val="20"/>
                <w:color w:val="auto"/>
              </w:rPr>
            </w:pPr>
            <w:r>
              <w:rPr>
                <w:rFonts w:ascii="Arial" w:cs="Arial" w:eastAsia="Arial" w:hAnsi="Arial"/>
                <w:sz w:val="13"/>
                <w:szCs w:val="13"/>
                <w:b w:val="1"/>
                <w:bCs w:val="1"/>
                <w:color w:val="auto"/>
              </w:rPr>
              <w:t>Balance at December 31, 2018</w:t>
            </w:r>
          </w:p>
        </w:tc>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1"/>
                <w:szCs w:val="21"/>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6,771</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(1,091)</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(61.5)</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(5,134)</w:t>
            </w:r>
          </w:p>
        </w:tc>
        <w:tc>
          <w:tcPr>
            <w:tcW w:w="120" w:type="dxa"/>
            <w:vAlign w:val="bottom"/>
          </w:tcPr>
          <w:p>
            <w:pPr>
              <w:spacing w:after="0"/>
              <w:rPr>
                <w:sz w:val="21"/>
                <w:szCs w:val="21"/>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414</w:t>
            </w:r>
          </w:p>
        </w:tc>
        <w:tc>
          <w:tcPr>
            <w:tcW w:w="0" w:type="dxa"/>
            <w:vAlign w:val="bottom"/>
          </w:tcPr>
          <w:p>
            <w:pPr>
              <w:spacing w:after="0"/>
              <w:rPr>
                <w:sz w:val="1"/>
                <w:szCs w:val="1"/>
                <w:color w:val="auto"/>
              </w:rPr>
            </w:pPr>
          </w:p>
        </w:tc>
      </w:tr>
      <w:tr>
        <w:trPr>
          <w:trHeight w:val="386"/>
        </w:trPr>
        <w:tc>
          <w:tcPr>
            <w:tcW w:w="2600" w:type="dxa"/>
            <w:vAlign w:val="bottom"/>
          </w:tcPr>
          <w:p>
            <w:pPr>
              <w:spacing w:after="0"/>
              <w:rPr>
                <w:sz w:val="20"/>
                <w:szCs w:val="20"/>
                <w:color w:val="auto"/>
              </w:rPr>
            </w:pPr>
            <w:r>
              <w:rPr>
                <w:rFonts w:ascii="Arial" w:cs="Arial" w:eastAsia="Arial" w:hAnsi="Arial"/>
                <w:sz w:val="13"/>
                <w:szCs w:val="13"/>
                <w:color w:val="auto"/>
              </w:rPr>
              <w:t>Cumulative effect of accounting change</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398"/>
        </w:trPr>
        <w:tc>
          <w:tcPr>
            <w:tcW w:w="2600" w:type="dxa"/>
            <w:vAlign w:val="bottom"/>
          </w:tcPr>
          <w:p>
            <w:pPr>
              <w:spacing w:after="0"/>
              <w:rPr>
                <w:sz w:val="20"/>
                <w:szCs w:val="20"/>
                <w:color w:val="auto"/>
              </w:rPr>
            </w:pPr>
            <w:r>
              <w:rPr>
                <w:rFonts w:ascii="Arial" w:cs="Arial" w:eastAsia="Arial" w:hAnsi="Arial"/>
                <w:sz w:val="13"/>
                <w:szCs w:val="13"/>
                <w:b w:val="1"/>
                <w:bCs w:val="1"/>
                <w:color w:val="auto"/>
              </w:rPr>
              <w:t>Comprehensive loss: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00" w:type="dxa"/>
            <w:vAlign w:val="bottom"/>
          </w:tcPr>
          <w:p>
            <w:pPr>
              <w:spacing w:after="0"/>
              <w:rPr>
                <w:sz w:val="20"/>
                <w:szCs w:val="20"/>
                <w:color w:val="auto"/>
              </w:rPr>
            </w:pPr>
            <w:r>
              <w:rPr>
                <w:rFonts w:ascii="Arial" w:cs="Arial" w:eastAsia="Arial" w:hAnsi="Arial"/>
                <w:sz w:val="13"/>
                <w:szCs w:val="13"/>
                <w:color w:val="auto"/>
              </w:rPr>
              <w:t>Net loss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8"/>
        </w:trPr>
        <w:tc>
          <w:tcPr>
            <w:tcW w:w="2600" w:type="dxa"/>
            <w:vAlign w:val="bottom"/>
          </w:tcPr>
          <w:p>
            <w:pPr>
              <w:spacing w:after="0"/>
              <w:rPr>
                <w:sz w:val="20"/>
                <w:szCs w:val="20"/>
                <w:color w:val="auto"/>
              </w:rPr>
            </w:pPr>
            <w:r>
              <w:rPr>
                <w:rFonts w:ascii="Arial" w:cs="Arial" w:eastAsia="Arial" w:hAnsi="Arial"/>
                <w:sz w:val="13"/>
                <w:szCs w:val="13"/>
                <w:b w:val="1"/>
                <w:bCs w:val="1"/>
                <w:color w:val="auto"/>
              </w:rPr>
              <w:t>Total comprehensive loss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386"/>
        </w:trPr>
        <w:tc>
          <w:tcPr>
            <w:tcW w:w="2600" w:type="dxa"/>
            <w:vAlign w:val="bottom"/>
          </w:tcPr>
          <w:p>
            <w:pPr>
              <w:spacing w:after="0"/>
              <w:rPr>
                <w:sz w:val="20"/>
                <w:szCs w:val="20"/>
                <w:color w:val="auto"/>
              </w:rPr>
            </w:pPr>
            <w:r>
              <w:rPr>
                <w:rFonts w:ascii="Arial" w:cs="Arial" w:eastAsia="Arial" w:hAnsi="Arial"/>
                <w:sz w:val="13"/>
                <w:szCs w:val="13"/>
                <w:color w:val="auto"/>
              </w:rPr>
              <w:t>Net activity related to restricted stock units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3"/>
                <w:szCs w:val="13"/>
                <w:color w:val="auto"/>
              </w:rPr>
              <w:t>Exercise of stock options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26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600" w:type="dxa"/>
            <w:vAlign w:val="bottom"/>
          </w:tcPr>
          <w:p>
            <w:pPr>
              <w:spacing w:after="0"/>
              <w:rPr>
                <w:sz w:val="20"/>
                <w:szCs w:val="20"/>
                <w:color w:val="auto"/>
              </w:rPr>
            </w:pPr>
            <w:r>
              <w:rPr>
                <w:rFonts w:ascii="Arial" w:cs="Arial" w:eastAsia="Arial" w:hAnsi="Arial"/>
                <w:sz w:val="13"/>
                <w:szCs w:val="13"/>
                <w:b w:val="1"/>
                <w:bCs w:val="1"/>
                <w:color w:val="auto"/>
              </w:rPr>
              <w:t>Balance at March 31, 2019</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0"/>
                <w:szCs w:val="20"/>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6,737</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(137)</w:t>
            </w:r>
          </w:p>
        </w:tc>
        <w:tc>
          <w:tcPr>
            <w:tcW w:w="1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(5,099)</w:t>
            </w:r>
          </w:p>
        </w:tc>
        <w:tc>
          <w:tcPr>
            <w:tcW w:w="120" w:type="dxa"/>
            <w:vAlign w:val="bottom"/>
          </w:tcPr>
          <w:p>
            <w:pPr>
              <w:spacing w:after="0"/>
              <w:rPr>
                <w:sz w:val="20"/>
                <w:szCs w:val="20"/>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324</w:t>
            </w:r>
          </w:p>
        </w:tc>
        <w:tc>
          <w:tcPr>
            <w:tcW w:w="0" w:type="dxa"/>
            <w:vAlign w:val="bottom"/>
          </w:tcPr>
          <w:p>
            <w:pPr>
              <w:spacing w:after="0"/>
              <w:rPr>
                <w:sz w:val="1"/>
                <w:szCs w:val="1"/>
                <w:color w:val="auto"/>
              </w:rPr>
            </w:pPr>
          </w:p>
        </w:tc>
      </w:tr>
      <w:tr>
        <w:trPr>
          <w:trHeight w:val="20"/>
        </w:trPr>
        <w:tc>
          <w:tcPr>
            <w:tcW w:w="2600" w:type="dxa"/>
            <w:vAlign w:val="bottom"/>
            <w:vMerge w:val="restart"/>
          </w:tcPr>
          <w:p>
            <w:pPr>
              <w:spacing w:after="0"/>
              <w:rPr>
                <w:sz w:val="20"/>
                <w:szCs w:val="20"/>
                <w:color w:val="auto"/>
              </w:rPr>
            </w:pPr>
            <w:r>
              <w:rPr>
                <w:rFonts w:ascii="Arial" w:cs="Arial" w:eastAsia="Arial" w:hAnsi="Arial"/>
                <w:sz w:val="13"/>
                <w:szCs w:val="13"/>
                <w:b w:val="1"/>
                <w:bCs w:val="1"/>
                <w:color w:val="auto"/>
              </w:rPr>
              <w:t>Balance at December 31, 2017</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2600" w:type="dxa"/>
            <w:vAlign w:val="bottom"/>
            <w:vMerge w:val="continue"/>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6,820</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(1,222)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(56.3)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(5,002)</w:t>
            </w:r>
          </w:p>
        </w:tc>
        <w:tc>
          <w:tcPr>
            <w:tcW w:w="1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573</w:t>
            </w:r>
          </w:p>
        </w:tc>
        <w:tc>
          <w:tcPr>
            <w:tcW w:w="0" w:type="dxa"/>
            <w:vAlign w:val="bottom"/>
          </w:tcPr>
          <w:p>
            <w:pPr>
              <w:spacing w:after="0"/>
              <w:rPr>
                <w:sz w:val="1"/>
                <w:szCs w:val="1"/>
                <w:color w:val="auto"/>
              </w:rPr>
            </w:pPr>
          </w:p>
        </w:tc>
      </w:tr>
      <w:tr>
        <w:trPr>
          <w:trHeight w:val="386"/>
        </w:trPr>
        <w:tc>
          <w:tcPr>
            <w:tcW w:w="2600" w:type="dxa"/>
            <w:vAlign w:val="bottom"/>
          </w:tcPr>
          <w:p>
            <w:pPr>
              <w:spacing w:after="0"/>
              <w:rPr>
                <w:sz w:val="20"/>
                <w:szCs w:val="20"/>
                <w:color w:val="auto"/>
              </w:rPr>
            </w:pPr>
            <w:r>
              <w:rPr>
                <w:rFonts w:ascii="Arial" w:cs="Arial" w:eastAsia="Arial" w:hAnsi="Arial"/>
                <w:sz w:val="13"/>
                <w:szCs w:val="13"/>
                <w:color w:val="auto"/>
              </w:rPr>
              <w:t>Cumulative effect of accounting change</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398"/>
        </w:trPr>
        <w:tc>
          <w:tcPr>
            <w:tcW w:w="2600" w:type="dxa"/>
            <w:vAlign w:val="bottom"/>
          </w:tcPr>
          <w:p>
            <w:pPr>
              <w:spacing w:after="0"/>
              <w:rPr>
                <w:sz w:val="20"/>
                <w:szCs w:val="20"/>
                <w:color w:val="auto"/>
              </w:rPr>
            </w:pPr>
            <w:r>
              <w:rPr>
                <w:rFonts w:ascii="Arial" w:cs="Arial" w:eastAsia="Arial" w:hAnsi="Arial"/>
                <w:sz w:val="13"/>
                <w:szCs w:val="13"/>
                <w:b w:val="1"/>
                <w:bCs w:val="1"/>
                <w:color w:val="auto"/>
              </w:rPr>
              <w:t>Comprehensive loss: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00" w:type="dxa"/>
            <w:vAlign w:val="bottom"/>
          </w:tcPr>
          <w:p>
            <w:pPr>
              <w:spacing w:after="0"/>
              <w:rPr>
                <w:sz w:val="20"/>
                <w:szCs w:val="20"/>
                <w:color w:val="auto"/>
              </w:rPr>
            </w:pPr>
            <w:r>
              <w:rPr>
                <w:rFonts w:ascii="Arial" w:cs="Arial" w:eastAsia="Arial" w:hAnsi="Arial"/>
                <w:sz w:val="13"/>
                <w:szCs w:val="13"/>
                <w:color w:val="auto"/>
              </w:rPr>
              <w:t>Net loss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3"/>
                <w:szCs w:val="13"/>
                <w:color w:val="auto"/>
              </w:rPr>
              <w:t>Other comprehensive income</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8"/>
        </w:trPr>
        <w:tc>
          <w:tcPr>
            <w:tcW w:w="2600" w:type="dxa"/>
            <w:vAlign w:val="bottom"/>
          </w:tcPr>
          <w:p>
            <w:pPr>
              <w:spacing w:after="0"/>
              <w:rPr>
                <w:sz w:val="20"/>
                <w:szCs w:val="20"/>
                <w:color w:val="auto"/>
              </w:rPr>
            </w:pPr>
            <w:r>
              <w:rPr>
                <w:rFonts w:ascii="Arial" w:cs="Arial" w:eastAsia="Arial" w:hAnsi="Arial"/>
                <w:sz w:val="13"/>
                <w:szCs w:val="13"/>
                <w:b w:val="1"/>
                <w:bCs w:val="1"/>
                <w:color w:val="auto"/>
              </w:rPr>
              <w:t>Total comprehensive loss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386"/>
        </w:trPr>
        <w:tc>
          <w:tcPr>
            <w:tcW w:w="2600" w:type="dxa"/>
            <w:vAlign w:val="bottom"/>
          </w:tcPr>
          <w:p>
            <w:pPr>
              <w:spacing w:after="0"/>
              <w:rPr>
                <w:sz w:val="20"/>
                <w:szCs w:val="20"/>
                <w:color w:val="auto"/>
              </w:rPr>
            </w:pPr>
            <w:r>
              <w:rPr>
                <w:rFonts w:ascii="Arial" w:cs="Arial" w:eastAsia="Arial" w:hAnsi="Arial"/>
                <w:sz w:val="13"/>
                <w:szCs w:val="13"/>
                <w:color w:val="auto"/>
              </w:rPr>
              <w:t>Net activity related to restricted stock units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3"/>
                <w:szCs w:val="13"/>
                <w:color w:val="auto"/>
              </w:rPr>
              <w:t>Exercise of stock options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6"/>
        </w:trPr>
        <w:tc>
          <w:tcPr>
            <w:tcW w:w="26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600" w:type="dxa"/>
            <w:vAlign w:val="bottom"/>
          </w:tcPr>
          <w:p>
            <w:pPr>
              <w:spacing w:after="0"/>
              <w:rPr>
                <w:sz w:val="20"/>
                <w:szCs w:val="20"/>
                <w:color w:val="auto"/>
              </w:rPr>
            </w:pPr>
            <w:r>
              <w:rPr>
                <w:rFonts w:ascii="Arial" w:cs="Arial" w:eastAsia="Arial" w:hAnsi="Arial"/>
                <w:sz w:val="13"/>
                <w:szCs w:val="13"/>
                <w:b w:val="1"/>
                <w:bCs w:val="1"/>
                <w:color w:val="auto"/>
              </w:rPr>
              <w:t>Balance at March 31, 2018</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0"/>
                <w:szCs w:val="20"/>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6,780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(1,344)</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(55.9)</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(4,960)</w:t>
            </w:r>
          </w:p>
        </w:tc>
        <w:tc>
          <w:tcPr>
            <w:tcW w:w="120" w:type="dxa"/>
            <w:vAlign w:val="bottom"/>
          </w:tcPr>
          <w:p>
            <w:pPr>
              <w:spacing w:after="0"/>
              <w:rPr>
                <w:sz w:val="20"/>
                <w:szCs w:val="20"/>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455</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20"/>
          </w:cols>
          <w:pgMar w:left="240" w:top="11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1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Avis Budget Group, Inc.</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(Unless otherwise noted, all dollar amounts in tables are in millions, except per share amounts)</w:t>
      </w:r>
    </w:p>
    <w:p>
      <w:pPr>
        <w:spacing w:after="0" w:line="201"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7" w:lineRule="exact"/>
        <w:rPr>
          <w:rFonts w:ascii="Arial" w:cs="Arial" w:eastAsia="Arial" w:hAnsi="Arial"/>
          <w:sz w:val="18"/>
          <w:szCs w:val="18"/>
          <w:b w:val="1"/>
          <w:bCs w:val="1"/>
          <w:color w:val="auto"/>
        </w:rPr>
      </w:pPr>
    </w:p>
    <w:p>
      <w:pPr>
        <w:ind w:left="500"/>
        <w:spacing w:after="0" w:line="307" w:lineRule="auto"/>
        <w:rPr>
          <w:rFonts w:ascii="Arial" w:cs="Arial" w:eastAsia="Arial" w:hAnsi="Arial"/>
          <w:sz w:val="18"/>
          <w:szCs w:val="18"/>
          <w:b w:val="1"/>
          <w:bCs w:val="1"/>
          <w:color w:val="auto"/>
        </w:rPr>
      </w:pPr>
      <w:r>
        <w:rPr>
          <w:rFonts w:ascii="Arial" w:cs="Arial" w:eastAsia="Arial" w:hAnsi="Arial"/>
          <w:sz w:val="18"/>
          <w:szCs w:val="18"/>
          <w:color w:val="auto"/>
        </w:rPr>
        <w:t>Avis Budget Group, Inc. provides mobility solutions to businesses and consumers worldwide. The accompanying unaudited Consolidated Condensed Financial Statements include the accounts and transactions of Avis Budget Group, Inc. and its subsidiaries, as well as entities in which Avis Budget Group, Inc. directly or indirectly has a controlling financial interest (collectively, the “Company”), and have been prepared pursuant to the rules and regulations of the U.S. Securities and Exchange Commission for interim financial reporting. The Company operates the following reportable business segments:</w:t>
      </w:r>
    </w:p>
    <w:p>
      <w:pPr>
        <w:spacing w:after="0" w:line="132" w:lineRule="exact"/>
        <w:rPr>
          <w:rFonts w:ascii="Arial" w:cs="Arial" w:eastAsia="Arial" w:hAnsi="Arial"/>
          <w:sz w:val="18"/>
          <w:szCs w:val="18"/>
          <w:b w:val="1"/>
          <w:bCs w:val="1"/>
          <w:color w:val="auto"/>
        </w:rPr>
      </w:pPr>
    </w:p>
    <w:p>
      <w:pPr>
        <w:ind w:left="1300" w:right="220" w:hanging="482"/>
        <w:spacing w:after="0" w:line="272"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Americas</w:t>
      </w:r>
      <w:r>
        <w:rPr>
          <w:rFonts w:ascii="Arial" w:cs="Arial" w:eastAsia="Arial" w:hAnsi="Arial"/>
          <w:sz w:val="18"/>
          <w:szCs w:val="18"/>
          <w:color w:val="auto"/>
        </w:rPr>
        <w:t>—consisting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the areas in which the Company does not operate directly.</w:t>
      </w:r>
    </w:p>
    <w:p>
      <w:pPr>
        <w:spacing w:after="0" w:line="160" w:lineRule="exact"/>
        <w:rPr>
          <w:rFonts w:ascii="Arial" w:cs="Arial" w:eastAsia="Arial" w:hAnsi="Arial"/>
          <w:sz w:val="18"/>
          <w:szCs w:val="18"/>
          <w:color w:val="auto"/>
        </w:rPr>
      </w:pPr>
    </w:p>
    <w:p>
      <w:pPr>
        <w:ind w:left="1300" w:right="120" w:hanging="482"/>
        <w:spacing w:after="0" w:line="272"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—consisting primarily of (i) vehicle rental operations in Europe, the Middle East, Africa, Asia and Australasia, (ii)</w:t>
      </w:r>
      <w:r>
        <w:rPr>
          <w:rFonts w:ascii="Arial" w:cs="Arial" w:eastAsia="Arial" w:hAnsi="Arial"/>
          <w:sz w:val="18"/>
          <w:szCs w:val="18"/>
          <w:b w:val="1"/>
          <w:bCs w:val="1"/>
          <w:color w:val="auto"/>
        </w:rPr>
        <w:t xml:space="preserve"> </w:t>
      </w:r>
      <w:r>
        <w:rPr>
          <w:rFonts w:ascii="Arial" w:cs="Arial" w:eastAsia="Arial" w:hAnsi="Arial"/>
          <w:sz w:val="18"/>
          <w:szCs w:val="18"/>
          <w:color w:val="auto"/>
        </w:rPr>
        <w:t>car sharing operations in certain of these markets, and (iii) licensees in the areas in which the Company does not operate directly.</w:t>
      </w:r>
    </w:p>
    <w:p>
      <w:pPr>
        <w:spacing w:after="0" w:line="163" w:lineRule="exact"/>
        <w:rPr>
          <w:sz w:val="20"/>
          <w:szCs w:val="20"/>
          <w:color w:val="auto"/>
        </w:rPr>
      </w:pPr>
    </w:p>
    <w:p>
      <w:pPr>
        <w:jc w:val="both"/>
        <w:ind w:left="500" w:right="60"/>
        <w:spacing w:after="0" w:line="284" w:lineRule="auto"/>
        <w:rPr>
          <w:sz w:val="20"/>
          <w:szCs w:val="20"/>
          <w:color w:val="auto"/>
        </w:rPr>
      </w:pPr>
      <w:r>
        <w:rPr>
          <w:rFonts w:ascii="Arial" w:cs="Arial" w:eastAsia="Arial" w:hAnsi="Arial"/>
          <w:sz w:val="17"/>
          <w:szCs w:val="17"/>
          <w:color w:val="auto"/>
        </w:rPr>
        <w:t>The operating results of acquired businesses are included in the accompanying Consolidated Condensed Financial Statements from the dates of acquisition. The fair value of the assets acquired and liabilities assumed in connection with the Company’s 2018 acquisitions of Turiscar Group, Morini S.p.A and various licensees in Europe and North America have not yet been finalized; however, there have been no significant changes to the preliminary allocation of the purchase price during the three months ended March 31, 2019.</w:t>
      </w:r>
    </w:p>
    <w:p>
      <w:pPr>
        <w:spacing w:after="0" w:line="155" w:lineRule="exact"/>
        <w:rPr>
          <w:sz w:val="20"/>
          <w:szCs w:val="20"/>
          <w:color w:val="auto"/>
        </w:rPr>
      </w:pPr>
    </w:p>
    <w:p>
      <w:pPr>
        <w:ind w:left="500" w:right="120"/>
        <w:spacing w:after="0" w:line="257"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the Company’s 2018 Form 10-K.</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ind w:left="500" w:right="700"/>
        <w:spacing w:after="0" w:line="292" w:lineRule="auto"/>
        <w:rPr>
          <w:sz w:val="20"/>
          <w:szCs w:val="20"/>
          <w:color w:val="auto"/>
        </w:rPr>
      </w:pPr>
      <w:r>
        <w:rPr>
          <w:rFonts w:ascii="Arial" w:cs="Arial" w:eastAsia="Arial" w:hAnsi="Arial"/>
          <w:sz w:val="18"/>
          <w:szCs w:val="18"/>
          <w:color w:val="auto"/>
        </w:rPr>
        <w:t>The Company’s significant accounting policies are fully described in Note 2, “Summary of Significant Accounting Policies,” in the Company’s Annual Report on Form 10-K for fiscal year 2018.</w:t>
      </w:r>
    </w:p>
    <w:p>
      <w:pPr>
        <w:spacing w:after="0" w:line="145" w:lineRule="exact"/>
        <w:rPr>
          <w:sz w:val="20"/>
          <w:szCs w:val="20"/>
          <w:color w:val="auto"/>
        </w:rPr>
      </w:pPr>
    </w:p>
    <w:p>
      <w:pPr>
        <w:ind w:left="500" w:right="320"/>
        <w:spacing w:after="0" w:line="271" w:lineRule="auto"/>
        <w:rPr>
          <w:sz w:val="20"/>
          <w:szCs w:val="20"/>
          <w:color w:val="auto"/>
        </w:rPr>
      </w:pPr>
      <w:r>
        <w:rPr>
          <w:rFonts w:ascii="Arial" w:cs="Arial" w:eastAsia="Arial" w:hAnsi="Arial"/>
          <w:sz w:val="18"/>
          <w:szCs w:val="18"/>
          <w:i w:val="1"/>
          <w:iCs w:val="1"/>
          <w:color w:val="auto"/>
        </w:rPr>
        <w:t xml:space="preserve">Cash and cash equivalents, Program cash and Restricted cash. </w:t>
      </w:r>
      <w:r>
        <w:rPr>
          <w:rFonts w:ascii="Arial" w:cs="Arial" w:eastAsia="Arial" w:hAnsi="Arial"/>
          <w:sz w:val="18"/>
          <w:szCs w:val="18"/>
          <w:color w:val="auto"/>
        </w:rPr>
        <w:t>The following table provides a detail of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and restricted cash reported within the Consolidated Condensed Balance Sheets to the amounts shown in the Consolidated Condensed Statements of Cash Flows.</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54"/>
        </w:trPr>
        <w:tc>
          <w:tcPr>
            <w:tcW w:w="6780" w:type="dxa"/>
            <w:vAlign w:val="bottom"/>
          </w:tcPr>
          <w:p>
            <w:pPr>
              <w:spacing w:after="0"/>
              <w:rPr>
                <w:sz w:val="22"/>
                <w:szCs w:val="22"/>
                <w:color w:val="auto"/>
              </w:rPr>
            </w:pPr>
          </w:p>
        </w:tc>
        <w:tc>
          <w:tcPr>
            <w:tcW w:w="242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As of March 31,</w:t>
            </w:r>
          </w:p>
        </w:tc>
        <w:tc>
          <w:tcPr>
            <w:tcW w:w="440" w:type="dxa"/>
            <w:vAlign w:val="bottom"/>
            <w:tcBorders>
              <w:bottom w:val="single" w:sz="8" w:color="auto"/>
            </w:tcBorders>
          </w:tcPr>
          <w:p>
            <w:pPr>
              <w:spacing w:after="0"/>
              <w:rPr>
                <w:sz w:val="22"/>
                <w:szCs w:val="22"/>
                <w:color w:val="auto"/>
              </w:rPr>
            </w:pPr>
          </w:p>
        </w:tc>
      </w:tr>
      <w:tr>
        <w:trPr>
          <w:trHeight w:val="263"/>
        </w:trPr>
        <w:tc>
          <w:tcPr>
            <w:tcW w:w="678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22"/>
                <w:szCs w:val="22"/>
                <w:color w:val="auto"/>
              </w:rPr>
            </w:pPr>
          </w:p>
        </w:tc>
      </w:tr>
      <w:tr>
        <w:trPr>
          <w:trHeight w:val="242"/>
        </w:trPr>
        <w:tc>
          <w:tcPr>
            <w:tcW w:w="6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9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544</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Program cash</w:t>
            </w:r>
          </w:p>
        </w:tc>
        <w:tc>
          <w:tcPr>
            <w:tcW w:w="9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3"/>
        </w:trPr>
        <w:tc>
          <w:tcPr>
            <w:tcW w:w="6780" w:type="dxa"/>
            <w:vAlign w:val="bottom"/>
          </w:tcPr>
          <w:p>
            <w:pPr>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8"/>
                <w:szCs w:val="18"/>
                <w:color w:val="auto"/>
                <w:vertAlign w:val="superscript"/>
              </w:rPr>
              <w:t>(a)</w:t>
            </w:r>
          </w:p>
        </w:tc>
        <w:tc>
          <w:tcPr>
            <w:tcW w:w="9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247"/>
        </w:trPr>
        <w:tc>
          <w:tcPr>
            <w:tcW w:w="6780" w:type="dxa"/>
            <w:vAlign w:val="bottom"/>
          </w:tcPr>
          <w:p>
            <w:pPr>
              <w:spacing w:after="0"/>
              <w:rPr>
                <w:sz w:val="20"/>
                <w:szCs w:val="20"/>
                <w:color w:val="auto"/>
              </w:rPr>
            </w:pPr>
            <w:r>
              <w:rPr>
                <w:rFonts w:ascii="Arial" w:cs="Arial" w:eastAsia="Arial" w:hAnsi="Arial"/>
                <w:sz w:val="18"/>
                <w:szCs w:val="18"/>
                <w:color w:val="auto"/>
              </w:rPr>
              <w:t>Total cash and cash equivalents, program and restricted cash</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1"/>
                <w:szCs w:val="21"/>
                <w:color w:val="auto"/>
              </w:rPr>
            </w:pPr>
          </w:p>
        </w:tc>
        <w:tc>
          <w:tcPr>
            <w:tcW w:w="9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6350</wp:posOffset>
            </wp:positionV>
            <wp:extent cx="18180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-113030</wp:posOffset>
            </wp:positionV>
            <wp:extent cx="18180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ind w:left="820" w:hanging="326"/>
        <w:spacing w:after="0" w:line="236" w:lineRule="auto"/>
        <w:tabs>
          <w:tab w:leader="none" w:pos="82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Included within other current assets.</w:t>
      </w:r>
    </w:p>
    <w:p>
      <w:pPr>
        <w:spacing w:after="0" w:line="175" w:lineRule="exact"/>
        <w:rPr>
          <w:sz w:val="20"/>
          <w:szCs w:val="20"/>
          <w:color w:val="auto"/>
        </w:rPr>
      </w:pPr>
    </w:p>
    <w:p>
      <w:pPr>
        <w:ind w:left="500" w:right="320"/>
        <w:spacing w:after="0" w:line="292"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The Company presents separately the financial data of its vehicle programs. These programs are distinct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other activities since the assets under vehicle programs are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16"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500"/>
        <w:spacing w:after="0" w:line="260" w:lineRule="auto"/>
        <w:rPr>
          <w:sz w:val="20"/>
          <w:szCs w:val="20"/>
          <w:color w:val="auto"/>
        </w:rPr>
      </w:pPr>
      <w:r>
        <w:rPr>
          <w:rFonts w:ascii="Arial" w:cs="Arial" w:eastAsia="Arial" w:hAnsi="Arial"/>
          <w:sz w:val="18"/>
          <w:szCs w:val="18"/>
          <w:color w:val="auto"/>
        </w:rPr>
        <w:t>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175" w:lineRule="exact"/>
        <w:rPr>
          <w:sz w:val="20"/>
          <w:szCs w:val="20"/>
          <w:color w:val="auto"/>
        </w:rPr>
      </w:pPr>
    </w:p>
    <w:p>
      <w:pPr>
        <w:ind w:left="500"/>
        <w:spacing w:after="0" w:line="260" w:lineRule="auto"/>
        <w:rPr>
          <w:sz w:val="20"/>
          <w:szCs w:val="20"/>
          <w:color w:val="auto"/>
        </w:rPr>
      </w:pPr>
      <w:r>
        <w:rPr>
          <w:rFonts w:ascii="Arial" w:cs="Arial" w:eastAsia="Arial" w:hAnsi="Arial"/>
          <w:sz w:val="18"/>
          <w:szCs w:val="18"/>
          <w:i w:val="1"/>
          <w:iCs w:val="1"/>
          <w:color w:val="auto"/>
        </w:rPr>
        <w:t xml:space="preserve">Transaction-related costs, net. </w:t>
      </w:r>
      <w:r>
        <w:rPr>
          <w:rFonts w:ascii="Arial" w:cs="Arial" w:eastAsia="Arial" w:hAnsi="Arial"/>
          <w:sz w:val="18"/>
          <w:szCs w:val="18"/>
          <w:color w:val="auto"/>
        </w:rPr>
        <w:t>Transaction-related costs, net are classified separately in the Consolidated Condensed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These costs are comprised of expenses related to acquisition-related activities such as due diligence and other advisory costs, expenses related to the integration of the acquiree’s operations with those of the Company, including the implementation of best practices and process improvements, non-cash gains and losses related to re-acquired rights, expenses related to pre-acquisition contingencies and contingent consideration related to acquisitions.</w:t>
      </w:r>
    </w:p>
    <w:p>
      <w:pPr>
        <w:spacing w:after="0" w:line="175" w:lineRule="exact"/>
        <w:rPr>
          <w:sz w:val="20"/>
          <w:szCs w:val="20"/>
          <w:color w:val="auto"/>
        </w:rPr>
      </w:pPr>
    </w:p>
    <w:p>
      <w:pPr>
        <w:ind w:left="500" w:right="240"/>
        <w:spacing w:after="0" w:line="271"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The Company records the gain or loss on foreign-currency transactions on certain intercompany loans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gain or loss on intercompany loan hedges within interest expense related to corporate debt, net. During the three months ended March 31, 2019 and 2018, the Company recorded a gain of $5 million and $1 million, respectively, related to such items.</w:t>
      </w:r>
    </w:p>
    <w:p>
      <w:pPr>
        <w:spacing w:after="0" w:line="163" w:lineRule="exact"/>
        <w:rPr>
          <w:sz w:val="20"/>
          <w:szCs w:val="20"/>
          <w:color w:val="auto"/>
        </w:rPr>
      </w:pPr>
    </w:p>
    <w:p>
      <w:pPr>
        <w:ind w:left="500" w:right="140"/>
        <w:spacing w:after="0" w:line="257"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During 2018, the Company, entered into a definitive stock purchase agreement “Purchase Agreement” to sell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50% equity method investment in Anji Car Rental &amp; Leasing Company Limited (“Anji”), located in China, to Shanghai Automotive Industry Sales Company, Ltd., a 50% owner of Anji. Anji’s operations are reported within the Company’s International segment. The sale closed in the second quarter of 2019 upon receiving clearance from applicable regulatory authorities in China (see Note 18 - Subsequent Events). As of March 31, 2019 and December 31, 2018, the carrying value of the Company’s 50% equity method investment in Anji was $24 million and $25 million, respectively, and is recorded as assets held for sale, which is included in other non-current assets on the Consolidated Condensed Balance Sheets.</w:t>
      </w:r>
    </w:p>
    <w:p>
      <w:pPr>
        <w:spacing w:after="0" w:line="177" w:lineRule="exact"/>
        <w:rPr>
          <w:sz w:val="20"/>
          <w:szCs w:val="20"/>
          <w:color w:val="auto"/>
        </w:rPr>
      </w:pPr>
    </w:p>
    <w:p>
      <w:pPr>
        <w:ind w:left="500" w:right="100"/>
        <w:spacing w:after="0" w:line="264" w:lineRule="auto"/>
        <w:rPr>
          <w:sz w:val="20"/>
          <w:szCs w:val="20"/>
          <w:color w:val="auto"/>
        </w:rPr>
      </w:pPr>
      <w:r>
        <w:rPr>
          <w:rFonts w:ascii="Arial" w:cs="Arial" w:eastAsia="Arial" w:hAnsi="Arial"/>
          <w:sz w:val="18"/>
          <w:szCs w:val="18"/>
          <w:i w:val="1"/>
          <w:iCs w:val="1"/>
          <w:color w:val="auto"/>
        </w:rPr>
        <w:t xml:space="preserve">Other Investments. </w:t>
      </w:r>
      <w:r>
        <w:rPr>
          <w:rFonts w:ascii="Arial" w:cs="Arial" w:eastAsia="Arial" w:hAnsi="Arial"/>
          <w:sz w:val="18"/>
          <w:szCs w:val="18"/>
          <w:color w:val="auto"/>
        </w:rPr>
        <w:t>In March 2018, the Company made an initial equity investment of $20 million in its licensee in Greece (“Greece”), for</w:t>
      </w:r>
      <w:r>
        <w:rPr>
          <w:rFonts w:ascii="Arial" w:cs="Arial" w:eastAsia="Arial" w:hAnsi="Arial"/>
          <w:sz w:val="18"/>
          <w:szCs w:val="18"/>
          <w:i w:val="1"/>
          <w:iCs w:val="1"/>
          <w:color w:val="auto"/>
        </w:rPr>
        <w:t xml:space="preserve"> </w:t>
      </w:r>
      <w:r>
        <w:rPr>
          <w:rFonts w:ascii="Arial" w:cs="Arial" w:eastAsia="Arial" w:hAnsi="Arial"/>
          <w:sz w:val="18"/>
          <w:szCs w:val="18"/>
          <w:color w:val="auto"/>
        </w:rPr>
        <w:t>a 20% ownership stake. In June 2018, the Company purchased an additional 20% ownership stake for $19 million, including an acceleration premium. The Company’s equity investment is recorded within other non-current assets. The Company’s share of Greece’s results are reported within operating expenses and were not material for the three months ended March 31, 2019 and 2018.</w:t>
      </w:r>
    </w:p>
    <w:p>
      <w:pPr>
        <w:spacing w:after="0" w:line="170" w:lineRule="exact"/>
        <w:rPr>
          <w:sz w:val="20"/>
          <w:szCs w:val="20"/>
          <w:color w:val="auto"/>
        </w:rPr>
      </w:pPr>
    </w:p>
    <w:p>
      <w:pPr>
        <w:ind w:left="500" w:right="20"/>
        <w:spacing w:after="0" w:line="264" w:lineRule="auto"/>
        <w:rPr>
          <w:sz w:val="20"/>
          <w:szCs w:val="20"/>
          <w:color w:val="auto"/>
        </w:rPr>
      </w:pPr>
      <w:r>
        <w:rPr>
          <w:rFonts w:ascii="Arial" w:cs="Arial" w:eastAsia="Arial" w:hAnsi="Arial"/>
          <w:sz w:val="18"/>
          <w:szCs w:val="18"/>
          <w:i w:val="1"/>
          <w:iCs w:val="1"/>
          <w:color w:val="auto"/>
        </w:rPr>
        <w:t xml:space="preserve">Nonmarketable Equity Securities. </w:t>
      </w:r>
      <w:r>
        <w:rPr>
          <w:rFonts w:ascii="Arial" w:cs="Arial" w:eastAsia="Arial" w:hAnsi="Arial"/>
          <w:sz w:val="18"/>
          <w:szCs w:val="18"/>
          <w:color w:val="auto"/>
        </w:rPr>
        <w:t>As of March 31, 2019 and December 31, 2018, the Company’s carrying amount of nonmarketable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securities was $20 million and $8 million, respectively, and are recorded within other non-current assets. During the three months ended March 31, 2019, the Company recorded a $12 million favorable adjustment to the carrying amount of nonmarketable equity securities within operating expenses. No adjustments were made to the carrying amount during the three months ended March 31, 2018.</w:t>
      </w:r>
    </w:p>
    <w:p>
      <w:pPr>
        <w:spacing w:after="0" w:line="170" w:lineRule="exact"/>
        <w:rPr>
          <w:sz w:val="20"/>
          <w:szCs w:val="20"/>
          <w:color w:val="auto"/>
        </w:rPr>
      </w:pPr>
    </w:p>
    <w:p>
      <w:pPr>
        <w:ind w:left="500" w:right="20"/>
        <w:spacing w:after="0" w:line="260"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From January 1, 2018 through December 31, 2018, the Company’s revenues were recognized in accordance with ASU 2014-09, “Revenue from Contracts with Customers (Topic 606)”. Effective January 1, 2019, revenues are recognized under ASU 2016-02, “Leases (Topic 842)” with the exception of royalty fee revenue derived from the Company’s licensees and revenue related to the Company’s customer loyalty program, which was approximately $30 million during the three months ended March 31, 2019. The following table presents the Company’s revenues disaggregated by geography.</w:t>
      </w:r>
    </w:p>
    <w:p>
      <w:pPr>
        <w:spacing w:after="0" w:line="133" w:lineRule="exact"/>
        <w:rPr>
          <w:sz w:val="20"/>
          <w:szCs w:val="20"/>
          <w:color w:val="auto"/>
        </w:rPr>
      </w:pPr>
    </w:p>
    <w:tbl>
      <w:tblPr>
        <w:tblLayout w:type="fixed"/>
        <w:tblInd w:w="520" w:type="dxa"/>
        <w:tblCellMar>
          <w:top w:w="0" w:type="dxa"/>
          <w:left w:w="0" w:type="dxa"/>
          <w:bottom w:w="0" w:type="dxa"/>
          <w:right w:w="0" w:type="dxa"/>
        </w:tblCellMar>
      </w:tblPr>
      <w:tr>
        <w:trPr>
          <w:trHeight w:val="254"/>
        </w:trPr>
        <w:tc>
          <w:tcPr>
            <w:tcW w:w="382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3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2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820" w:type="dxa"/>
            <w:vAlign w:val="bottom"/>
          </w:tcPr>
          <w:p>
            <w:pPr>
              <w:spacing w:after="0"/>
              <w:rPr>
                <w:sz w:val="20"/>
                <w:szCs w:val="20"/>
                <w:color w:val="auto"/>
              </w:rPr>
            </w:pPr>
            <w:r>
              <w:rPr>
                <w:rFonts w:ascii="Arial" w:cs="Arial" w:eastAsia="Arial" w:hAnsi="Arial"/>
                <w:sz w:val="18"/>
                <w:szCs w:val="18"/>
                <w:color w:val="auto"/>
              </w:rPr>
              <w:t>Americas</w:t>
            </w:r>
          </w:p>
        </w:tc>
        <w:tc>
          <w:tcPr>
            <w:tcW w:w="388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1,327</w:t>
            </w:r>
          </w:p>
        </w:tc>
        <w:tc>
          <w:tcPr>
            <w:tcW w:w="120" w:type="dxa"/>
            <w:vAlign w:val="bottom"/>
          </w:tcPr>
          <w:p>
            <w:pPr>
              <w:spacing w:after="0"/>
              <w:rPr>
                <w:sz w:val="21"/>
                <w:szCs w:val="21"/>
                <w:color w:val="auto"/>
              </w:rPr>
            </w:pP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26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75"/>
        </w:trPr>
        <w:tc>
          <w:tcPr>
            <w:tcW w:w="3820" w:type="dxa"/>
            <w:vAlign w:val="bottom"/>
          </w:tcPr>
          <w:p>
            <w:pPr>
              <w:spacing w:after="0"/>
              <w:rPr>
                <w:sz w:val="20"/>
                <w:szCs w:val="20"/>
                <w:color w:val="auto"/>
              </w:rPr>
            </w:pPr>
            <w:r>
              <w:rPr>
                <w:rFonts w:ascii="Arial" w:cs="Arial" w:eastAsia="Arial" w:hAnsi="Arial"/>
                <w:sz w:val="18"/>
                <w:szCs w:val="18"/>
                <w:color w:val="auto"/>
              </w:rPr>
              <w:t>Asia and Australasia</w:t>
            </w:r>
          </w:p>
        </w:tc>
        <w:tc>
          <w:tcPr>
            <w:tcW w:w="2660" w:type="dxa"/>
            <w:vAlign w:val="bottom"/>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55"/>
        </w:trPr>
        <w:tc>
          <w:tcPr>
            <w:tcW w:w="3820" w:type="dxa"/>
            <w:vAlign w:val="bottom"/>
          </w:tcPr>
          <w:p>
            <w:pPr>
              <w:spacing w:after="0"/>
              <w:rPr>
                <w:sz w:val="20"/>
                <w:szCs w:val="20"/>
                <w:color w:val="auto"/>
              </w:rPr>
            </w:pPr>
            <w:r>
              <w:rPr>
                <w:rFonts w:ascii="Arial" w:cs="Arial" w:eastAsia="Arial" w:hAnsi="Arial"/>
                <w:sz w:val="18"/>
                <w:szCs w:val="18"/>
                <w:color w:val="auto"/>
              </w:rPr>
              <w:t>Total revenues</w:t>
            </w:r>
          </w:p>
        </w:tc>
        <w:tc>
          <w:tcPr>
            <w:tcW w:w="388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1,920</w:t>
            </w:r>
          </w:p>
        </w:tc>
        <w:tc>
          <w:tcPr>
            <w:tcW w:w="120" w:type="dxa"/>
            <w:vAlign w:val="bottom"/>
          </w:tcPr>
          <w:p>
            <w:pPr>
              <w:spacing w:after="0"/>
              <w:rPr>
                <w:sz w:val="22"/>
                <w:szCs w:val="22"/>
                <w:color w:val="auto"/>
              </w:rPr>
            </w:pP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660" w:type="dxa"/>
            <w:vAlign w:val="bottom"/>
            <w:vMerge w:val="restart"/>
          </w:tcPr>
          <w:p>
            <w:pPr>
              <w:jc w:val="right"/>
              <w:ind w:right="1150"/>
              <w:spacing w:after="0"/>
              <w:rPr>
                <w:sz w:val="20"/>
                <w:szCs w:val="20"/>
                <w:color w:val="auto"/>
              </w:rPr>
            </w:pPr>
            <w:r>
              <w:rPr>
                <w:rFonts w:ascii="Arial" w:cs="Arial" w:eastAsia="Arial" w:hAnsi="Arial"/>
                <w:sz w:val="18"/>
                <w:szCs w:val="18"/>
                <w:color w:val="auto"/>
              </w:rPr>
              <w:t>9</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382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5" w:right="25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7280" w:type="dxa"/>
            <w:vAlign w:val="bottom"/>
            <w:gridSpan w:val="2"/>
          </w:tcPr>
          <w:p>
            <w:pPr>
              <w:ind w:left="500"/>
              <w:spacing w:after="0"/>
              <w:rPr>
                <w:sz w:val="20"/>
                <w:szCs w:val="20"/>
                <w:color w:val="auto"/>
              </w:rPr>
            </w:pPr>
            <w:r>
              <w:rPr>
                <w:rFonts w:ascii="Arial" w:cs="Arial" w:eastAsia="Arial" w:hAnsi="Arial"/>
                <w:sz w:val="18"/>
                <w:szCs w:val="18"/>
                <w:color w:val="auto"/>
              </w:rPr>
              <w:t>The following table presents the Company’s revenues disaggregated by brand.</w:t>
            </w: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40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33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400" w:type="dxa"/>
            <w:vAlign w:val="bottom"/>
          </w:tcPr>
          <w:p>
            <w:pPr>
              <w:spacing w:after="0"/>
              <w:rPr>
                <w:sz w:val="22"/>
                <w:szCs w:val="22"/>
                <w:color w:val="auto"/>
              </w:rPr>
            </w:pPr>
          </w:p>
        </w:tc>
        <w:tc>
          <w:tcPr>
            <w:tcW w:w="5880" w:type="dxa"/>
            <w:vAlign w:val="bottom"/>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7280" w:type="dxa"/>
            <w:vAlign w:val="bottom"/>
            <w:gridSpan w:val="2"/>
          </w:tcPr>
          <w:p>
            <w:pPr>
              <w:ind w:left="800"/>
              <w:spacing w:after="0"/>
              <w:rPr>
                <w:sz w:val="20"/>
                <w:szCs w:val="20"/>
                <w:color w:val="auto"/>
              </w:rPr>
            </w:pPr>
            <w:r>
              <w:rPr>
                <w:rFonts w:ascii="Arial" w:cs="Arial" w:eastAsia="Arial" w:hAnsi="Arial"/>
                <w:sz w:val="18"/>
                <w:szCs w:val="18"/>
                <w:color w:val="auto"/>
              </w:rPr>
              <w:t>Avis</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1,145</w:t>
            </w:r>
          </w:p>
        </w:tc>
        <w:tc>
          <w:tcPr>
            <w:tcW w:w="0" w:type="dxa"/>
            <w:vAlign w:val="bottom"/>
          </w:tcPr>
          <w:p>
            <w:pPr>
              <w:spacing w:after="0"/>
              <w:rPr>
                <w:sz w:val="1"/>
                <w:szCs w:val="1"/>
                <w:color w:val="auto"/>
              </w:rPr>
            </w:pPr>
          </w:p>
        </w:tc>
      </w:tr>
      <w:tr>
        <w:trPr>
          <w:trHeight w:val="270"/>
        </w:trPr>
        <w:tc>
          <w:tcPr>
            <w:tcW w:w="7280" w:type="dxa"/>
            <w:vAlign w:val="bottom"/>
            <w:gridSpan w:val="2"/>
          </w:tcPr>
          <w:p>
            <w:pPr>
              <w:ind w:left="800"/>
              <w:spacing w:after="0"/>
              <w:rPr>
                <w:sz w:val="20"/>
                <w:szCs w:val="20"/>
                <w:color w:val="auto"/>
              </w:rPr>
            </w:pPr>
            <w:r>
              <w:rPr>
                <w:rFonts w:ascii="Arial" w:cs="Arial" w:eastAsia="Arial" w:hAnsi="Arial"/>
                <w:sz w:val="18"/>
                <w:szCs w:val="18"/>
                <w:color w:val="auto"/>
              </w:rPr>
              <w:t>Budget</w:t>
            </w:r>
          </w:p>
        </w:tc>
        <w:tc>
          <w:tcPr>
            <w:tcW w:w="122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75"/>
        </w:trPr>
        <w:tc>
          <w:tcPr>
            <w:tcW w:w="7280" w:type="dxa"/>
            <w:vAlign w:val="bottom"/>
            <w:gridSpan w:val="2"/>
          </w:tcPr>
          <w:p>
            <w:pPr>
              <w:ind w:left="80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55"/>
        </w:trPr>
        <w:tc>
          <w:tcPr>
            <w:tcW w:w="7280" w:type="dxa"/>
            <w:vAlign w:val="bottom"/>
            <w:gridSpan w:val="2"/>
          </w:tcPr>
          <w:p>
            <w:pPr>
              <w:ind w:left="800"/>
              <w:spacing w:after="0"/>
              <w:rPr>
                <w:sz w:val="20"/>
                <w:szCs w:val="20"/>
                <w:color w:val="auto"/>
              </w:rPr>
            </w:pPr>
            <w:r>
              <w:rPr>
                <w:rFonts w:ascii="Arial" w:cs="Arial" w:eastAsia="Arial" w:hAnsi="Arial"/>
                <w:sz w:val="18"/>
                <w:szCs w:val="18"/>
                <w:color w:val="auto"/>
              </w:rPr>
              <w:t>Total revenues</w:t>
            </w:r>
          </w:p>
        </w:tc>
        <w:tc>
          <w:tcPr>
            <w:tcW w:w="12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1,968</w:t>
            </w:r>
          </w:p>
        </w:tc>
        <w:tc>
          <w:tcPr>
            <w:tcW w:w="0" w:type="dxa"/>
            <w:vAlign w:val="bottom"/>
          </w:tcPr>
          <w:p>
            <w:pPr>
              <w:spacing w:after="0"/>
              <w:rPr>
                <w:sz w:val="1"/>
                <w:szCs w:val="1"/>
                <w:color w:val="auto"/>
              </w:rPr>
            </w:pPr>
          </w:p>
        </w:tc>
      </w:tr>
      <w:tr>
        <w:trPr>
          <w:trHeight w:val="20"/>
        </w:trPr>
        <w:tc>
          <w:tcPr>
            <w:tcW w:w="1400" w:type="dxa"/>
            <w:vAlign w:val="bottom"/>
            <w:vMerge w:val="restart"/>
          </w:tcPr>
          <w:p>
            <w:pPr>
              <w:ind w:left="500"/>
              <w:spacing w:after="0"/>
              <w:rPr>
                <w:sz w:val="20"/>
                <w:szCs w:val="20"/>
                <w:color w:val="auto"/>
              </w:rPr>
            </w:pPr>
            <w:r>
              <w:rPr>
                <w:rFonts w:ascii="Arial" w:cs="Arial" w:eastAsia="Arial" w:hAnsi="Arial"/>
                <w:sz w:val="14"/>
                <w:szCs w:val="14"/>
                <w:color w:val="auto"/>
              </w:rPr>
              <w:t>________</w:t>
            </w:r>
          </w:p>
        </w:tc>
        <w:tc>
          <w:tcPr>
            <w:tcW w:w="58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400" w:type="dxa"/>
            <w:vAlign w:val="bottom"/>
            <w:vMerge w:val="continue"/>
          </w:tcPr>
          <w:p>
            <w:pPr>
              <w:spacing w:after="0"/>
              <w:rPr>
                <w:sz w:val="11"/>
                <w:szCs w:val="11"/>
                <w:color w:val="auto"/>
              </w:rPr>
            </w:pPr>
          </w:p>
        </w:tc>
        <w:tc>
          <w:tcPr>
            <w:tcW w:w="5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7280" w:type="dxa"/>
            <w:vAlign w:val="bottom"/>
            <w:gridSpan w:val="2"/>
          </w:tcPr>
          <w:p>
            <w:pPr>
              <w:ind w:left="500"/>
              <w:spacing w:after="0"/>
              <w:rPr>
                <w:sz w:val="20"/>
                <w:szCs w:val="20"/>
                <w:color w:val="auto"/>
              </w:rPr>
            </w:pPr>
            <w:r>
              <w:rPr>
                <w:rFonts w:ascii="Arial" w:cs="Arial" w:eastAsia="Arial" w:hAnsi="Arial"/>
                <w:sz w:val="14"/>
                <w:szCs w:val="14"/>
                <w:color w:val="auto"/>
              </w:rPr>
              <w:t>Other includes Zipcar and other operating brands.</w:t>
            </w:r>
          </w:p>
        </w:tc>
        <w:tc>
          <w:tcPr>
            <w:tcW w:w="1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The following table presents changes in deferred revenue associated with the Company’s customer loyalty program.</w:t>
      </w:r>
    </w:p>
    <w:p>
      <w:pPr>
        <w:spacing w:after="0" w:line="169" w:lineRule="exact"/>
        <w:rPr>
          <w:sz w:val="20"/>
          <w:szCs w:val="20"/>
          <w:color w:val="auto"/>
        </w:rPr>
      </w:pPr>
    </w:p>
    <w:tbl>
      <w:tblPr>
        <w:tblLayout w:type="fixed"/>
        <w:tblInd w:w="820" w:type="dxa"/>
        <w:tblCellMar>
          <w:top w:w="0" w:type="dxa"/>
          <w:left w:w="0" w:type="dxa"/>
          <w:bottom w:w="0" w:type="dxa"/>
          <w:right w:w="0" w:type="dxa"/>
        </w:tblCellMar>
      </w:tblPr>
      <w:tr>
        <w:trPr>
          <w:trHeight w:val="261"/>
        </w:trPr>
        <w:tc>
          <w:tcPr>
            <w:tcW w:w="6460" w:type="dxa"/>
            <w:vAlign w:val="bottom"/>
          </w:tcPr>
          <w:p>
            <w:pPr>
              <w:spacing w:after="0"/>
              <w:rPr>
                <w:sz w:val="22"/>
                <w:szCs w:val="22"/>
                <w:color w:val="auto"/>
              </w:rPr>
            </w:pPr>
          </w:p>
        </w:tc>
        <w:tc>
          <w:tcPr>
            <w:tcW w:w="34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Three Months Ended March 31,</w:t>
            </w:r>
          </w:p>
        </w:tc>
        <w:tc>
          <w:tcPr>
            <w:tcW w:w="460" w:type="dxa"/>
            <w:vAlign w:val="bottom"/>
            <w:tcBorders>
              <w:bottom w:val="single" w:sz="8" w:color="auto"/>
            </w:tcBorders>
          </w:tcPr>
          <w:p>
            <w:pPr>
              <w:spacing w:after="0"/>
              <w:rPr>
                <w:sz w:val="22"/>
                <w:szCs w:val="22"/>
                <w:color w:val="auto"/>
              </w:rPr>
            </w:pPr>
          </w:p>
        </w:tc>
      </w:tr>
      <w:tr>
        <w:trPr>
          <w:trHeight w:val="269"/>
        </w:trPr>
        <w:tc>
          <w:tcPr>
            <w:tcW w:w="6460" w:type="dxa"/>
            <w:vAlign w:val="bottom"/>
          </w:tcPr>
          <w:p>
            <w:pPr>
              <w:spacing w:after="0"/>
              <w:rPr>
                <w:sz w:val="23"/>
                <w:szCs w:val="23"/>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23"/>
                <w:szCs w:val="23"/>
                <w:color w:val="auto"/>
              </w:rPr>
            </w:pPr>
          </w:p>
        </w:tc>
      </w:tr>
      <w:tr>
        <w:trPr>
          <w:trHeight w:val="242"/>
        </w:trPr>
        <w:tc>
          <w:tcPr>
            <w:tcW w:w="6460" w:type="dxa"/>
            <w:vAlign w:val="bottom"/>
          </w:tcPr>
          <w:p>
            <w:pPr>
              <w:spacing w:after="0"/>
              <w:rPr>
                <w:sz w:val="20"/>
                <w:szCs w:val="20"/>
                <w:color w:val="auto"/>
              </w:rPr>
            </w:pPr>
            <w:r>
              <w:rPr>
                <w:rFonts w:ascii="Arial" w:cs="Arial" w:eastAsia="Arial" w:hAnsi="Arial"/>
                <w:sz w:val="18"/>
                <w:szCs w:val="18"/>
                <w:color w:val="auto"/>
              </w:rPr>
              <w:t>Balance, January 1</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420" w:type="dxa"/>
            <w:vAlign w:val="bottom"/>
          </w:tcPr>
          <w:p>
            <w:pPr>
              <w:jc w:val="right"/>
              <w:ind w:right="121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0"/>
        </w:trPr>
        <w:tc>
          <w:tcPr>
            <w:tcW w:w="6460" w:type="dxa"/>
            <w:vAlign w:val="bottom"/>
          </w:tcPr>
          <w:p>
            <w:pPr>
              <w:ind w:left="240"/>
              <w:spacing w:after="0"/>
              <w:rPr>
                <w:sz w:val="20"/>
                <w:szCs w:val="20"/>
                <w:color w:val="auto"/>
              </w:rPr>
            </w:pPr>
            <w:r>
              <w:rPr>
                <w:rFonts w:ascii="Arial" w:cs="Arial" w:eastAsia="Arial" w:hAnsi="Arial"/>
                <w:sz w:val="18"/>
                <w:szCs w:val="18"/>
                <w:color w:val="auto"/>
              </w:rPr>
              <w:t>Revenue deferred</w:t>
            </w:r>
          </w:p>
        </w:tc>
        <w:tc>
          <w:tcPr>
            <w:tcW w:w="134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5"/>
        </w:trPr>
        <w:tc>
          <w:tcPr>
            <w:tcW w:w="6460" w:type="dxa"/>
            <w:vAlign w:val="bottom"/>
          </w:tcPr>
          <w:p>
            <w:pPr>
              <w:ind w:left="240"/>
              <w:spacing w:after="0"/>
              <w:rPr>
                <w:sz w:val="20"/>
                <w:szCs w:val="20"/>
                <w:color w:val="auto"/>
              </w:rPr>
            </w:pPr>
            <w:r>
              <w:rPr>
                <w:rFonts w:ascii="Arial" w:cs="Arial" w:eastAsia="Arial" w:hAnsi="Arial"/>
                <w:sz w:val="18"/>
                <w:szCs w:val="18"/>
                <w:color w:val="auto"/>
              </w:rPr>
              <w:t>Revenue recognized</w:t>
            </w:r>
          </w:p>
        </w:tc>
        <w:tc>
          <w:tcPr>
            <w:tcW w:w="13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59"/>
        </w:trPr>
        <w:tc>
          <w:tcPr>
            <w:tcW w:w="6460" w:type="dxa"/>
            <w:vAlign w:val="bottom"/>
          </w:tcPr>
          <w:p>
            <w:pPr>
              <w:spacing w:after="0"/>
              <w:rPr>
                <w:sz w:val="20"/>
                <w:szCs w:val="20"/>
                <w:color w:val="auto"/>
              </w:rPr>
            </w:pPr>
            <w:r>
              <w:rPr>
                <w:rFonts w:ascii="Arial" w:cs="Arial" w:eastAsia="Arial" w:hAnsi="Arial"/>
                <w:sz w:val="18"/>
                <w:szCs w:val="18"/>
                <w:color w:val="auto"/>
              </w:rPr>
              <w:t>Balance, March 31</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2"/>
                <w:szCs w:val="22"/>
                <w:color w:val="auto"/>
              </w:rPr>
            </w:pPr>
          </w:p>
        </w:tc>
        <w:tc>
          <w:tcPr>
            <w:tcW w:w="1420" w:type="dxa"/>
            <w:vAlign w:val="bottom"/>
          </w:tcPr>
          <w:p>
            <w:pPr>
              <w:jc w:val="right"/>
              <w:ind w:right="121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-1905</wp:posOffset>
            </wp:positionV>
            <wp:extent cx="24523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-125095</wp:posOffset>
            </wp:positionV>
            <wp:extent cx="24523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6" w:lineRule="exact"/>
        <w:rPr>
          <w:sz w:val="20"/>
          <w:szCs w:val="20"/>
          <w:color w:val="auto"/>
        </w:rPr>
      </w:pPr>
    </w:p>
    <w:p>
      <w:pPr>
        <w:ind w:left="500"/>
        <w:spacing w:after="0" w:line="265" w:lineRule="auto"/>
        <w:rPr>
          <w:sz w:val="20"/>
          <w:szCs w:val="20"/>
          <w:color w:val="auto"/>
        </w:rPr>
      </w:pPr>
      <w:r>
        <w:rPr>
          <w:rFonts w:ascii="Arial" w:cs="Arial" w:eastAsia="Arial" w:hAnsi="Arial"/>
          <w:sz w:val="14"/>
          <w:szCs w:val="14"/>
          <w:color w:val="auto"/>
        </w:rPr>
        <w:t>At March 31, 2019 and 2018, $18 million was included in accounts payable and other current liabilities, in each period, and $45 million and $54 million, respectively, in other non-current liabilities. Non-current amounts are expected to be recognized as revenue within two to three years.</w:t>
      </w:r>
    </w:p>
    <w:p>
      <w:pPr>
        <w:spacing w:after="0" w:line="158" w:lineRule="exact"/>
        <w:rPr>
          <w:sz w:val="20"/>
          <w:szCs w:val="20"/>
          <w:color w:val="auto"/>
        </w:rPr>
      </w:pPr>
    </w:p>
    <w:p>
      <w:pPr>
        <w:ind w:left="500" w:right="280"/>
        <w:spacing w:after="0" w:line="264" w:lineRule="auto"/>
        <w:rPr>
          <w:sz w:val="20"/>
          <w:szCs w:val="20"/>
          <w:color w:val="auto"/>
        </w:rPr>
      </w:pPr>
      <w:r>
        <w:rPr>
          <w:rFonts w:ascii="Arial" w:cs="Arial" w:eastAsia="Arial" w:hAnsi="Arial"/>
          <w:sz w:val="18"/>
          <w:szCs w:val="18"/>
          <w:color w:val="auto"/>
        </w:rPr>
        <w:t>At January 1, 2018, the Company’s prepaid rentals and membership fees related to its car sharing business were $125 million. During the three months ended March 31, 2018, additional revenues of $412 million were deferred and revenues of $359 million were recognized. At March 31, 2018, the ending prepaid rentals and car sharing membership fees were $178 million, of which $176 million was included in accounts payable and other current liabilities and $2 million was included in other non-current liabilities.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Nonemployee Share-Based Payment Accounting</w:t>
      </w:r>
    </w:p>
    <w:p>
      <w:pPr>
        <w:spacing w:after="0" w:line="223" w:lineRule="exact"/>
        <w:rPr>
          <w:sz w:val="20"/>
          <w:szCs w:val="20"/>
          <w:color w:val="auto"/>
        </w:rPr>
      </w:pPr>
    </w:p>
    <w:p>
      <w:pPr>
        <w:ind w:left="500" w:right="400"/>
        <w:spacing w:after="0" w:line="260" w:lineRule="auto"/>
        <w:rPr>
          <w:sz w:val="20"/>
          <w:szCs w:val="20"/>
          <w:color w:val="auto"/>
        </w:rPr>
      </w:pPr>
      <w:r>
        <w:rPr>
          <w:rFonts w:ascii="Arial" w:cs="Arial" w:eastAsia="Arial" w:hAnsi="Arial"/>
          <w:sz w:val="18"/>
          <w:szCs w:val="18"/>
          <w:color w:val="auto"/>
        </w:rPr>
        <w:t>On January 1, 2019, as a result of a new accounting pronouncement, the Company adopted Accounting Standards Update (“ASU”) 2018-02, “Stock Compensation (Topic 718): Improvements to Nonemployee Share-Based Payment Accounting,” which simplifies the accounting for share-based payments granted to nonemployees for goods and services and aligns most of the guidance on such payments to nonemployees with the requirements for share-based payments granted to employees. The adoption of this accounting pronouncement did not have an impact on the Company's Consolidated Condensed Financial Statements.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Accounting for Hedging Activities</w:t>
      </w:r>
    </w:p>
    <w:p>
      <w:pPr>
        <w:spacing w:after="0" w:line="223" w:lineRule="exact"/>
        <w:rPr>
          <w:sz w:val="20"/>
          <w:szCs w:val="20"/>
          <w:color w:val="auto"/>
        </w:rPr>
      </w:pPr>
    </w:p>
    <w:p>
      <w:pPr>
        <w:ind w:left="500" w:right="180"/>
        <w:spacing w:after="0" w:line="264" w:lineRule="auto"/>
        <w:rPr>
          <w:sz w:val="20"/>
          <w:szCs w:val="20"/>
          <w:color w:val="auto"/>
        </w:rPr>
      </w:pPr>
      <w:r>
        <w:rPr>
          <w:rFonts w:ascii="Arial" w:cs="Arial" w:eastAsia="Arial" w:hAnsi="Arial"/>
          <w:sz w:val="18"/>
          <w:szCs w:val="18"/>
          <w:color w:val="auto"/>
        </w:rPr>
        <w:t>On January 1, 2019, as the result of a new accounting pronouncement, the Company adopted ASU 2017-12, “Derivatives and Hedging (Topic 815): Targeted Improvements to Accounting for Hedging Activities,” which amends the existing guidance to allow companies to more accurately present the economic results of an entity’s risk management activities in the financial statements. The adoption of this standard did not have a material impact on the Company’s Consolidated Condensed Financial Statements.</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Leases</w:t>
      </w:r>
    </w:p>
    <w:p>
      <w:pPr>
        <w:spacing w:after="0" w:line="223" w:lineRule="exact"/>
        <w:rPr>
          <w:sz w:val="20"/>
          <w:szCs w:val="20"/>
          <w:color w:val="auto"/>
        </w:rPr>
      </w:pPr>
    </w:p>
    <w:p>
      <w:pPr>
        <w:ind w:left="500" w:right="20"/>
        <w:spacing w:after="0" w:line="264" w:lineRule="auto"/>
        <w:rPr>
          <w:sz w:val="20"/>
          <w:szCs w:val="20"/>
          <w:color w:val="auto"/>
        </w:rPr>
      </w:pPr>
      <w:r>
        <w:rPr>
          <w:rFonts w:ascii="Arial" w:cs="Arial" w:eastAsia="Arial" w:hAnsi="Arial"/>
          <w:sz w:val="18"/>
          <w:szCs w:val="18"/>
          <w:color w:val="auto"/>
        </w:rPr>
        <w:t>On January 1, 2019, as the result of a new accounting pronouncement, the Company adopted Topic 842 along with related updates, which require a lessee to recognize all long-term leases on its balance sheet as a liability for its lease obligation, measured at the present value of lease payments not yet paid, and a corresponding asset representing its right to use the underlying asset over the lease term and expands disclosure of key information about leasing arrangements. Topic 842 does not significantly change a lessee’s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8"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500" w:right="140"/>
        <w:spacing w:after="0" w:line="292" w:lineRule="auto"/>
        <w:rPr>
          <w:sz w:val="20"/>
          <w:szCs w:val="20"/>
          <w:color w:val="auto"/>
        </w:rPr>
      </w:pPr>
      <w:r>
        <w:rPr>
          <w:rFonts w:ascii="Arial" w:cs="Arial" w:eastAsia="Arial" w:hAnsi="Arial"/>
          <w:sz w:val="18"/>
          <w:szCs w:val="18"/>
          <w:color w:val="auto"/>
        </w:rPr>
        <w:t>recognition, measurement and presentation of expenses and cash flows. Additionally, Topic 842 aligns key aspects of lessor accounting with the revenue recognition guidance in Topic 606.</w:t>
      </w:r>
    </w:p>
    <w:p>
      <w:pPr>
        <w:spacing w:after="0" w:line="145" w:lineRule="exact"/>
        <w:rPr>
          <w:sz w:val="20"/>
          <w:szCs w:val="20"/>
          <w:color w:val="auto"/>
        </w:rPr>
      </w:pPr>
    </w:p>
    <w:p>
      <w:pPr>
        <w:ind w:left="500"/>
        <w:spacing w:after="0" w:line="257" w:lineRule="auto"/>
        <w:rPr>
          <w:sz w:val="20"/>
          <w:szCs w:val="20"/>
          <w:color w:val="auto"/>
        </w:rPr>
      </w:pPr>
      <w:r>
        <w:rPr>
          <w:rFonts w:ascii="Arial" w:cs="Arial" w:eastAsia="Arial" w:hAnsi="Arial"/>
          <w:sz w:val="18"/>
          <w:szCs w:val="18"/>
          <w:color w:val="auto"/>
        </w:rPr>
        <w:t>The Company elected available practical expedients for existing or expired contracts of lessees and lessors wherein the Company is not required to reassess whether such contracts contain leases, the lease classification or the initial direct costs. The Company is not utilizing the practical expedient which allows the use of hindsight by lessees and lessors in determining the lease term and in assessing impairment of its right-of-use (“ROU”) assets. Additionally, the Company elected as accounting policies to not recognize ROU assets or lease liabilities for short-term leases (i.e. those with a term of 12 months or less at lease commencement) and, by class of underlying asset, to combine lease and nonlease components in the contract. The Company utilized the transition method allowing entities to only apply the new lease standard in the year of adoption.</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Lessor</w:t>
      </w:r>
    </w:p>
    <w:p>
      <w:pPr>
        <w:spacing w:after="0" w:line="29" w:lineRule="exact"/>
        <w:rPr>
          <w:sz w:val="20"/>
          <w:szCs w:val="20"/>
          <w:color w:val="auto"/>
        </w:rPr>
      </w:pPr>
    </w:p>
    <w:p>
      <w:pPr>
        <w:ind w:left="500" w:right="60"/>
        <w:spacing w:after="0" w:line="255" w:lineRule="auto"/>
        <w:rPr>
          <w:sz w:val="20"/>
          <w:szCs w:val="20"/>
          <w:color w:val="auto"/>
        </w:rPr>
      </w:pPr>
      <w:r>
        <w:rPr>
          <w:rFonts w:ascii="Arial" w:cs="Arial" w:eastAsia="Arial" w:hAnsi="Arial"/>
          <w:sz w:val="18"/>
          <w:szCs w:val="18"/>
          <w:color w:val="auto"/>
        </w:rPr>
        <w:t>The Company has determined that revenues derived by providing vehicle rentals and other related products and mobility services to customers are within the scope of the accounting guidance contained in Topic 842 with the exception of royalty fee revenue derived from the Company’s licensees and revenue related to the Company’s customer loyalty program. The Company’s rental related revenues have been accounted for under the revenue accounting standard Topic 606, until the adoption of Topic 842.</w:t>
      </w:r>
    </w:p>
    <w:p>
      <w:pPr>
        <w:spacing w:after="0" w:line="179" w:lineRule="exact"/>
        <w:rPr>
          <w:sz w:val="20"/>
          <w:szCs w:val="20"/>
          <w:color w:val="auto"/>
        </w:rPr>
      </w:pPr>
    </w:p>
    <w:p>
      <w:pPr>
        <w:ind w:left="500"/>
        <w:spacing w:after="0" w:line="260" w:lineRule="auto"/>
        <w:rPr>
          <w:sz w:val="20"/>
          <w:szCs w:val="20"/>
          <w:color w:val="auto"/>
        </w:rPr>
      </w:pPr>
      <w:r>
        <w:rPr>
          <w:rFonts w:ascii="Arial" w:cs="Arial" w:eastAsia="Arial" w:hAnsi="Arial"/>
          <w:sz w:val="18"/>
          <w:szCs w:val="18"/>
          <w:color w:val="auto"/>
        </w:rPr>
        <w:t>The Company excludes from the measurement of its lease revenues any tax assessed by a governmental authority that is both imposed on and concurrent with a specific revenue-producing transaction and collected from a customer. As a result, lease revenues exclude such taxes collected. Fees collected from customers for which the Company is the primary obligor such as airport concessions and vehicle licensing are recorded within revenues and corresponding remittances of these fees by the Company are recorded within operating expenses.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Lessee</w:t>
      </w:r>
    </w:p>
    <w:p>
      <w:pPr>
        <w:spacing w:after="0" w:line="29" w:lineRule="exact"/>
        <w:rPr>
          <w:sz w:val="20"/>
          <w:szCs w:val="20"/>
          <w:color w:val="auto"/>
        </w:rPr>
      </w:pPr>
    </w:p>
    <w:p>
      <w:pPr>
        <w:ind w:left="500" w:right="160"/>
        <w:spacing w:after="0" w:line="254" w:lineRule="auto"/>
        <w:rPr>
          <w:sz w:val="20"/>
          <w:szCs w:val="20"/>
          <w:color w:val="auto"/>
        </w:rPr>
      </w:pPr>
      <w:r>
        <w:rPr>
          <w:rFonts w:ascii="Arial" w:cs="Arial" w:eastAsia="Arial" w:hAnsi="Arial"/>
          <w:sz w:val="18"/>
          <w:szCs w:val="18"/>
          <w:color w:val="auto"/>
        </w:rPr>
        <w:t>The Company determines if an arrangement is a lease at inception. Operating leases, other than those associated with the Company’s vehicle rental programs, are included in operating lease ROU assets, accounts payable and other current liabilities, and long-term operating lease liabilities in the Company’s Consolidated Condensed Balance Sheets. Finance leases, other than those associated with the Company’s vehicle rental programs, are included in property and equipment, net, short-term debt and current portion of long-term debt, and long-term debt in the Company’s Consolidated Condensed Balance Sheets.</w:t>
      </w:r>
    </w:p>
    <w:p>
      <w:pPr>
        <w:spacing w:after="0" w:line="179" w:lineRule="exact"/>
        <w:rPr>
          <w:sz w:val="20"/>
          <w:szCs w:val="20"/>
          <w:color w:val="auto"/>
        </w:rPr>
      </w:pPr>
    </w:p>
    <w:p>
      <w:pPr>
        <w:jc w:val="both"/>
        <w:ind w:left="500" w:right="60"/>
        <w:spacing w:after="0" w:line="275" w:lineRule="auto"/>
        <w:rPr>
          <w:sz w:val="20"/>
          <w:szCs w:val="20"/>
          <w:color w:val="auto"/>
        </w:rPr>
      </w:pPr>
      <w:r>
        <w:rPr>
          <w:rFonts w:ascii="Arial" w:cs="Arial" w:eastAsia="Arial" w:hAnsi="Arial"/>
          <w:sz w:val="17"/>
          <w:szCs w:val="17"/>
          <w:color w:val="auto"/>
        </w:rPr>
        <w:t>ROU assets represent the Company’s right to use an underlying asset for the lease term and lease liabilities represent the Company’s obligation to make lease payments arising from the lease. ROU assets and liabilities are recognized at commencement date based on the present value of lease payments over the expected lease term. As most of the Company’s leases do not provide an implicit rate, the Company uses its incremental borrowing rate based on information available at commencement date in determining the present value of lease payments. The operating lease ROU assets are reduced by any lease incentives. The Company’s lease terms may include options to extend or terminate the lease, which are included in the calculation of ROU assets when it is reasonably certain that the Company will exercise those options. Lease expense for lease payments is usually recognized on a straight-line basis over the lease term.</w:t>
      </w:r>
    </w:p>
    <w:p>
      <w:pPr>
        <w:spacing w:after="0" w:line="161" w:lineRule="exact"/>
        <w:rPr>
          <w:sz w:val="20"/>
          <w:szCs w:val="20"/>
          <w:color w:val="auto"/>
        </w:rPr>
      </w:pPr>
    </w:p>
    <w:p>
      <w:pPr>
        <w:ind w:left="500" w:right="60"/>
        <w:spacing w:after="0" w:line="271" w:lineRule="auto"/>
        <w:rPr>
          <w:sz w:val="20"/>
          <w:szCs w:val="20"/>
          <w:color w:val="auto"/>
        </w:rPr>
      </w:pPr>
      <w:r>
        <w:rPr>
          <w:rFonts w:ascii="Arial" w:cs="Arial" w:eastAsia="Arial" w:hAnsi="Arial"/>
          <w:sz w:val="18"/>
          <w:szCs w:val="18"/>
          <w:color w:val="auto"/>
        </w:rPr>
        <w:t>The Company has lease agreements with lease and non-lease components, which are generally not accounted for separately. Additionally, for certain leases, the Company applies a portfolio approach to account for the operating lease ROU assets and liabilities as the leases are similar in nature and have nearly identical contract provisions.</w:t>
      </w:r>
    </w:p>
    <w:p>
      <w:pPr>
        <w:spacing w:after="0" w:line="163" w:lineRule="exact"/>
        <w:rPr>
          <w:sz w:val="20"/>
          <w:szCs w:val="20"/>
          <w:color w:val="auto"/>
        </w:rPr>
      </w:pPr>
    </w:p>
    <w:p>
      <w:pPr>
        <w:ind w:left="500" w:right="100"/>
        <w:spacing w:after="0" w:line="264" w:lineRule="auto"/>
        <w:rPr>
          <w:sz w:val="20"/>
          <w:szCs w:val="20"/>
          <w:color w:val="auto"/>
        </w:rPr>
      </w:pPr>
      <w:r>
        <w:rPr>
          <w:rFonts w:ascii="Arial" w:cs="Arial" w:eastAsia="Arial" w:hAnsi="Arial"/>
          <w:sz w:val="18"/>
          <w:szCs w:val="18"/>
          <w:color w:val="auto"/>
        </w:rPr>
        <w:t>Adoption of this standard resulted in most of the Company’s operating lease commitments being recognized as operating lease liabilities and right-of-use assets, which increased total assets and total liabilities by approximately $2,811 million related to property operating leases and $183 million related to vehicle operating leases. The Company recorded a beginning accumulated deficit adjustment of $5 million, net of tax, related to the adoption of this standard.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6"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Intangibles—Goodwill and Other—Internal—Use Software</w:t>
      </w:r>
    </w:p>
    <w:p>
      <w:pPr>
        <w:spacing w:after="0" w:line="223" w:lineRule="exact"/>
        <w:rPr>
          <w:sz w:val="20"/>
          <w:szCs w:val="20"/>
          <w:color w:val="auto"/>
        </w:rPr>
      </w:pPr>
    </w:p>
    <w:p>
      <w:pPr>
        <w:ind w:left="500" w:right="100"/>
        <w:spacing w:after="0" w:line="254" w:lineRule="auto"/>
        <w:rPr>
          <w:sz w:val="20"/>
          <w:szCs w:val="20"/>
          <w:color w:val="auto"/>
        </w:rPr>
      </w:pPr>
      <w:r>
        <w:rPr>
          <w:rFonts w:ascii="Arial" w:cs="Arial" w:eastAsia="Arial" w:hAnsi="Arial"/>
          <w:sz w:val="18"/>
          <w:szCs w:val="18"/>
          <w:color w:val="auto"/>
        </w:rPr>
        <w:t>In August 2018, the Financial Accounting Standards Board (“FASB”) issued ASU 2018-15 “Customer’s Accounting for Fees Paid in a Cloud Computing Arrangement That Is a Service Contract”, which provides guidance for determining when the arrangement includes a software license. The amendments align the requirements for capitalizing implementation costs incurred in a hosting arrangement that is a service contract with the requirements for capitalizing implementation costs incurred to develop or obtain internal use software (and hosting arrangements that include an internal use software license). The amendments in this update also require the entity to expense the capitalized implementation costs of a hosting arrangement that is a service contract over the term of the hosting arrangement, to present the expense in the same line in its statement of income as the fees associated with the hosting element (service) of the arrangement and classify payments for capitalized implementation costs in its statement of cash flows in the same manner as payments made for fees associated with the hosting element. The entity is also required to present the capitalized implementation costs in its balance sheet in the same line that a prepayment for the fees of the associated hosting arrangement would be presented. ASU 2018-15 becomes effective for the Company on January 1, 2020. Early adoption is permitted. The Company is currently evaluating the impact of adopting this accounting pronouncement on its Consolidated Condensed Financial Statements.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Compensation—Retirement Benefits—Defined Benefit Plans</w:t>
      </w:r>
    </w:p>
    <w:p>
      <w:pPr>
        <w:spacing w:after="0" w:line="223" w:lineRule="exact"/>
        <w:rPr>
          <w:sz w:val="20"/>
          <w:szCs w:val="20"/>
          <w:color w:val="auto"/>
        </w:rPr>
      </w:pPr>
    </w:p>
    <w:p>
      <w:pPr>
        <w:ind w:left="500" w:right="200"/>
        <w:spacing w:after="0" w:line="258" w:lineRule="auto"/>
        <w:rPr>
          <w:sz w:val="20"/>
          <w:szCs w:val="20"/>
          <w:color w:val="auto"/>
        </w:rPr>
      </w:pPr>
      <w:r>
        <w:rPr>
          <w:rFonts w:ascii="Arial" w:cs="Arial" w:eastAsia="Arial" w:hAnsi="Arial"/>
          <w:sz w:val="18"/>
          <w:szCs w:val="18"/>
          <w:color w:val="auto"/>
        </w:rPr>
        <w:t>In August 2018, the FASB issued ASU 2018-14, “Disclosure Framework—Changes to the Disclosure Requirements for Defined Benefit Plans,” which adds, removes, and clarifies disclosure requirements related to defined benefit pension and other postretirement plans. These changes are part of the FASB’s disclosure framework project, which the Board launched in 2014 to improve the effectiveness of disclosures in notes to financial statements. ASU 2018-14 becomes effective for the Company on January 1, 2021. Early adoption is permitted. The adoption of this accounting pronouncement is not expected to have a material impact on the Company's Consolidated Condensed Financial Statements.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Fair Value Measurement</w:t>
      </w:r>
    </w:p>
    <w:p>
      <w:pPr>
        <w:spacing w:after="0" w:line="223" w:lineRule="exact"/>
        <w:rPr>
          <w:sz w:val="20"/>
          <w:szCs w:val="20"/>
          <w:color w:val="auto"/>
        </w:rPr>
      </w:pPr>
    </w:p>
    <w:p>
      <w:pPr>
        <w:ind w:left="500" w:right="120"/>
        <w:spacing w:after="0" w:line="264" w:lineRule="auto"/>
        <w:rPr>
          <w:sz w:val="20"/>
          <w:szCs w:val="20"/>
          <w:color w:val="auto"/>
        </w:rPr>
      </w:pPr>
      <w:r>
        <w:rPr>
          <w:rFonts w:ascii="Arial" w:cs="Arial" w:eastAsia="Arial" w:hAnsi="Arial"/>
          <w:sz w:val="18"/>
          <w:szCs w:val="18"/>
          <w:color w:val="auto"/>
        </w:rPr>
        <w:t>In August 2018, the FASB issued ASU 2018-13, “Disclosure Framework—Changes to the Disclosure Requirements for Fair Value Measurement,” which adds, removes, and modifies disclosure requirements related to fair value measurements. ASU 2018-13 becomes effective for the Company on January 1, 2020. Early adoption is permitted. The adoption of this accounting pronouncement is not expected to have a material impact on the Company's Consolidated Condensed Financial Statements.</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Measurement of Credit Losses on Financial Instruments</w:t>
      </w:r>
    </w:p>
    <w:p>
      <w:pPr>
        <w:spacing w:after="0" w:line="223" w:lineRule="exact"/>
        <w:rPr>
          <w:sz w:val="20"/>
          <w:szCs w:val="20"/>
          <w:color w:val="auto"/>
        </w:rPr>
      </w:pPr>
    </w:p>
    <w:p>
      <w:pPr>
        <w:ind w:left="500" w:right="40"/>
        <w:spacing w:after="0" w:line="256" w:lineRule="auto"/>
        <w:rPr>
          <w:sz w:val="20"/>
          <w:szCs w:val="20"/>
          <w:color w:val="auto"/>
        </w:rPr>
      </w:pPr>
      <w:r>
        <w:rPr>
          <w:rFonts w:ascii="Arial" w:cs="Arial" w:eastAsia="Arial" w:hAnsi="Arial"/>
          <w:sz w:val="18"/>
          <w:szCs w:val="18"/>
          <w:color w:val="auto"/>
        </w:rPr>
        <w:t>In June 2016, the FASB issued ASU 2016-13, “Financial Instruments—Credit Losses (Topic 326): Measurement of Credit Losses on Financial Instruments,” which sets forth a current expected credit loss impairment model for financial assets that replaces the current incurred loss model. This model requires a financial asset (or group of financial assets), including trade receivables, measured at amortized cost to be presented at the net amount expected to be collected with an allowance for credit losses deducted from the amortized cost basis. The allowance for credit losses should reflect management’s current estimate of credit losses that are expected to occur over the remaining life of a financial asset. ASU 2016-13 becomes effective for the Company on January 1, 2020. Early adoption is permitted as of January 1, 2019. The adoption of this accounting pronouncement is not expected to have a material impact on the Company's Consolidated Condensed Financial Statements.</w:t>
      </w:r>
    </w:p>
    <w:p>
      <w:pPr>
        <w:spacing w:after="0" w:line="176" w:lineRule="exact"/>
        <w:rPr>
          <w:sz w:val="20"/>
          <w:szCs w:val="20"/>
          <w:color w:val="auto"/>
        </w:rPr>
      </w:pPr>
    </w:p>
    <w:p>
      <w:pPr>
        <w:jc w:val="both"/>
        <w:ind w:left="500" w:right="10320" w:hanging="492"/>
        <w:spacing w:after="0" w:line="531" w:lineRule="auto"/>
        <w:tabs>
          <w:tab w:leader="none" w:pos="50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b w:val="1"/>
          <w:bCs w:val="1"/>
          <w:i w:val="1"/>
          <w:iCs w:val="1"/>
          <w:color w:val="auto"/>
        </w:rPr>
        <w:t>Lessor</w:t>
      </w:r>
    </w:p>
    <w:p>
      <w:pPr>
        <w:spacing w:after="0" w:line="1" w:lineRule="exact"/>
        <w:rPr>
          <w:rFonts w:ascii="Arial" w:cs="Arial" w:eastAsia="Arial" w:hAnsi="Arial"/>
          <w:sz w:val="17"/>
          <w:szCs w:val="17"/>
          <w:b w:val="1"/>
          <w:bCs w:val="1"/>
          <w:color w:val="auto"/>
        </w:rPr>
      </w:pPr>
    </w:p>
    <w:p>
      <w:pPr>
        <w:ind w:left="50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For periods after January 1, 2019, the Company combines all lease and nonlease components of its vehicle rental contracts for which the timing and pattern of transfer are the same and the lease component meets the classification of an operating lease, and accounts for them in accordance with Topic 842. The Company derives revenues primarily by providing vehicle rentals and other related products and mobility services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6"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color w:val="auto"/>
        </w:rPr>
        <w:t>commercial and leisure customers. Other related products and mobility services include sales of collision and loss damage waivers under which a customer is relieved from financial responsibility arising from vehicle damage incurred during the rental; products and services for driving convenience such as fuel service options, chauffeur drive services, roadside safety net, electronic toll collection, tablet rentals, access to satellite radio, portable navigation units and child safety seat rentals; and rentals of other supplemental items including automobile towing equipment and other moving accessories and supplies. The Company also receives payment from customers for certain operating expenses that it incurs, including airport concession fees that are paid by the Company in exchange for the right to operate at airports and other locations, as well as vehicle licensing fees. Vehicle rentals and other related products and mobility services are recognized evenly over the period of rental, which is on average four days. In addition, the Company collects membership leasing fees in connection with its car sharing business. Membership leasing fees are generally nonrefundable, are deferred and recognized ratably over the period of membership.</w:t>
      </w:r>
    </w:p>
    <w:p>
      <w:pPr>
        <w:spacing w:after="0" w:line="178" w:lineRule="exact"/>
        <w:rPr>
          <w:sz w:val="20"/>
          <w:szCs w:val="20"/>
          <w:color w:val="auto"/>
        </w:rPr>
      </w:pPr>
    </w:p>
    <w:tbl>
      <w:tblPr>
        <w:tblLayout w:type="fixed"/>
        <w:tblInd w:w="500" w:type="dxa"/>
        <w:tblCellMar>
          <w:top w:w="0" w:type="dxa"/>
          <w:left w:w="0" w:type="dxa"/>
          <w:bottom w:w="0" w:type="dxa"/>
          <w:right w:w="0" w:type="dxa"/>
        </w:tblCellMar>
      </w:tblPr>
      <w:tr>
        <w:trPr>
          <w:trHeight w:val="243"/>
        </w:trPr>
        <w:tc>
          <w:tcPr>
            <w:tcW w:w="8200" w:type="dxa"/>
            <w:vAlign w:val="bottom"/>
          </w:tcPr>
          <w:p>
            <w:pPr>
              <w:spacing w:after="0"/>
              <w:rPr>
                <w:sz w:val="20"/>
                <w:szCs w:val="20"/>
                <w:color w:val="auto"/>
              </w:rPr>
            </w:pPr>
            <w:r>
              <w:rPr>
                <w:rFonts w:ascii="Arial" w:cs="Arial" w:eastAsia="Arial" w:hAnsi="Arial"/>
                <w:sz w:val="18"/>
                <w:szCs w:val="18"/>
                <w:color w:val="auto"/>
              </w:rPr>
              <w:t>The following table presents the Company’s lease revenues disaggregated by geography.</w:t>
            </w:r>
          </w:p>
        </w:tc>
        <w:tc>
          <w:tcPr>
            <w:tcW w:w="2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8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53"/>
        </w:trPr>
        <w:tc>
          <w:tcPr>
            <w:tcW w:w="8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March 31, 2019</w:t>
            </w:r>
          </w:p>
        </w:tc>
        <w:tc>
          <w:tcPr>
            <w:tcW w:w="0" w:type="dxa"/>
            <w:vAlign w:val="bottom"/>
          </w:tcPr>
          <w:p>
            <w:pPr>
              <w:spacing w:after="0"/>
              <w:rPr>
                <w:sz w:val="1"/>
                <w:szCs w:val="1"/>
                <w:color w:val="auto"/>
              </w:rPr>
            </w:pPr>
          </w:p>
        </w:tc>
      </w:tr>
      <w:tr>
        <w:trPr>
          <w:trHeight w:val="242"/>
        </w:trPr>
        <w:tc>
          <w:tcPr>
            <w:tcW w:w="8200" w:type="dxa"/>
            <w:vAlign w:val="bottom"/>
          </w:tcPr>
          <w:p>
            <w:pPr>
              <w:ind w:left="36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57"/>
        </w:trPr>
        <w:tc>
          <w:tcPr>
            <w:tcW w:w="8200" w:type="dxa"/>
            <w:vAlign w:val="bottom"/>
          </w:tcPr>
          <w:p>
            <w:pPr>
              <w:ind w:left="360"/>
              <w:spacing w:after="0"/>
              <w:rPr>
                <w:sz w:val="20"/>
                <w:szCs w:val="20"/>
                <w:color w:val="auto"/>
              </w:rPr>
            </w:pPr>
            <w:r>
              <w:rPr>
                <w:rFonts w:ascii="Arial" w:cs="Arial" w:eastAsia="Arial" w:hAnsi="Arial"/>
                <w:sz w:val="18"/>
                <w:szCs w:val="18"/>
                <w:color w:val="auto"/>
              </w:rPr>
              <w:t>Europe, Middle East and Africa</w:t>
            </w:r>
          </w:p>
        </w:tc>
        <w:tc>
          <w:tcPr>
            <w:tcW w:w="220" w:type="dxa"/>
            <w:vAlign w:val="bottom"/>
          </w:tcPr>
          <w:p>
            <w:pPr>
              <w:spacing w:after="0"/>
              <w:rPr>
                <w:sz w:val="22"/>
                <w:szCs w:val="22"/>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61"/>
        </w:trPr>
        <w:tc>
          <w:tcPr>
            <w:tcW w:w="8200" w:type="dxa"/>
            <w:vAlign w:val="bottom"/>
          </w:tcPr>
          <w:p>
            <w:pPr>
              <w:ind w:left="360"/>
              <w:spacing w:after="0"/>
              <w:rPr>
                <w:sz w:val="20"/>
                <w:szCs w:val="20"/>
                <w:color w:val="auto"/>
              </w:rPr>
            </w:pPr>
            <w:r>
              <w:rPr>
                <w:rFonts w:ascii="Arial" w:cs="Arial" w:eastAsia="Arial" w:hAnsi="Arial"/>
                <w:sz w:val="18"/>
                <w:szCs w:val="18"/>
                <w:color w:val="auto"/>
              </w:rPr>
              <w:t>Asia and Australasia</w:t>
            </w:r>
          </w:p>
        </w:tc>
        <w:tc>
          <w:tcPr>
            <w:tcW w:w="22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55"/>
        </w:trPr>
        <w:tc>
          <w:tcPr>
            <w:tcW w:w="8200" w:type="dxa"/>
            <w:vAlign w:val="bottom"/>
          </w:tcPr>
          <w:p>
            <w:pPr>
              <w:ind w:left="360"/>
              <w:spacing w:after="0"/>
              <w:rPr>
                <w:sz w:val="20"/>
                <w:szCs w:val="20"/>
                <w:color w:val="auto"/>
              </w:rPr>
            </w:pPr>
            <w:r>
              <w:rPr>
                <w:rFonts w:ascii="Arial" w:cs="Arial" w:eastAsia="Arial" w:hAnsi="Arial"/>
                <w:sz w:val="18"/>
                <w:szCs w:val="18"/>
                <w:color w:val="auto"/>
              </w:rPr>
              <w:t>Total lease revenues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8"/>
                <w:szCs w:val="18"/>
                <w:color w:val="auto"/>
              </w:rPr>
              <w:t>The following table presents the Company’s lease revenues disaggregated by brand.</w:t>
            </w:r>
          </w:p>
        </w:tc>
        <w:tc>
          <w:tcPr>
            <w:tcW w:w="2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53"/>
        </w:trPr>
        <w:tc>
          <w:tcPr>
            <w:tcW w:w="8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March 31, 2019</w:t>
            </w:r>
          </w:p>
        </w:tc>
        <w:tc>
          <w:tcPr>
            <w:tcW w:w="0" w:type="dxa"/>
            <w:vAlign w:val="bottom"/>
          </w:tcPr>
          <w:p>
            <w:pPr>
              <w:spacing w:after="0"/>
              <w:rPr>
                <w:sz w:val="1"/>
                <w:szCs w:val="1"/>
                <w:color w:val="auto"/>
              </w:rPr>
            </w:pPr>
          </w:p>
        </w:tc>
      </w:tr>
      <w:tr>
        <w:trPr>
          <w:trHeight w:val="242"/>
        </w:trPr>
        <w:tc>
          <w:tcPr>
            <w:tcW w:w="8200" w:type="dxa"/>
            <w:vAlign w:val="bottom"/>
          </w:tcPr>
          <w:p>
            <w:pPr>
              <w:ind w:left="360"/>
              <w:spacing w:after="0"/>
              <w:rPr>
                <w:sz w:val="20"/>
                <w:szCs w:val="20"/>
                <w:color w:val="auto"/>
              </w:rPr>
            </w:pPr>
            <w:r>
              <w:rPr>
                <w:rFonts w:ascii="Arial" w:cs="Arial" w:eastAsia="Arial" w:hAnsi="Arial"/>
                <w:sz w:val="18"/>
                <w:szCs w:val="18"/>
                <w:color w:val="auto"/>
              </w:rPr>
              <w:t>Avis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57"/>
        </w:trPr>
        <w:tc>
          <w:tcPr>
            <w:tcW w:w="8200" w:type="dxa"/>
            <w:vAlign w:val="bottom"/>
          </w:tcPr>
          <w:p>
            <w:pPr>
              <w:ind w:left="360"/>
              <w:spacing w:after="0"/>
              <w:rPr>
                <w:sz w:val="20"/>
                <w:szCs w:val="20"/>
                <w:color w:val="auto"/>
              </w:rPr>
            </w:pPr>
            <w:r>
              <w:rPr>
                <w:rFonts w:ascii="Arial" w:cs="Arial" w:eastAsia="Arial" w:hAnsi="Arial"/>
                <w:sz w:val="18"/>
                <w:szCs w:val="18"/>
                <w:color w:val="auto"/>
              </w:rPr>
              <w:t>Budget</w:t>
            </w:r>
          </w:p>
        </w:tc>
        <w:tc>
          <w:tcPr>
            <w:tcW w:w="220" w:type="dxa"/>
            <w:vAlign w:val="bottom"/>
          </w:tcPr>
          <w:p>
            <w:pPr>
              <w:spacing w:after="0"/>
              <w:rPr>
                <w:sz w:val="22"/>
                <w:szCs w:val="22"/>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61"/>
        </w:trPr>
        <w:tc>
          <w:tcPr>
            <w:tcW w:w="8200" w:type="dxa"/>
            <w:vAlign w:val="bottom"/>
          </w:tcPr>
          <w:p>
            <w:pPr>
              <w:ind w:left="3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55"/>
        </w:trPr>
        <w:tc>
          <w:tcPr>
            <w:tcW w:w="8200" w:type="dxa"/>
            <w:vAlign w:val="bottom"/>
          </w:tcPr>
          <w:p>
            <w:pPr>
              <w:ind w:left="360"/>
              <w:spacing w:after="0"/>
              <w:rPr>
                <w:sz w:val="20"/>
                <w:szCs w:val="20"/>
                <w:color w:val="auto"/>
              </w:rPr>
            </w:pPr>
            <w:r>
              <w:rPr>
                <w:rFonts w:ascii="Arial" w:cs="Arial" w:eastAsia="Arial" w:hAnsi="Arial"/>
                <w:sz w:val="18"/>
                <w:szCs w:val="18"/>
                <w:color w:val="auto"/>
              </w:rPr>
              <w:t>Total lease revenues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4"/>
                <w:szCs w:val="14"/>
                <w:color w:val="auto"/>
              </w:rPr>
              <w:t>________</w:t>
            </w:r>
          </w:p>
        </w:tc>
        <w:tc>
          <w:tcPr>
            <w:tcW w:w="2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2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8200" w:type="dxa"/>
            <w:vAlign w:val="bottom"/>
          </w:tcPr>
          <w:p>
            <w:pPr>
              <w:spacing w:after="0"/>
              <w:rPr>
                <w:sz w:val="20"/>
                <w:szCs w:val="20"/>
                <w:color w:val="auto"/>
              </w:rPr>
            </w:pPr>
            <w:r>
              <w:rPr>
                <w:rFonts w:ascii="Arial" w:cs="Arial" w:eastAsia="Arial" w:hAnsi="Arial"/>
                <w:sz w:val="14"/>
                <w:szCs w:val="14"/>
                <w:color w:val="auto"/>
              </w:rPr>
              <w:t>Other includes Zipcar and other operating brands.</w:t>
            </w:r>
          </w:p>
        </w:tc>
        <w:tc>
          <w:tcPr>
            <w:tcW w:w="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Lessee</w:t>
      </w:r>
    </w:p>
    <w:p>
      <w:pPr>
        <w:spacing w:after="0" w:line="225" w:lineRule="exact"/>
        <w:rPr>
          <w:sz w:val="20"/>
          <w:szCs w:val="20"/>
          <w:color w:val="auto"/>
        </w:rPr>
      </w:pPr>
    </w:p>
    <w:p>
      <w:pPr>
        <w:ind w:left="500" w:right="160"/>
        <w:spacing w:after="0" w:line="257" w:lineRule="auto"/>
        <w:rPr>
          <w:sz w:val="20"/>
          <w:szCs w:val="20"/>
          <w:color w:val="auto"/>
        </w:rPr>
      </w:pPr>
      <w:r>
        <w:rPr>
          <w:rFonts w:ascii="Arial" w:cs="Arial" w:eastAsia="Arial" w:hAnsi="Arial"/>
          <w:sz w:val="18"/>
          <w:szCs w:val="18"/>
          <w:color w:val="auto"/>
        </w:rPr>
        <w:t>The Company has operating and finance leases for rental locations, corporate offices, vehicle rental fleet and equipment. Many of the Company’s operating leases for rental locations contain concession agreements with various airport authorities that allow the Company to conduct its vehicle rental operations on site. In general, concession fees for airport locations are based on a percentage of total commissionable revenue (as defined by each airport authority), some of which are subject to minimum annual guaranteed amounts. Concession fees other than minimum annual guaranteed amounts are not included in the measurement of operating lease ROU assets and operating lease liabilities, and are recorded as variable lease expense as incurred. The Company’s operating leases for rental locations often also require the Company to pay or reimburse operating expenses.</w:t>
      </w:r>
    </w:p>
    <w:p>
      <w:pPr>
        <w:spacing w:after="0" w:line="177" w:lineRule="exact"/>
        <w:rPr>
          <w:sz w:val="20"/>
          <w:szCs w:val="20"/>
          <w:color w:val="auto"/>
        </w:rPr>
      </w:pPr>
    </w:p>
    <w:p>
      <w:pPr>
        <w:ind w:left="500" w:right="300"/>
        <w:spacing w:after="0" w:line="264" w:lineRule="auto"/>
        <w:rPr>
          <w:sz w:val="20"/>
          <w:szCs w:val="20"/>
          <w:color w:val="auto"/>
        </w:rPr>
      </w:pPr>
      <w:r>
        <w:rPr>
          <w:rFonts w:ascii="Arial" w:cs="Arial" w:eastAsia="Arial" w:hAnsi="Arial"/>
          <w:sz w:val="18"/>
          <w:szCs w:val="18"/>
          <w:color w:val="auto"/>
        </w:rPr>
        <w:t>The Company leases a portion of its vehicles under operating leases, some of which extend through 2025. As of March 31, 2019, the Company has guaranteed up to $ 292 million of residual values for these vehicles at the end of their respective lease terms. The Company believes that, based on current market conditions, the net proceeds from the sale of these vehicles at the end of their lease terms will equal or exceed their net book values and therefore has not recorded a liability related to guaranteed residual values.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16"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expense are as follows: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Property leases </w:t>
      </w:r>
      <w:r>
        <w:rPr>
          <w:rFonts w:ascii="Arial" w:cs="Arial" w:eastAsia="Arial" w:hAnsi="Arial"/>
          <w:sz w:val="21"/>
          <w:szCs w:val="21"/>
          <w:b w:val="1"/>
          <w:bCs w:val="1"/>
          <w:color w:val="auto"/>
          <w:vertAlign w:val="superscript"/>
        </w:rPr>
        <w:t>(a)</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lease expense</w:t>
      </w:r>
    </w:p>
    <w:p>
      <w:pPr>
        <w:spacing w:after="0" w:line="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Variable lease expense</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Total property lease expense</w:t>
      </w:r>
    </w:p>
    <w:p>
      <w:pPr>
        <w:spacing w:after="0" w:line="36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Vehicle leases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Finance lease expense:</w:t>
      </w:r>
    </w:p>
    <w:p>
      <w:pPr>
        <w:spacing w:after="0" w:line="5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Amortization of ROU assets </w:t>
      </w:r>
      <w:r>
        <w:rPr>
          <w:rFonts w:ascii="Arial" w:cs="Arial" w:eastAsia="Arial" w:hAnsi="Arial"/>
          <w:sz w:val="21"/>
          <w:szCs w:val="21"/>
          <w:b w:val="1"/>
          <w:bCs w:val="1"/>
          <w:color w:val="auto"/>
          <w:vertAlign w:val="superscript"/>
        </w:rPr>
        <w:t>(b)</w:t>
      </w:r>
    </w:p>
    <w:p>
      <w:pPr>
        <w:spacing w:after="0" w:line="3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Interest on lease liabilities </w:t>
      </w:r>
      <w:r>
        <w:rPr>
          <w:rFonts w:ascii="Arial" w:cs="Arial" w:eastAsia="Arial" w:hAnsi="Arial"/>
          <w:sz w:val="21"/>
          <w:szCs w:val="21"/>
          <w:b w:val="1"/>
          <w:bCs w:val="1"/>
          <w:color w:val="auto"/>
          <w:vertAlign w:val="superscript"/>
        </w:rPr>
        <w:t>(c)</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Operating lease expense </w:t>
      </w:r>
      <w:r>
        <w:rPr>
          <w:rFonts w:ascii="Arial" w:cs="Arial" w:eastAsia="Arial" w:hAnsi="Arial"/>
          <w:sz w:val="21"/>
          <w:szCs w:val="21"/>
          <w:b w:val="1"/>
          <w:bCs w:val="1"/>
          <w:color w:val="auto"/>
          <w:vertAlign w:val="superscript"/>
        </w:rPr>
        <w:t>(b)</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Total vehicle lease expense</w:t>
      </w:r>
    </w:p>
    <w:p>
      <w:pPr>
        <w:spacing w:after="0" w:line="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30" w:lineRule="auto"/>
        <w:tabs>
          <w:tab w:leader="none" w:pos="8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Primarily included in operating expense.</w:t>
      </w:r>
    </w:p>
    <w:p>
      <w:pPr>
        <w:ind w:left="820" w:hanging="326"/>
        <w:spacing w:after="0" w:line="187" w:lineRule="auto"/>
        <w:tabs>
          <w:tab w:leader="none" w:pos="8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Included in vehicle depreciation and lease charges, net.</w:t>
      </w:r>
    </w:p>
    <w:p>
      <w:pPr>
        <w:ind w:left="820" w:hanging="326"/>
        <w:spacing w:after="0" w:line="204" w:lineRule="auto"/>
        <w:tabs>
          <w:tab w:leader="none" w:pos="8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Included in vehicle interest, net.</w:t>
      </w:r>
    </w:p>
    <w:p>
      <w:pPr>
        <w:spacing w:after="0" w:line="200" w:lineRule="exact"/>
        <w:rPr>
          <w:sz w:val="20"/>
          <w:szCs w:val="20"/>
          <w:color w:val="auto"/>
        </w:rPr>
      </w:pPr>
    </w:p>
    <w:p>
      <w:pPr>
        <w:spacing w:after="0" w:line="380"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1" w:lineRule="exact"/>
        <w:rPr>
          <w:sz w:val="20"/>
          <w:szCs w:val="20"/>
          <w:color w:val="auto"/>
        </w:rPr>
      </w:pPr>
    </w:p>
    <w:p>
      <w:pPr>
        <w:ind w:left="2000" w:hanging="1964"/>
        <w:spacing w:after="0"/>
        <w:tabs>
          <w:tab w:leader="none" w:pos="2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177</w:t>
      </w:r>
    </w:p>
    <w:p>
      <w:pPr>
        <w:spacing w:after="0" w:line="49" w:lineRule="exact"/>
        <w:rPr>
          <w:rFonts w:ascii="Arial" w:cs="Arial" w:eastAsia="Arial" w:hAnsi="Arial"/>
          <w:sz w:val="18"/>
          <w:szCs w:val="18"/>
          <w:color w:val="auto"/>
        </w:rPr>
      </w:pPr>
    </w:p>
    <w:p>
      <w:pPr>
        <w:ind w:left="2100"/>
        <w:spacing w:after="0"/>
        <w:rPr>
          <w:rFonts w:ascii="Arial" w:cs="Arial" w:eastAsia="Arial" w:hAnsi="Arial"/>
          <w:sz w:val="18"/>
          <w:szCs w:val="18"/>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43" w:lineRule="exact"/>
        <w:rPr>
          <w:sz w:val="20"/>
          <w:szCs w:val="20"/>
          <w:color w:val="auto"/>
        </w:rPr>
      </w:pPr>
    </w:p>
    <w:p>
      <w:pPr>
        <w:ind w:left="2000" w:hanging="1964"/>
        <w:spacing w:after="0"/>
        <w:tabs>
          <w:tab w:leader="none" w:pos="2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45720</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2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57"/>
        </w:trPr>
        <w:tc>
          <w:tcPr>
            <w:tcW w:w="112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61"/>
        </w:trPr>
        <w:tc>
          <w:tcPr>
            <w:tcW w:w="1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r>
      <w:tr>
        <w:trPr>
          <w:trHeight w:val="250"/>
        </w:trPr>
        <w:tc>
          <w:tcPr>
            <w:tcW w:w="11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720" w:space="720"/>
            <w:col w:w="2400"/>
          </w:cols>
          <w:pgMar w:left="240" w:top="116" w:right="8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balance sheet information related to leases is as follows:</w:t>
      </w:r>
    </w:p>
    <w:p>
      <w:pPr>
        <w:spacing w:after="0" w:line="200" w:lineRule="exact"/>
        <w:rPr>
          <w:sz w:val="20"/>
          <w:szCs w:val="20"/>
          <w:color w:val="auto"/>
        </w:rPr>
      </w:pP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Property leases</w:t>
      </w:r>
    </w:p>
    <w:p>
      <w:pPr>
        <w:spacing w:after="0" w:line="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Operating lease ROU assets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Short-term operating lease liabilities </w:t>
      </w:r>
      <w:r>
        <w:rPr>
          <w:rFonts w:ascii="Arial" w:cs="Arial" w:eastAsia="Arial" w:hAnsi="Arial"/>
          <w:sz w:val="18"/>
          <w:szCs w:val="18"/>
          <w:color w:val="auto"/>
          <w:vertAlign w:val="superscript"/>
        </w:rPr>
        <w:t>(a)</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Long-term operating lease liabilities</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Operating lease liabilities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Weighted average remaining lease term</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Weighted average discount rate</w:t>
      </w:r>
    </w:p>
    <w:p>
      <w:pPr>
        <w:spacing w:after="0" w:line="33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Vehicle leases</w:t>
      </w:r>
    </w:p>
    <w:p>
      <w:pPr>
        <w:spacing w:after="0" w:line="6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Finance</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Finance lease ROU assets, gross</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Accumulated amortization</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Finance lease ROU assets, net </w:t>
      </w:r>
      <w:r>
        <w:rPr>
          <w:rFonts w:ascii="Arial" w:cs="Arial" w:eastAsia="Arial" w:hAnsi="Arial"/>
          <w:sz w:val="18"/>
          <w:szCs w:val="18"/>
          <w:color w:val="auto"/>
          <w:vertAlign w:val="superscript"/>
        </w:rPr>
        <w:t>(b)</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Short-term vehicle finance lease liabilities</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Long-term vehicle finance lease liabilities</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Vehicle finance lease liabilities </w:t>
      </w:r>
      <w:r>
        <w:rPr>
          <w:rFonts w:ascii="Arial" w:cs="Arial" w:eastAsia="Arial" w:hAnsi="Arial"/>
          <w:sz w:val="18"/>
          <w:szCs w:val="18"/>
          <w:color w:val="auto"/>
          <w:vertAlign w:val="superscript"/>
        </w:rPr>
        <w:t>(c)</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Weighted average remaining lease term</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Weighted average discount rate</w:t>
      </w:r>
    </w:p>
    <w:p>
      <w:pPr>
        <w:spacing w:after="0" w:line="33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Operating</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Vehicle operating lease ROU assets </w:t>
      </w:r>
      <w:r>
        <w:rPr>
          <w:rFonts w:ascii="Arial" w:cs="Arial" w:eastAsia="Arial" w:hAnsi="Arial"/>
          <w:sz w:val="18"/>
          <w:szCs w:val="18"/>
          <w:color w:val="auto"/>
          <w:vertAlign w:val="superscript"/>
        </w:rPr>
        <w:t>(d)</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Short-term vehicle operating lease liabilities</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Long-term vehicle operating lease liabilities</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Vehicle operating lease liabilities </w:t>
      </w:r>
      <w:r>
        <w:rPr>
          <w:rFonts w:ascii="Arial" w:cs="Arial" w:eastAsia="Arial" w:hAnsi="Arial"/>
          <w:sz w:val="18"/>
          <w:szCs w:val="18"/>
          <w:color w:val="auto"/>
          <w:vertAlign w:val="superscript"/>
        </w:rPr>
        <w:t>(e)</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Weighted average remaining lease term</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Weighted average discount rate</w:t>
      </w:r>
    </w:p>
    <w:p>
      <w:pPr>
        <w:spacing w:after="0" w:line="33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Other leases</w:t>
      </w:r>
    </w:p>
    <w:p>
      <w:pPr>
        <w:spacing w:after="0" w:line="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Finance property and equipment lease ROU assets, gross</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Accumulated amortization</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Finance property and equipment lease ROU assets, net </w:t>
      </w:r>
      <w:r>
        <w:rPr>
          <w:rFonts w:ascii="Arial" w:cs="Arial" w:eastAsia="Arial" w:hAnsi="Arial"/>
          <w:sz w:val="18"/>
          <w:szCs w:val="18"/>
          <w:color w:val="auto"/>
          <w:vertAlign w:val="superscript"/>
        </w:rPr>
        <w:t>(f)</w:t>
      </w:r>
    </w:p>
    <w:p>
      <w:pPr>
        <w:spacing w:after="0" w:line="3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Short-term finance lease liabilities </w:t>
      </w:r>
      <w:r>
        <w:rPr>
          <w:rFonts w:ascii="Arial" w:cs="Arial" w:eastAsia="Arial" w:hAnsi="Arial"/>
          <w:sz w:val="18"/>
          <w:szCs w:val="18"/>
          <w:color w:val="auto"/>
          <w:vertAlign w:val="superscript"/>
        </w:rPr>
        <w:t>(g)</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Long-term finance lease liabilities </w:t>
      </w:r>
      <w:r>
        <w:rPr>
          <w:rFonts w:ascii="Arial" w:cs="Arial" w:eastAsia="Arial" w:hAnsi="Arial"/>
          <w:sz w:val="18"/>
          <w:szCs w:val="18"/>
          <w:color w:val="auto"/>
          <w:vertAlign w:val="superscript"/>
        </w:rPr>
        <w:t>(h)</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Finance lease liabilities</w:t>
      </w:r>
    </w:p>
    <w:p>
      <w:pPr>
        <w:spacing w:after="0" w:line="3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Weighted average remaining lease term</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Weighted average discount rate</w:t>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w:t>
      </w:r>
    </w:p>
    <w:p>
      <w:pPr>
        <w:ind w:left="820" w:hanging="326"/>
        <w:spacing w:after="0" w:line="215" w:lineRule="auto"/>
        <w:tabs>
          <w:tab w:leader="none" w:pos="82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Included in Accounts payable and other current liabilities.</w:t>
      </w:r>
    </w:p>
    <w:p>
      <w:pPr>
        <w:ind w:left="820" w:hanging="326"/>
        <w:spacing w:after="0" w:line="187" w:lineRule="auto"/>
        <w:tabs>
          <w:tab w:leader="none" w:pos="82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Included in Vehicles, net within Assets under vehicle programs.</w:t>
      </w:r>
    </w:p>
    <w:p>
      <w:pPr>
        <w:ind w:left="820" w:hanging="326"/>
        <w:spacing w:after="0" w:line="187" w:lineRule="auto"/>
        <w:tabs>
          <w:tab w:leader="none" w:pos="82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Included in Debt within Liabilities under vehicle programs.</w:t>
      </w:r>
    </w:p>
    <w:p>
      <w:pPr>
        <w:ind w:left="820" w:hanging="326"/>
        <w:spacing w:after="0" w:line="187" w:lineRule="auto"/>
        <w:tabs>
          <w:tab w:leader="none" w:pos="82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Included in Receivables from vehicle manufacturers and other within Assets under vehicle programs.</w:t>
      </w:r>
    </w:p>
    <w:p>
      <w:pPr>
        <w:ind w:left="820" w:hanging="326"/>
        <w:spacing w:after="0" w:line="187" w:lineRule="auto"/>
        <w:tabs>
          <w:tab w:leader="none" w:pos="82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Included in Other within Liabilities under vehicle programs.</w:t>
      </w:r>
    </w:p>
    <w:p>
      <w:pPr>
        <w:ind w:left="820" w:hanging="326"/>
        <w:spacing w:after="0" w:line="187" w:lineRule="auto"/>
        <w:tabs>
          <w:tab w:leader="none" w:pos="82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Included in Property and equipment, net.</w:t>
      </w:r>
    </w:p>
    <w:p>
      <w:pPr>
        <w:ind w:left="820" w:hanging="326"/>
        <w:spacing w:after="0" w:line="187" w:lineRule="auto"/>
        <w:tabs>
          <w:tab w:leader="none" w:pos="82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Included in Short-term debt and current portion of long-term debt.</w:t>
      </w:r>
    </w:p>
    <w:p>
      <w:pPr>
        <w:ind w:left="820" w:hanging="326"/>
        <w:spacing w:after="0" w:line="204" w:lineRule="auto"/>
        <w:tabs>
          <w:tab w:leader="none" w:pos="82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Included in 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As of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15690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315" w:lineRule="exact"/>
        <w:rPr>
          <w:sz w:val="20"/>
          <w:szCs w:val="20"/>
          <w:color w:val="auto"/>
        </w:rPr>
      </w:pPr>
    </w:p>
    <w:p>
      <w:pPr>
        <w:ind w:left="1840" w:hanging="1805"/>
        <w:spacing w:after="0"/>
        <w:tabs>
          <w:tab w:leader="none" w:pos="1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2,506</w:t>
      </w:r>
    </w:p>
    <w:p>
      <w:pPr>
        <w:spacing w:after="0" w:line="212" w:lineRule="exact"/>
        <w:rPr>
          <w:sz w:val="20"/>
          <w:szCs w:val="20"/>
          <w:color w:val="auto"/>
        </w:rPr>
      </w:pPr>
    </w:p>
    <w:p>
      <w:pPr>
        <w:ind w:left="1980" w:hanging="1945"/>
        <w:spacing w:after="0"/>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474</w:t>
      </w:r>
    </w:p>
    <w:p>
      <w:pPr>
        <w:spacing w:after="0" w:line="49"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color w:val="auto"/>
        </w:rPr>
        <w:t>2,046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15690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43" w:lineRule="exact"/>
        <w:rPr>
          <w:sz w:val="20"/>
          <w:szCs w:val="20"/>
          <w:color w:val="auto"/>
        </w:rPr>
      </w:pPr>
    </w:p>
    <w:p>
      <w:pPr>
        <w:ind w:left="1840" w:hanging="1805"/>
        <w:spacing w:after="0"/>
        <w:tabs>
          <w:tab w:leader="none" w:pos="1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15690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21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9.5 years</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980" w:hanging="1945"/>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282</w:t>
      </w:r>
    </w:p>
    <w:p>
      <w:pPr>
        <w:spacing w:after="0" w:line="49"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15690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43" w:lineRule="exact"/>
        <w:rPr>
          <w:sz w:val="20"/>
          <w:szCs w:val="20"/>
          <w:color w:val="auto"/>
        </w:rPr>
      </w:pPr>
    </w:p>
    <w:p>
      <w:pPr>
        <w:ind w:left="1980" w:hanging="1945"/>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15690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57"/>
        </w:trPr>
        <w:tc>
          <w:tcPr>
            <w:tcW w:w="10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5690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7" w:lineRule="exact"/>
        <w:rPr>
          <w:sz w:val="20"/>
          <w:szCs w:val="20"/>
          <w:color w:val="auto"/>
        </w:rPr>
      </w:pPr>
    </w:p>
    <w:p>
      <w:pPr>
        <w:ind w:left="1980" w:hanging="1945"/>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15690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232"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1.8 years</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1.40%</w:t>
      </w:r>
    </w:p>
    <w:p>
      <w:pPr>
        <w:spacing w:after="0" w:line="200" w:lineRule="exact"/>
        <w:rPr>
          <w:sz w:val="20"/>
          <w:szCs w:val="20"/>
          <w:color w:val="auto"/>
        </w:rPr>
      </w:pPr>
    </w:p>
    <w:p>
      <w:pPr>
        <w:spacing w:after="0" w:line="390" w:lineRule="exact"/>
        <w:rPr>
          <w:sz w:val="20"/>
          <w:szCs w:val="20"/>
          <w:color w:val="auto"/>
        </w:rPr>
      </w:pPr>
    </w:p>
    <w:p>
      <w:pPr>
        <w:ind w:left="1980" w:hanging="1945"/>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147</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57"/>
        </w:trPr>
        <w:tc>
          <w:tcPr>
            <w:tcW w:w="10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5690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7" w:lineRule="exact"/>
        <w:rPr>
          <w:sz w:val="20"/>
          <w:szCs w:val="20"/>
          <w:color w:val="auto"/>
        </w:rPr>
      </w:pPr>
    </w:p>
    <w:p>
      <w:pPr>
        <w:ind w:left="1980" w:hanging="1945"/>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15690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232"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2.8 years</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3.09%</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2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25</w:t>
            </w:r>
          </w:p>
        </w:tc>
      </w:tr>
      <w:tr>
        <w:trPr>
          <w:trHeight w:val="261"/>
        </w:trPr>
        <w:tc>
          <w:tcPr>
            <w:tcW w:w="1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r>
      <w:tr>
        <w:trPr>
          <w:trHeight w:val="250"/>
        </w:trPr>
        <w:tc>
          <w:tcPr>
            <w:tcW w:w="11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502"/>
        </w:trPr>
        <w:tc>
          <w:tcPr>
            <w:tcW w:w="112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8</w:t>
            </w:r>
          </w:p>
        </w:tc>
      </w:tr>
      <w:tr>
        <w:trPr>
          <w:trHeight w:val="261"/>
        </w:trPr>
        <w:tc>
          <w:tcPr>
            <w:tcW w:w="1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w:t>
            </w:r>
          </w:p>
        </w:tc>
      </w:tr>
      <w:tr>
        <w:trPr>
          <w:trHeight w:val="250"/>
        </w:trPr>
        <w:tc>
          <w:tcPr>
            <w:tcW w:w="11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4.0 years</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5.86%</w:t>
      </w:r>
    </w:p>
    <w:p>
      <w:pPr>
        <w:spacing w:after="0" w:line="1776" w:lineRule="exact"/>
        <w:rPr>
          <w:sz w:val="20"/>
          <w:szCs w:val="20"/>
          <w:color w:val="auto"/>
        </w:rPr>
      </w:pPr>
    </w:p>
    <w:p>
      <w:pPr>
        <w:sectPr>
          <w:pgSz w:w="11900" w:h="16838" w:orient="portrait"/>
          <w:cols w:equalWidth="0" w:num="2">
            <w:col w:w="7640" w:space="720"/>
            <w:col w:w="2480"/>
          </w:cols>
          <w:pgMar w:left="240" w:top="116"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840"/>
          </w:cols>
          <w:pgMar w:left="240" w:top="116" w:right="81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59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84"/>
        </w:trPr>
        <w:tc>
          <w:tcPr>
            <w:tcW w:w="5920" w:type="dxa"/>
            <w:vAlign w:val="bottom"/>
            <w:gridSpan w:val="2"/>
          </w:tcPr>
          <w:p>
            <w:pPr>
              <w:ind w:left="500"/>
              <w:spacing w:after="0"/>
              <w:rPr>
                <w:sz w:val="20"/>
                <w:szCs w:val="20"/>
                <w:color w:val="auto"/>
              </w:rPr>
            </w:pPr>
            <w:r>
              <w:rPr>
                <w:rFonts w:ascii="Arial" w:cs="Arial" w:eastAsia="Arial" w:hAnsi="Arial"/>
                <w:sz w:val="18"/>
                <w:szCs w:val="18"/>
                <w:color w:val="auto"/>
              </w:rPr>
              <w:t>Supplemental cash flow information related to leases is as follows: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14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4"/>
          </w:tcPr>
          <w:p>
            <w:pPr>
              <w:ind w:left="160"/>
              <w:spacing w:after="0"/>
              <w:rPr>
                <w:sz w:val="20"/>
                <w:szCs w:val="20"/>
                <w:color w:val="auto"/>
              </w:rPr>
            </w:pPr>
            <w:r>
              <w:rPr>
                <w:rFonts w:ascii="Arial" w:cs="Arial" w:eastAsia="Arial" w:hAnsi="Arial"/>
                <w:sz w:val="18"/>
                <w:szCs w:val="18"/>
                <w:b w:val="1"/>
                <w:bCs w:val="1"/>
                <w:color w:val="auto"/>
              </w:rPr>
              <w:t>Three Months Ended</w:t>
            </w:r>
          </w:p>
        </w:tc>
      </w:tr>
      <w:tr>
        <w:trPr>
          <w:trHeight w:val="253"/>
        </w:trPr>
        <w:tc>
          <w:tcPr>
            <w:tcW w:w="140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8"/>
                <w:szCs w:val="18"/>
                <w:b w:val="1"/>
                <w:bCs w:val="1"/>
                <w:color w:val="auto"/>
              </w:rPr>
              <w:t>March 31, 2019</w:t>
            </w:r>
          </w:p>
        </w:tc>
      </w:tr>
      <w:tr>
        <w:trPr>
          <w:trHeight w:val="256"/>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Cash payments for lease liabilities within operating activities: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7"/>
        </w:trPr>
        <w:tc>
          <w:tcPr>
            <w:tcW w:w="5920" w:type="dxa"/>
            <w:vAlign w:val="bottom"/>
            <w:gridSpan w:val="2"/>
          </w:tcPr>
          <w:p>
            <w:pPr>
              <w:ind w:left="760"/>
              <w:spacing w:after="0"/>
              <w:rPr>
                <w:sz w:val="20"/>
                <w:szCs w:val="20"/>
                <w:color w:val="auto"/>
              </w:rPr>
            </w:pPr>
            <w:r>
              <w:rPr>
                <w:rFonts w:ascii="Arial" w:cs="Arial" w:eastAsia="Arial" w:hAnsi="Arial"/>
                <w:sz w:val="18"/>
                <w:szCs w:val="18"/>
                <w:color w:val="auto"/>
              </w:rPr>
              <w:t>Property operating leases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189</w:t>
            </w:r>
          </w:p>
        </w:tc>
      </w:tr>
      <w:tr>
        <w:trPr>
          <w:trHeight w:val="257"/>
        </w:trPr>
        <w:tc>
          <w:tcPr>
            <w:tcW w:w="5920" w:type="dxa"/>
            <w:vAlign w:val="bottom"/>
            <w:gridSpan w:val="2"/>
          </w:tcPr>
          <w:p>
            <w:pPr>
              <w:ind w:left="760"/>
              <w:spacing w:after="0"/>
              <w:rPr>
                <w:sz w:val="20"/>
                <w:szCs w:val="20"/>
                <w:color w:val="auto"/>
              </w:rPr>
            </w:pPr>
            <w:r>
              <w:rPr>
                <w:rFonts w:ascii="Arial" w:cs="Arial" w:eastAsia="Arial" w:hAnsi="Arial"/>
                <w:sz w:val="18"/>
                <w:szCs w:val="18"/>
                <w:color w:val="auto"/>
              </w:rPr>
              <w:t>Vehicle operating leases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57"/>
        </w:trPr>
        <w:tc>
          <w:tcPr>
            <w:tcW w:w="5920" w:type="dxa"/>
            <w:vAlign w:val="bottom"/>
            <w:gridSpan w:val="2"/>
          </w:tcPr>
          <w:p>
            <w:pPr>
              <w:ind w:left="760"/>
              <w:spacing w:after="0"/>
              <w:rPr>
                <w:sz w:val="20"/>
                <w:szCs w:val="20"/>
                <w:color w:val="auto"/>
              </w:rPr>
            </w:pPr>
            <w:r>
              <w:rPr>
                <w:rFonts w:ascii="Arial" w:cs="Arial" w:eastAsia="Arial" w:hAnsi="Arial"/>
                <w:sz w:val="18"/>
                <w:szCs w:val="18"/>
                <w:color w:val="auto"/>
              </w:rPr>
              <w:t>Vehicle finance leases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0"/>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Cash payments for lease liabilities within financing activities:</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7"/>
        </w:trPr>
        <w:tc>
          <w:tcPr>
            <w:tcW w:w="5920" w:type="dxa"/>
            <w:vAlign w:val="bottom"/>
            <w:gridSpan w:val="2"/>
          </w:tcPr>
          <w:p>
            <w:pPr>
              <w:ind w:left="760"/>
              <w:spacing w:after="0"/>
              <w:rPr>
                <w:sz w:val="20"/>
                <w:szCs w:val="20"/>
                <w:color w:val="auto"/>
              </w:rPr>
            </w:pPr>
            <w:r>
              <w:rPr>
                <w:rFonts w:ascii="Arial" w:cs="Arial" w:eastAsia="Arial" w:hAnsi="Arial"/>
                <w:sz w:val="18"/>
                <w:szCs w:val="18"/>
                <w:color w:val="auto"/>
              </w:rPr>
              <w:t>Vehicle finance leases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38</w:t>
            </w:r>
          </w:p>
        </w:tc>
      </w:tr>
      <w:tr>
        <w:trPr>
          <w:trHeight w:val="270"/>
        </w:trPr>
        <w:tc>
          <w:tcPr>
            <w:tcW w:w="8440" w:type="dxa"/>
            <w:vAlign w:val="bottom"/>
            <w:gridSpan w:val="8"/>
          </w:tcPr>
          <w:p>
            <w:pPr>
              <w:ind w:left="520"/>
              <w:spacing w:after="0"/>
              <w:rPr>
                <w:sz w:val="20"/>
                <w:szCs w:val="20"/>
                <w:color w:val="auto"/>
              </w:rPr>
            </w:pPr>
            <w:r>
              <w:rPr>
                <w:rFonts w:ascii="Arial" w:cs="Arial" w:eastAsia="Arial" w:hAnsi="Arial"/>
                <w:sz w:val="18"/>
                <w:szCs w:val="18"/>
                <w:color w:val="auto"/>
              </w:rPr>
              <w:t>Non-cash activities - increase (decrease) in ROU assets in exchange for lease liabilities:</w:t>
            </w: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68"/>
        </w:trPr>
        <w:tc>
          <w:tcPr>
            <w:tcW w:w="5920" w:type="dxa"/>
            <w:vAlign w:val="bottom"/>
            <w:gridSpan w:val="2"/>
          </w:tcPr>
          <w:p>
            <w:pPr>
              <w:ind w:left="760"/>
              <w:spacing w:after="0"/>
              <w:rPr>
                <w:sz w:val="20"/>
                <w:szCs w:val="20"/>
                <w:color w:val="auto"/>
              </w:rPr>
            </w:pPr>
            <w:r>
              <w:rPr>
                <w:rFonts w:ascii="Arial" w:cs="Arial" w:eastAsia="Arial" w:hAnsi="Arial"/>
                <w:sz w:val="18"/>
                <w:szCs w:val="18"/>
                <w:color w:val="auto"/>
              </w:rPr>
              <w:t xml:space="preserve">Property operating leases </w:t>
            </w:r>
            <w:r>
              <w:rPr>
                <w:rFonts w:ascii="Arial" w:cs="Arial" w:eastAsia="Arial" w:hAnsi="Arial"/>
                <w:sz w:val="18"/>
                <w:szCs w:val="18"/>
                <w:color w:val="auto"/>
                <w:vertAlign w:val="superscript"/>
              </w:rPr>
              <w:t>(a)</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57"/>
        </w:trPr>
        <w:tc>
          <w:tcPr>
            <w:tcW w:w="5920" w:type="dxa"/>
            <w:vAlign w:val="bottom"/>
            <w:gridSpan w:val="2"/>
          </w:tcPr>
          <w:p>
            <w:pPr>
              <w:ind w:left="760"/>
              <w:spacing w:after="0"/>
              <w:rPr>
                <w:sz w:val="20"/>
                <w:szCs w:val="20"/>
                <w:color w:val="auto"/>
              </w:rPr>
            </w:pPr>
            <w:r>
              <w:rPr>
                <w:rFonts w:ascii="Arial" w:cs="Arial" w:eastAsia="Arial" w:hAnsi="Arial"/>
                <w:sz w:val="18"/>
                <w:szCs w:val="18"/>
                <w:color w:val="auto"/>
              </w:rPr>
              <w:t xml:space="preserve">Vehicle operating leases </w:t>
            </w:r>
            <w:r>
              <w:rPr>
                <w:rFonts w:ascii="Arial" w:cs="Arial" w:eastAsia="Arial" w:hAnsi="Arial"/>
                <w:sz w:val="18"/>
                <w:szCs w:val="18"/>
                <w:color w:val="auto"/>
                <w:vertAlign w:val="superscript"/>
              </w:rPr>
              <w:t>(a)</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2"/>
        </w:trPr>
        <w:tc>
          <w:tcPr>
            <w:tcW w:w="5920" w:type="dxa"/>
            <w:vAlign w:val="bottom"/>
            <w:gridSpan w:val="2"/>
          </w:tcPr>
          <w:p>
            <w:pPr>
              <w:ind w:left="760"/>
              <w:spacing w:after="0"/>
              <w:rPr>
                <w:sz w:val="20"/>
                <w:szCs w:val="20"/>
                <w:color w:val="auto"/>
              </w:rPr>
            </w:pPr>
            <w:r>
              <w:rPr>
                <w:rFonts w:ascii="Arial" w:cs="Arial" w:eastAsia="Arial" w:hAnsi="Arial"/>
                <w:sz w:val="18"/>
                <w:szCs w:val="18"/>
                <w:color w:val="auto"/>
              </w:rPr>
              <w:t>Vehicle finance leases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26"/>
        </w:trPr>
        <w:tc>
          <w:tcPr>
            <w:tcW w:w="1400" w:type="dxa"/>
            <w:vAlign w:val="bottom"/>
          </w:tcPr>
          <w:p>
            <w:pPr>
              <w:ind w:left="500"/>
              <w:spacing w:after="0"/>
              <w:rPr>
                <w:sz w:val="20"/>
                <w:szCs w:val="20"/>
                <w:color w:val="auto"/>
              </w:rPr>
            </w:pPr>
            <w:r>
              <w:rPr>
                <w:rFonts w:ascii="Arial" w:cs="Arial" w:eastAsia="Arial" w:hAnsi="Arial"/>
                <w:sz w:val="18"/>
                <w:szCs w:val="18"/>
                <w:color w:val="auto"/>
                <w:w w:val="97"/>
              </w:rPr>
              <w:t>_________</w:t>
            </w: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4"/>
        </w:trPr>
        <w:tc>
          <w:tcPr>
            <w:tcW w:w="5920" w:type="dxa"/>
            <w:vAlign w:val="bottom"/>
            <w:gridSpan w:val="2"/>
          </w:tcPr>
          <w:p>
            <w:pPr>
              <w:ind w:left="500"/>
              <w:spacing w:after="0"/>
              <w:rPr>
                <w:sz w:val="20"/>
                <w:szCs w:val="20"/>
                <w:color w:val="auto"/>
              </w:rPr>
            </w:pPr>
            <w:r>
              <w:rPr>
                <w:rFonts w:ascii="Arial" w:cs="Arial" w:eastAsia="Arial" w:hAnsi="Arial"/>
                <w:sz w:val="17"/>
                <w:szCs w:val="17"/>
                <w:color w:val="auto"/>
                <w:vertAlign w:val="superscript"/>
              </w:rPr>
              <w:t>(a)</w:t>
            </w:r>
            <w:r>
              <w:rPr>
                <w:rFonts w:ascii="Arial" w:cs="Arial" w:eastAsia="Arial" w:hAnsi="Arial"/>
                <w:sz w:val="14"/>
                <w:szCs w:val="14"/>
                <w:color w:val="auto"/>
              </w:rPr>
              <w:t xml:space="preserve">   ROU assets obtained in exchange for lease liabilities from initial recognition.</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367"/>
        </w:trPr>
        <w:tc>
          <w:tcPr>
            <w:tcW w:w="5920" w:type="dxa"/>
            <w:vAlign w:val="bottom"/>
            <w:gridSpan w:val="2"/>
          </w:tcPr>
          <w:p>
            <w:pPr>
              <w:ind w:left="500"/>
              <w:spacing w:after="0"/>
              <w:rPr>
                <w:sz w:val="20"/>
                <w:szCs w:val="20"/>
                <w:color w:val="auto"/>
              </w:rPr>
            </w:pPr>
            <w:r>
              <w:rPr>
                <w:rFonts w:ascii="Arial" w:cs="Arial" w:eastAsia="Arial" w:hAnsi="Arial"/>
                <w:sz w:val="18"/>
                <w:szCs w:val="18"/>
                <w:color w:val="auto"/>
              </w:rPr>
              <w:t>Maturities of lease liabilities as of March 31, 2019 are as follows: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7"/>
        </w:trPr>
        <w:tc>
          <w:tcPr>
            <w:tcW w:w="14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Property</w:t>
            </w:r>
          </w:p>
        </w:tc>
        <w:tc>
          <w:tcPr>
            <w:tcW w:w="20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Vehicle</w:t>
            </w:r>
          </w:p>
        </w:tc>
        <w:tc>
          <w:tcPr>
            <w:tcW w:w="16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Vehicle</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9"/>
        </w:trPr>
        <w:tc>
          <w:tcPr>
            <w:tcW w:w="14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Operating</w:t>
            </w:r>
          </w:p>
        </w:tc>
        <w:tc>
          <w:tcPr>
            <w:tcW w:w="2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Finance</w:t>
            </w:r>
          </w:p>
        </w:tc>
        <w:tc>
          <w:tcPr>
            <w:tcW w:w="16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w:t>
            </w: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Finance</w:t>
            </w:r>
          </w:p>
        </w:tc>
      </w:tr>
      <w:tr>
        <w:trPr>
          <w:trHeight w:val="232"/>
        </w:trPr>
        <w:tc>
          <w:tcPr>
            <w:tcW w:w="140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leases</w:t>
            </w:r>
          </w:p>
        </w:tc>
        <w:tc>
          <w:tcPr>
            <w:tcW w:w="200" w:type="dxa"/>
            <w:vAlign w:val="bottom"/>
          </w:tcPr>
          <w:p>
            <w:pPr>
              <w:spacing w:after="0"/>
              <w:rPr>
                <w:sz w:val="20"/>
                <w:szCs w:val="2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leases</w:t>
            </w:r>
          </w:p>
        </w:tc>
        <w:tc>
          <w:tcPr>
            <w:tcW w:w="1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leases</w:t>
            </w:r>
          </w:p>
        </w:tc>
        <w:tc>
          <w:tcPr>
            <w:tcW w:w="220" w:type="dxa"/>
            <w:vAlign w:val="bottom"/>
          </w:tcPr>
          <w:p>
            <w:pPr>
              <w:spacing w:after="0"/>
              <w:rPr>
                <w:sz w:val="20"/>
                <w:szCs w:val="20"/>
                <w:color w:val="auto"/>
              </w:rPr>
            </w:pPr>
          </w:p>
        </w:tc>
        <w:tc>
          <w:tcPr>
            <w:tcW w:w="920" w:type="dxa"/>
            <w:vAlign w:val="bottom"/>
          </w:tcPr>
          <w:p>
            <w:pPr>
              <w:jc w:val="right"/>
              <w:ind w:right="231"/>
              <w:spacing w:after="0"/>
              <w:rPr>
                <w:sz w:val="20"/>
                <w:szCs w:val="20"/>
                <w:color w:val="auto"/>
              </w:rPr>
            </w:pPr>
            <w:r>
              <w:rPr>
                <w:rFonts w:ascii="Arial" w:cs="Arial" w:eastAsia="Arial" w:hAnsi="Arial"/>
                <w:sz w:val="16"/>
                <w:szCs w:val="16"/>
                <w:b w:val="1"/>
                <w:bCs w:val="1"/>
                <w:color w:val="auto"/>
              </w:rPr>
              <w:t>leases</w:t>
            </w:r>
          </w:p>
        </w:tc>
      </w:tr>
      <w:tr>
        <w:trPr>
          <w:trHeight w:val="258"/>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Within 1 year</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2"/>
                <w:szCs w:val="22"/>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r>
      <w:tr>
        <w:trPr>
          <w:trHeight w:val="270"/>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Between 1 and 2 years</w:t>
            </w:r>
          </w:p>
        </w:tc>
        <w:tc>
          <w:tcPr>
            <w:tcW w:w="16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70"/>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Between 2 and 3 years</w:t>
            </w:r>
          </w:p>
        </w:tc>
        <w:tc>
          <w:tcPr>
            <w:tcW w:w="16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0"/>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Between 3 and 4 years</w:t>
            </w:r>
          </w:p>
        </w:tc>
        <w:tc>
          <w:tcPr>
            <w:tcW w:w="16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0"/>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Between 4 and 5 years</w:t>
            </w:r>
          </w:p>
        </w:tc>
        <w:tc>
          <w:tcPr>
            <w:tcW w:w="16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3"/>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47"/>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Total lease payments</w:t>
            </w: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w:t>
            </w:r>
          </w:p>
        </w:tc>
      </w:tr>
      <w:tr>
        <w:trPr>
          <w:trHeight w:val="275"/>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68"/>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3"/>
                <w:szCs w:val="23"/>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w:t>
            </w:r>
          </w:p>
        </w:tc>
      </w:tr>
      <w:tr>
        <w:trPr>
          <w:trHeight w:val="20"/>
        </w:trPr>
        <w:tc>
          <w:tcPr>
            <w:tcW w:w="14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spacing w:after="0" w:line="292" w:lineRule="auto"/>
        <w:rPr>
          <w:sz w:val="20"/>
          <w:szCs w:val="20"/>
          <w:color w:val="auto"/>
        </w:rPr>
      </w:pPr>
      <w:r>
        <w:rPr>
          <w:rFonts w:ascii="Arial" w:cs="Arial" w:eastAsia="Arial" w:hAnsi="Arial"/>
          <w:sz w:val="18"/>
          <w:szCs w:val="18"/>
          <w:color w:val="auto"/>
        </w:rPr>
        <w:t>Future minimum lease payments required under noncancelable operating leases, including minimum concession fees charged by airport authorities, which in many locations are recoverable from vehicle rental customers, as of December 31, 2018, were as follows:</w:t>
      </w:r>
    </w:p>
    <w:p>
      <w:pPr>
        <w:spacing w:after="0" w:line="102" w:lineRule="exact"/>
        <w:rPr>
          <w:sz w:val="20"/>
          <w:szCs w:val="20"/>
          <w:color w:val="auto"/>
        </w:rPr>
      </w:pPr>
    </w:p>
    <w:tbl>
      <w:tblPr>
        <w:tblLayout w:type="fixed"/>
        <w:tblInd w:w="820" w:type="dxa"/>
        <w:tblCellMar>
          <w:top w:w="0" w:type="dxa"/>
          <w:left w:w="0" w:type="dxa"/>
          <w:bottom w:w="0" w:type="dxa"/>
          <w:right w:w="0" w:type="dxa"/>
        </w:tblCellMar>
      </w:tblPr>
      <w:tr>
        <w:trPr>
          <w:trHeight w:val="253"/>
        </w:trPr>
        <w:tc>
          <w:tcPr>
            <w:tcW w:w="8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r>
      <w:tr>
        <w:trPr>
          <w:trHeight w:val="242"/>
        </w:trPr>
        <w:tc>
          <w:tcPr>
            <w:tcW w:w="8640" w:type="dxa"/>
            <w:vAlign w:val="bottom"/>
          </w:tcPr>
          <w:p>
            <w:pPr>
              <w:spacing w:after="0"/>
              <w:rPr>
                <w:sz w:val="20"/>
                <w:szCs w:val="20"/>
                <w:color w:val="auto"/>
              </w:rPr>
            </w:pPr>
            <w:r>
              <w:rPr>
                <w:rFonts w:ascii="Arial" w:cs="Arial" w:eastAsia="Arial" w:hAnsi="Arial"/>
                <w:sz w:val="18"/>
                <w:szCs w:val="18"/>
                <w:color w:val="auto"/>
              </w:rPr>
              <w:t>2019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835</w:t>
            </w:r>
          </w:p>
        </w:tc>
      </w:tr>
      <w:tr>
        <w:trPr>
          <w:trHeight w:val="257"/>
        </w:trPr>
        <w:tc>
          <w:tcPr>
            <w:tcW w:w="8640" w:type="dxa"/>
            <w:vAlign w:val="bottom"/>
          </w:tcPr>
          <w:p>
            <w:pPr>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476</w:t>
            </w:r>
          </w:p>
        </w:tc>
      </w:tr>
      <w:tr>
        <w:trPr>
          <w:trHeight w:val="257"/>
        </w:trPr>
        <w:tc>
          <w:tcPr>
            <w:tcW w:w="8640" w:type="dxa"/>
            <w:vAlign w:val="bottom"/>
          </w:tcPr>
          <w:p>
            <w:pPr>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345</w:t>
            </w:r>
          </w:p>
        </w:tc>
      </w:tr>
      <w:tr>
        <w:trPr>
          <w:trHeight w:val="257"/>
        </w:trPr>
        <w:tc>
          <w:tcPr>
            <w:tcW w:w="8640" w:type="dxa"/>
            <w:vAlign w:val="bottom"/>
          </w:tcPr>
          <w:p>
            <w:pPr>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253</w:t>
            </w:r>
          </w:p>
        </w:tc>
      </w:tr>
      <w:tr>
        <w:trPr>
          <w:trHeight w:val="257"/>
        </w:trPr>
        <w:tc>
          <w:tcPr>
            <w:tcW w:w="8640" w:type="dxa"/>
            <w:vAlign w:val="bottom"/>
          </w:tcPr>
          <w:p>
            <w:pPr>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162</w:t>
            </w:r>
          </w:p>
        </w:tc>
      </w:tr>
      <w:tr>
        <w:trPr>
          <w:trHeight w:val="261"/>
        </w:trPr>
        <w:tc>
          <w:tcPr>
            <w:tcW w:w="864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590</w:t>
            </w:r>
          </w:p>
        </w:tc>
      </w:tr>
      <w:tr>
        <w:trPr>
          <w:trHeight w:val="250"/>
        </w:trPr>
        <w:tc>
          <w:tcPr>
            <w:tcW w:w="864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2,661</w:t>
            </w: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500" w:right="7300" w:hanging="492"/>
        <w:spacing w:after="0" w:line="502" w:lineRule="auto"/>
        <w:tabs>
          <w:tab w:leader="none" w:pos="5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Restructuring and Other Related Charges </w:t>
      </w:r>
      <w:r>
        <w:rPr>
          <w:rFonts w:ascii="Arial" w:cs="Arial" w:eastAsia="Arial" w:hAnsi="Arial"/>
          <w:sz w:val="18"/>
          <w:szCs w:val="18"/>
          <w:b w:val="1"/>
          <w:bCs w:val="1"/>
          <w:i w:val="1"/>
          <w:iCs w:val="1"/>
          <w:color w:val="auto"/>
        </w:rPr>
        <w:t>Restructuring</w:t>
      </w:r>
    </w:p>
    <w:p>
      <w:pPr>
        <w:ind w:left="500" w:right="1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During first quarter 2019, the Company initiated a restructuring plan to drive global efficiency by improving processes and consolidating functions, and to create new objectives and strategies for its U.S. truck rental operations by reducing headcount, large vehicles and rental locations (“T19”). During the three months</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108" w:right="3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500"/>
        <w:spacing w:after="0" w:line="271" w:lineRule="auto"/>
        <w:rPr>
          <w:sz w:val="20"/>
          <w:szCs w:val="20"/>
          <w:color w:val="auto"/>
        </w:rPr>
      </w:pPr>
      <w:r>
        <w:rPr>
          <w:rFonts w:ascii="Arial" w:cs="Arial" w:eastAsia="Arial" w:hAnsi="Arial"/>
          <w:sz w:val="18"/>
          <w:szCs w:val="18"/>
          <w:color w:val="auto"/>
        </w:rPr>
        <w:t>ended March 31, 2019, as part of this process, the Company formally communicated the termination of employment to approximately 160 employees, and as of March 31, 2019, the Company had terminated approximately 130 of these employees. The Company expects further restructuring expense of approximately $40 million related to this initiative to be incurred in 2019.</w:t>
      </w:r>
    </w:p>
    <w:p>
      <w:pPr>
        <w:spacing w:after="0" w:line="163" w:lineRule="exact"/>
        <w:rPr>
          <w:sz w:val="20"/>
          <w:szCs w:val="20"/>
          <w:color w:val="auto"/>
        </w:rPr>
      </w:pPr>
    </w:p>
    <w:p>
      <w:pPr>
        <w:ind w:left="500" w:right="40"/>
        <w:spacing w:after="0" w:line="264" w:lineRule="auto"/>
        <w:rPr>
          <w:sz w:val="20"/>
          <w:szCs w:val="20"/>
          <w:color w:val="auto"/>
        </w:rPr>
      </w:pPr>
      <w:r>
        <w:rPr>
          <w:rFonts w:ascii="Arial" w:cs="Arial" w:eastAsia="Arial" w:hAnsi="Arial"/>
          <w:sz w:val="18"/>
          <w:szCs w:val="18"/>
          <w:color w:val="auto"/>
        </w:rPr>
        <w:t>During first quarter 2018, the Company initiated a strategic restructuring plan to improve processes and reduce headcount in response to its new workforce planning technology that allows more effective management of staff levels (“Workforce planning”). The costs associated with this initiative primarily represent severance, outplacement services and other costs associated with employee terminations, the majority of which have been settled in cash. This initiative is complete.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the changes to our restructuring-related liabilities and identify the amounts recorded within the</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Company’s reporting segments for restructuring charges and corresponding payments and utilizations:</w:t>
      </w:r>
    </w:p>
    <w:p>
      <w:pPr>
        <w:spacing w:after="0" w:line="17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5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w w:val="99"/>
              </w:rPr>
              <w:t>Americas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rPr>
              <w:t>International</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7"/>
        </w:trPr>
        <w:tc>
          <w:tcPr>
            <w:tcW w:w="5740" w:type="dxa"/>
            <w:vAlign w:val="bottom"/>
          </w:tcPr>
          <w:p>
            <w:pPr>
              <w:ind w:left="20"/>
              <w:spacing w:after="0"/>
              <w:rPr>
                <w:sz w:val="20"/>
                <w:szCs w:val="20"/>
                <w:color w:val="auto"/>
              </w:rPr>
            </w:pPr>
            <w:r>
              <w:rPr>
                <w:rFonts w:ascii="Arial" w:cs="Arial" w:eastAsia="Arial" w:hAnsi="Arial"/>
                <w:sz w:val="18"/>
                <w:szCs w:val="18"/>
                <w:color w:val="auto"/>
              </w:rPr>
              <w:t>Balance as of January 1, 2019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5740" w:type="dxa"/>
            <w:vAlign w:val="bottom"/>
          </w:tcPr>
          <w:p>
            <w:pPr>
              <w:ind w:left="22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5740" w:type="dxa"/>
            <w:vAlign w:val="bottom"/>
          </w:tcPr>
          <w:p>
            <w:pPr>
              <w:ind w:left="220"/>
              <w:spacing w:after="0"/>
              <w:rPr>
                <w:sz w:val="20"/>
                <w:szCs w:val="20"/>
                <w:color w:val="auto"/>
              </w:rPr>
            </w:pPr>
            <w:r>
              <w:rPr>
                <w:rFonts w:ascii="Arial" w:cs="Arial" w:eastAsia="Arial" w:hAnsi="Arial"/>
                <w:sz w:val="18"/>
                <w:szCs w:val="18"/>
                <w:color w:val="auto"/>
              </w:rPr>
              <w:t>Restructuring payment/utilization:</w:t>
            </w: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5"/>
        </w:trPr>
        <w:tc>
          <w:tcPr>
            <w:tcW w:w="5740" w:type="dxa"/>
            <w:vAlign w:val="bottom"/>
          </w:tcPr>
          <w:p>
            <w:pPr>
              <w:ind w:left="340"/>
              <w:spacing w:after="0"/>
              <w:rPr>
                <w:sz w:val="20"/>
                <w:szCs w:val="20"/>
                <w:color w:val="auto"/>
              </w:rPr>
            </w:pPr>
            <w:r>
              <w:rPr>
                <w:rFonts w:ascii="Arial" w:cs="Arial" w:eastAsia="Arial" w:hAnsi="Arial"/>
                <w:sz w:val="18"/>
                <w:szCs w:val="18"/>
                <w:color w:val="auto"/>
              </w:rPr>
              <w:t>Workforce planning</w:t>
            </w: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5"/>
        </w:trPr>
        <w:tc>
          <w:tcPr>
            <w:tcW w:w="5740" w:type="dxa"/>
            <w:vAlign w:val="bottom"/>
          </w:tcPr>
          <w:p>
            <w:pPr>
              <w:ind w:left="20"/>
              <w:spacing w:after="0"/>
              <w:rPr>
                <w:sz w:val="20"/>
                <w:szCs w:val="20"/>
                <w:color w:val="auto"/>
              </w:rPr>
            </w:pPr>
            <w:r>
              <w:rPr>
                <w:rFonts w:ascii="Arial" w:cs="Arial" w:eastAsia="Arial" w:hAnsi="Arial"/>
                <w:sz w:val="18"/>
                <w:szCs w:val="18"/>
                <w:color w:val="auto"/>
              </w:rPr>
              <w:t>Balance as of March 31, 2019</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Personnel</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Related</w:t>
            </w:r>
          </w:p>
        </w:tc>
        <w:tc>
          <w:tcPr>
            <w:tcW w:w="180" w:type="dxa"/>
            <w:vAlign w:val="bottom"/>
          </w:tcPr>
          <w:p>
            <w:pPr>
              <w:spacing w:after="0"/>
              <w:rPr>
                <w:sz w:val="20"/>
                <w:szCs w:val="20"/>
                <w:color w:val="auto"/>
              </w:rPr>
            </w:pPr>
          </w:p>
        </w:tc>
        <w:tc>
          <w:tcPr>
            <w:tcW w:w="1380" w:type="dxa"/>
            <w:vAlign w:val="bottom"/>
            <w:gridSpan w:val="2"/>
          </w:tcPr>
          <w:p>
            <w:pPr>
              <w:jc w:val="center"/>
              <w:ind w:right="280"/>
              <w:spacing w:after="0" w:line="236" w:lineRule="exact"/>
              <w:rPr>
                <w:sz w:val="20"/>
                <w:szCs w:val="20"/>
                <w:color w:val="auto"/>
              </w:rPr>
            </w:pPr>
            <w:r>
              <w:rPr>
                <w:rFonts w:ascii="Arial" w:cs="Arial" w:eastAsia="Arial" w:hAnsi="Arial"/>
                <w:sz w:val="16"/>
                <w:szCs w:val="16"/>
                <w:b w:val="1"/>
                <w:bCs w:val="1"/>
                <w:color w:val="auto"/>
                <w:w w:val="96"/>
              </w:rPr>
              <w:t xml:space="preserve">Other </w:t>
            </w:r>
            <w:r>
              <w:rPr>
                <w:rFonts w:ascii="Arial" w:cs="Arial" w:eastAsia="Arial" w:hAnsi="Arial"/>
                <w:sz w:val="21"/>
                <w:szCs w:val="21"/>
                <w:b w:val="1"/>
                <w:bCs w:val="1"/>
                <w:color w:val="auto"/>
                <w:w w:val="96"/>
                <w:vertAlign w:val="superscript"/>
              </w:rPr>
              <w:t>(a)</w:t>
            </w:r>
          </w:p>
        </w:tc>
        <w:tc>
          <w:tcPr>
            <w:tcW w:w="34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1"/>
        </w:trPr>
        <w:tc>
          <w:tcPr>
            <w:tcW w:w="5740" w:type="dxa"/>
            <w:vAlign w:val="bottom"/>
          </w:tcPr>
          <w:p>
            <w:pPr>
              <w:ind w:left="20"/>
              <w:spacing w:after="0"/>
              <w:rPr>
                <w:sz w:val="20"/>
                <w:szCs w:val="20"/>
                <w:color w:val="auto"/>
              </w:rPr>
            </w:pPr>
            <w:r>
              <w:rPr>
                <w:rFonts w:ascii="Arial" w:cs="Arial" w:eastAsia="Arial" w:hAnsi="Arial"/>
                <w:sz w:val="18"/>
                <w:szCs w:val="18"/>
                <w:color w:val="auto"/>
              </w:rPr>
              <w:t>Balance as of January 1, 2019</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5740" w:type="dxa"/>
            <w:vAlign w:val="bottom"/>
          </w:tcPr>
          <w:p>
            <w:pPr>
              <w:ind w:left="22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5740" w:type="dxa"/>
            <w:vAlign w:val="bottom"/>
          </w:tcPr>
          <w:p>
            <w:pPr>
              <w:ind w:left="220"/>
              <w:spacing w:after="0"/>
              <w:rPr>
                <w:sz w:val="20"/>
                <w:szCs w:val="20"/>
                <w:color w:val="auto"/>
              </w:rPr>
            </w:pPr>
            <w:r>
              <w:rPr>
                <w:rFonts w:ascii="Arial" w:cs="Arial" w:eastAsia="Arial" w:hAnsi="Arial"/>
                <w:sz w:val="18"/>
                <w:szCs w:val="18"/>
                <w:color w:val="auto"/>
              </w:rPr>
              <w:t>Restructuring payment/utilization:</w:t>
            </w: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5"/>
        </w:trPr>
        <w:tc>
          <w:tcPr>
            <w:tcW w:w="5740" w:type="dxa"/>
            <w:vAlign w:val="bottom"/>
          </w:tcPr>
          <w:p>
            <w:pPr>
              <w:ind w:left="340"/>
              <w:spacing w:after="0"/>
              <w:rPr>
                <w:sz w:val="20"/>
                <w:szCs w:val="20"/>
                <w:color w:val="auto"/>
              </w:rPr>
            </w:pPr>
            <w:r>
              <w:rPr>
                <w:rFonts w:ascii="Arial" w:cs="Arial" w:eastAsia="Arial" w:hAnsi="Arial"/>
                <w:sz w:val="18"/>
                <w:szCs w:val="18"/>
                <w:color w:val="auto"/>
              </w:rPr>
              <w:t>Workforce planning</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5"/>
        </w:trPr>
        <w:tc>
          <w:tcPr>
            <w:tcW w:w="5740" w:type="dxa"/>
            <w:vAlign w:val="bottom"/>
          </w:tcPr>
          <w:p>
            <w:pPr>
              <w:ind w:left="20"/>
              <w:spacing w:after="0"/>
              <w:rPr>
                <w:sz w:val="20"/>
                <w:szCs w:val="20"/>
                <w:color w:val="auto"/>
              </w:rPr>
            </w:pPr>
            <w:r>
              <w:rPr>
                <w:rFonts w:ascii="Arial" w:cs="Arial" w:eastAsia="Arial" w:hAnsi="Arial"/>
                <w:sz w:val="18"/>
                <w:szCs w:val="18"/>
                <w:color w:val="auto"/>
              </w:rPr>
              <w:t>Balance as of March 31, 2019</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Includes expenses primarily related to the disposition of vehicles.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Related Charges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Officer Separation Costs</w:t>
      </w:r>
    </w:p>
    <w:p>
      <w:pPr>
        <w:spacing w:after="0" w:line="223" w:lineRule="exact"/>
        <w:rPr>
          <w:sz w:val="20"/>
          <w:szCs w:val="20"/>
          <w:color w:val="auto"/>
        </w:rPr>
      </w:pPr>
    </w:p>
    <w:p>
      <w:pPr>
        <w:jc w:val="both"/>
        <w:ind w:left="500" w:right="180"/>
        <w:spacing w:after="0" w:line="271" w:lineRule="auto"/>
        <w:rPr>
          <w:sz w:val="20"/>
          <w:szCs w:val="20"/>
          <w:color w:val="auto"/>
        </w:rPr>
      </w:pPr>
      <w:r>
        <w:rPr>
          <w:rFonts w:ascii="Arial" w:cs="Arial" w:eastAsia="Arial" w:hAnsi="Arial"/>
          <w:sz w:val="18"/>
          <w:szCs w:val="18"/>
          <w:color w:val="auto"/>
        </w:rPr>
        <w:t>On March 18, 2019, the Company announced the resignation of Mark J. Servodidio as the Company’s President, International effective June 14, 2019. In connection with Mr. Servodidio’s departure, the Company recorded other related charges of approximately $3 million, inclusive of accelerated stock-based compensation expense.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169" w:lineRule="exact"/>
        <w:rPr>
          <w:sz w:val="20"/>
          <w:szCs w:val="20"/>
          <w:color w:val="auto"/>
        </w:rPr>
      </w:pPr>
    </w:p>
    <w:p>
      <w:pPr>
        <w:ind w:left="872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7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March 31,</w:t>
            </w:r>
          </w:p>
        </w:tc>
      </w:tr>
      <w:tr>
        <w:trPr>
          <w:trHeight w:val="249"/>
        </w:trPr>
        <w:tc>
          <w:tcPr>
            <w:tcW w:w="79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r>
      <w:tr>
        <w:trPr>
          <w:trHeight w:val="242"/>
        </w:trPr>
        <w:tc>
          <w:tcPr>
            <w:tcW w:w="7920" w:type="dxa"/>
            <w:vAlign w:val="bottom"/>
          </w:tcPr>
          <w:p>
            <w:pPr>
              <w:ind w:left="20"/>
              <w:spacing w:after="0"/>
              <w:rPr>
                <w:sz w:val="20"/>
                <w:szCs w:val="20"/>
                <w:color w:val="auto"/>
              </w:rPr>
            </w:pPr>
            <w:r>
              <w:rPr>
                <w:rFonts w:ascii="Arial" w:cs="Arial" w:eastAsia="Arial" w:hAnsi="Arial"/>
                <w:sz w:val="18"/>
                <w:szCs w:val="18"/>
                <w:color w:val="auto"/>
              </w:rPr>
              <w:t>Net loss for basic and diluted EPS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555"/>
        </w:trPr>
        <w:tc>
          <w:tcPr>
            <w:tcW w:w="7920" w:type="dxa"/>
            <w:vAlign w:val="bottom"/>
          </w:tcPr>
          <w:p>
            <w:pPr>
              <w:ind w:left="20"/>
              <w:spacing w:after="0"/>
              <w:rPr>
                <w:sz w:val="20"/>
                <w:szCs w:val="20"/>
                <w:color w:val="auto"/>
              </w:rPr>
            </w:pPr>
            <w:r>
              <w:rPr>
                <w:rFonts w:ascii="Arial" w:cs="Arial" w:eastAsia="Arial" w:hAnsi="Arial"/>
                <w:sz w:val="18"/>
                <w:szCs w:val="18"/>
                <w:color w:val="auto"/>
              </w:rPr>
              <w:t xml:space="preserve">Basic and diluted weighted average shares outstanding </w:t>
            </w:r>
            <w:r>
              <w:rPr>
                <w:rFonts w:ascii="Arial" w:cs="Arial" w:eastAsia="Arial" w:hAnsi="Arial"/>
                <w:sz w:val="21"/>
                <w:szCs w:val="21"/>
                <w:color w:val="auto"/>
                <w:vertAlign w:val="superscript"/>
              </w:rPr>
              <w:t>(a)</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81.0</w:t>
            </w:r>
          </w:p>
        </w:tc>
      </w:tr>
      <w:tr>
        <w:trPr>
          <w:trHeight w:val="445"/>
        </w:trPr>
        <w:tc>
          <w:tcPr>
            <w:tcW w:w="7920" w:type="dxa"/>
            <w:vAlign w:val="bottom"/>
          </w:tcPr>
          <w:p>
            <w:pPr>
              <w:ind w:left="20"/>
              <w:spacing w:after="0"/>
              <w:rPr>
                <w:sz w:val="20"/>
                <w:szCs w:val="20"/>
                <w:color w:val="auto"/>
              </w:rPr>
            </w:pPr>
            <w:r>
              <w:rPr>
                <w:rFonts w:ascii="Arial" w:cs="Arial" w:eastAsia="Arial" w:hAnsi="Arial"/>
                <w:sz w:val="18"/>
                <w:szCs w:val="18"/>
                <w:i w:val="1"/>
                <w:iCs w:val="1"/>
                <w:color w:val="auto"/>
              </w:rPr>
              <w:t>Loss per share: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7"/>
        </w:trPr>
        <w:tc>
          <w:tcPr>
            <w:tcW w:w="7920" w:type="dxa"/>
            <w:vAlign w:val="bottom"/>
          </w:tcPr>
          <w:p>
            <w:pPr>
              <w:ind w:left="220"/>
              <w:spacing w:after="0"/>
              <w:rPr>
                <w:sz w:val="20"/>
                <w:szCs w:val="20"/>
                <w:color w:val="auto"/>
              </w:rPr>
            </w:pPr>
            <w:r>
              <w:rPr>
                <w:rFonts w:ascii="Arial" w:cs="Arial" w:eastAsia="Arial" w:hAnsi="Arial"/>
                <w:sz w:val="18"/>
                <w:szCs w:val="18"/>
                <w:color w:val="auto"/>
              </w:rPr>
              <w:t>Basic and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39"/>
        </w:trPr>
        <w:tc>
          <w:tcPr>
            <w:tcW w:w="7920" w:type="dxa"/>
            <w:vAlign w:val="bottom"/>
          </w:tcPr>
          <w:p>
            <w:pPr>
              <w:spacing w:after="0"/>
              <w:rPr>
                <w:sz w:val="20"/>
                <w:szCs w:val="20"/>
                <w:color w:val="auto"/>
              </w:rPr>
            </w:pPr>
            <w:r>
              <w:rPr>
                <w:rFonts w:ascii="Arial" w:cs="Arial" w:eastAsia="Arial" w:hAnsi="Arial"/>
                <w:sz w:val="18"/>
                <w:szCs w:val="18"/>
                <w:color w:val="auto"/>
              </w:rPr>
              <w:t>__________</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jc w:val="both"/>
        <w:ind w:left="820" w:right="20" w:hanging="326"/>
        <w:spacing w:after="0" w:line="229" w:lineRule="auto"/>
        <w:tabs>
          <w:tab w:leader="none" w:pos="820" w:val="left"/>
        </w:tabs>
        <w:numPr>
          <w:ilvl w:val="1"/>
          <w:numId w:val="25"/>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March 31, 2019 and 2018, 1.3 million and 1.5 million non-vested stock awards, respectively, have an anti-dilutive effect and therefore are excluded from the computation of diluted weighted average shares outstanding. For the three months ended March 31, 2018, 0.1 million outstanding options have an anti-dilutive effect and therefore are excluded from the computation of diluted weighted average shares outstanding.</w:t>
      </w:r>
    </w:p>
    <w:p>
      <w:pPr>
        <w:spacing w:after="0" w:line="119"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consisted of:</w:t>
      </w:r>
    </w:p>
    <w:p>
      <w:pPr>
        <w:spacing w:after="0" w:line="16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6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7"/>
                <w:szCs w:val="17"/>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As of December</w:t>
            </w:r>
          </w:p>
        </w:tc>
      </w:tr>
      <w:tr>
        <w:trPr>
          <w:trHeight w:val="253"/>
        </w:trPr>
        <w:tc>
          <w:tcPr>
            <w:tcW w:w="6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March 31, 2019</w:t>
            </w:r>
          </w:p>
        </w:tc>
        <w:tc>
          <w:tcPr>
            <w:tcW w:w="140" w:type="dxa"/>
            <w:vAlign w:val="bottom"/>
          </w:tcPr>
          <w:p>
            <w:pPr>
              <w:spacing w:after="0"/>
              <w:rPr>
                <w:sz w:val="21"/>
                <w:szCs w:val="21"/>
                <w:color w:val="auto"/>
              </w:rPr>
            </w:pPr>
          </w:p>
        </w:tc>
        <w:tc>
          <w:tcPr>
            <w:tcW w:w="1520" w:type="dxa"/>
            <w:vAlign w:val="bottom"/>
          </w:tcPr>
          <w:p>
            <w:pPr>
              <w:jc w:val="right"/>
              <w:ind w:right="390"/>
              <w:spacing w:after="0"/>
              <w:rPr>
                <w:sz w:val="20"/>
                <w:szCs w:val="20"/>
                <w:color w:val="auto"/>
              </w:rPr>
            </w:pPr>
            <w:r>
              <w:rPr>
                <w:rFonts w:ascii="Arial" w:cs="Arial" w:eastAsia="Arial" w:hAnsi="Arial"/>
                <w:sz w:val="18"/>
                <w:szCs w:val="18"/>
                <w:b w:val="1"/>
                <w:bCs w:val="1"/>
                <w:color w:val="auto"/>
              </w:rPr>
              <w:t>31, 2018</w:t>
            </w:r>
          </w:p>
        </w:tc>
      </w:tr>
      <w:tr>
        <w:trPr>
          <w:trHeight w:val="242"/>
        </w:trPr>
        <w:tc>
          <w:tcPr>
            <w:tcW w:w="6840" w:type="dxa"/>
            <w:vAlign w:val="bottom"/>
          </w:tcPr>
          <w:p>
            <w:pPr>
              <w:spacing w:after="0"/>
              <w:rPr>
                <w:sz w:val="20"/>
                <w:szCs w:val="20"/>
                <w:color w:val="auto"/>
              </w:rPr>
            </w:pPr>
            <w:r>
              <w:rPr>
                <w:rFonts w:ascii="Arial" w:cs="Arial" w:eastAsia="Arial" w:hAnsi="Arial"/>
                <w:sz w:val="18"/>
                <w:szCs w:val="18"/>
                <w:color w:val="auto"/>
              </w:rPr>
              <w:t>Prepaid expenses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Sales and use taxes</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5"/>
        </w:trPr>
        <w:tc>
          <w:tcPr>
            <w:tcW w:w="684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r>
      <w:tr>
        <w:trPr>
          <w:trHeight w:val="255"/>
        </w:trPr>
        <w:tc>
          <w:tcPr>
            <w:tcW w:w="6840" w:type="dxa"/>
            <w:vAlign w:val="bottom"/>
          </w:tcPr>
          <w:p>
            <w:pPr>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w:t>
      </w:r>
    </w:p>
    <w:p>
      <w:pPr>
        <w:spacing w:after="0" w:line="201" w:lineRule="exact"/>
        <w:rPr>
          <w:sz w:val="20"/>
          <w:szCs w:val="20"/>
          <w:color w:val="auto"/>
        </w:rPr>
      </w:pPr>
    </w:p>
    <w:tbl>
      <w:tblPr>
        <w:tblLayout w:type="fixed"/>
        <w:tblInd w:w="500" w:type="dxa"/>
        <w:tblCellMar>
          <w:top w:w="0" w:type="dxa"/>
          <w:left w:w="0" w:type="dxa"/>
          <w:bottom w:w="0" w:type="dxa"/>
          <w:right w:w="0" w:type="dxa"/>
        </w:tblCellMar>
      </w:tblPr>
      <w:tr>
        <w:trPr>
          <w:trHeight w:val="232"/>
        </w:trPr>
        <w:tc>
          <w:tcPr>
            <w:tcW w:w="2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As of March 31, 2019</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center"/>
              <w:ind w:left="636"/>
              <w:spacing w:after="0"/>
              <w:rPr>
                <w:sz w:val="20"/>
                <w:szCs w:val="20"/>
                <w:color w:val="auto"/>
              </w:rPr>
            </w:pPr>
            <w:r>
              <w:rPr>
                <w:rFonts w:ascii="Arial" w:cs="Arial" w:eastAsia="Arial" w:hAnsi="Arial"/>
                <w:sz w:val="16"/>
                <w:szCs w:val="16"/>
                <w:b w:val="1"/>
                <w:bCs w:val="1"/>
                <w:color w:val="auto"/>
              </w:rPr>
              <w:t>As of December 31, 2018</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center"/>
              <w:ind w:right="36"/>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center"/>
              <w:ind w:right="16"/>
              <w:spacing w:after="0"/>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202"/>
        </w:trPr>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center"/>
              <w:ind w:right="36"/>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7"/>
                <w:szCs w:val="17"/>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2700" w:type="dxa"/>
            <w:vAlign w:val="bottom"/>
          </w:tcPr>
          <w:p>
            <w:pPr>
              <w:ind w:left="20"/>
              <w:spacing w:after="0"/>
              <w:rPr>
                <w:sz w:val="20"/>
                <w:szCs w:val="20"/>
                <w:color w:val="auto"/>
              </w:rPr>
            </w:pPr>
            <w:r>
              <w:rPr>
                <w:rFonts w:ascii="Arial" w:cs="Arial" w:eastAsia="Arial" w:hAnsi="Arial"/>
                <w:sz w:val="16"/>
                <w:szCs w:val="16"/>
                <w:i w:val="1"/>
                <w:iCs w:val="1"/>
                <w:color w:val="auto"/>
              </w:rPr>
              <w:t>Amortized Intangible Assets</w:t>
            </w:r>
          </w:p>
        </w:tc>
        <w:tc>
          <w:tcPr>
            <w:tcW w:w="2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700" w:type="dxa"/>
            <w:vAlign w:val="bottom"/>
          </w:tcPr>
          <w:p>
            <w:pPr>
              <w:ind w:left="20"/>
              <w:spacing w:after="0"/>
              <w:rPr>
                <w:sz w:val="20"/>
                <w:szCs w:val="20"/>
                <w:color w:val="auto"/>
              </w:rPr>
            </w:pPr>
            <w:r>
              <w:rPr>
                <w:rFonts w:ascii="Arial" w:cs="Arial" w:eastAsia="Arial" w:hAnsi="Arial"/>
                <w:sz w:val="16"/>
                <w:szCs w:val="16"/>
                <w:color w:val="auto"/>
              </w:rPr>
              <w:t>License agreements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306</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0"/>
        </w:trPr>
        <w:tc>
          <w:tcPr>
            <w:tcW w:w="270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5"/>
        </w:trPr>
        <w:tc>
          <w:tcPr>
            <w:tcW w:w="2700" w:type="dxa"/>
            <w:vAlign w:val="bottom"/>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3"/>
        </w:trPr>
        <w:tc>
          <w:tcPr>
            <w:tcW w:w="270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605</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27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Unamortized Intangible Assets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700" w:type="dxa"/>
            <w:vAlign w:val="bottom"/>
          </w:tcPr>
          <w:p>
            <w:pPr>
              <w:ind w:left="20"/>
              <w:spacing w:after="0"/>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70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20" w:hanging="326"/>
        <w:spacing w:after="0" w:line="210" w:lineRule="auto"/>
        <w:tabs>
          <w:tab w:leader="none" w:pos="82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The change in the carrying amount since December 31, 2018, primarily reflects currency translation.</w:t>
      </w:r>
    </w:p>
    <w:p>
      <w:pPr>
        <w:spacing w:after="0" w:line="148" w:lineRule="exact"/>
        <w:rPr>
          <w:sz w:val="20"/>
          <w:szCs w:val="20"/>
          <w:color w:val="auto"/>
        </w:rPr>
      </w:pPr>
    </w:p>
    <w:p>
      <w:pPr>
        <w:ind w:left="500"/>
        <w:spacing w:after="0" w:line="264" w:lineRule="auto"/>
        <w:rPr>
          <w:sz w:val="20"/>
          <w:szCs w:val="20"/>
          <w:color w:val="auto"/>
        </w:rPr>
      </w:pPr>
      <w:r>
        <w:rPr>
          <w:rFonts w:ascii="Arial" w:cs="Arial" w:eastAsia="Arial" w:hAnsi="Arial"/>
          <w:sz w:val="18"/>
          <w:szCs w:val="18"/>
          <w:color w:val="auto"/>
        </w:rPr>
        <w:t>For the three months ended March 31, 2019 and 2018, amortization expense related to amortizable intangible assets was approximately $17 million and $14 million, respectively. Based on the Company’s amortizable intangible assets at March 31, 2019, the Company expects amortization expense of approximately $41 million for the remainder of 2019, $48 million for 2020, $34 million for 2021, $25 million for 2022, $22 million for 2023 and $20 million for 2024, excluding effects of currency exchange rates.</w:t>
      </w: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115" w:right="3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vehicles, net within assets under vehicle programs were as follows:</w:t>
      </w:r>
    </w:p>
    <w:p>
      <w:pPr>
        <w:spacing w:after="0" w:line="169" w:lineRule="exact"/>
        <w:rPr>
          <w:sz w:val="20"/>
          <w:szCs w:val="20"/>
          <w:color w:val="auto"/>
        </w:rPr>
      </w:pPr>
    </w:p>
    <w:tbl>
      <w:tblPr>
        <w:tblLayout w:type="fixed"/>
        <w:tblInd w:w="520" w:type="dxa"/>
        <w:tblCellMar>
          <w:top w:w="0" w:type="dxa"/>
          <w:left w:w="0" w:type="dxa"/>
          <w:bottom w:w="0" w:type="dxa"/>
          <w:right w:w="0" w:type="dxa"/>
        </w:tblCellMar>
      </w:tblPr>
      <w:tr>
        <w:trPr>
          <w:trHeight w:val="253"/>
        </w:trPr>
        <w:tc>
          <w:tcPr>
            <w:tcW w:w="6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1"/>
                <w:szCs w:val="21"/>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r>
      <w:tr>
        <w:trPr>
          <w:trHeight w:val="270"/>
        </w:trPr>
        <w:tc>
          <w:tcPr>
            <w:tcW w:w="6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March 31,</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r>
      <w:tr>
        <w:trPr>
          <w:trHeight w:val="279"/>
        </w:trPr>
        <w:tc>
          <w:tcPr>
            <w:tcW w:w="68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2018</w:t>
            </w:r>
          </w:p>
        </w:tc>
      </w:tr>
      <w:tr>
        <w:trPr>
          <w:trHeight w:val="247"/>
        </w:trPr>
        <w:tc>
          <w:tcPr>
            <w:tcW w:w="6840" w:type="dxa"/>
            <w:vAlign w:val="bottom"/>
          </w:tcPr>
          <w:p>
            <w:pPr>
              <w:spacing w:after="0"/>
              <w:rPr>
                <w:sz w:val="20"/>
                <w:szCs w:val="20"/>
                <w:color w:val="auto"/>
              </w:rPr>
            </w:pPr>
            <w:r>
              <w:rPr>
                <w:rFonts w:ascii="Arial" w:cs="Arial" w:eastAsia="Arial" w:hAnsi="Arial"/>
                <w:sz w:val="18"/>
                <w:szCs w:val="18"/>
                <w:color w:val="auto"/>
              </w:rPr>
              <w:t>Rental vehicles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13,601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12,548</w:t>
            </w:r>
          </w:p>
        </w:tc>
      </w:tr>
      <w:tr>
        <w:trPr>
          <w:trHeight w:val="275"/>
        </w:trPr>
        <w:tc>
          <w:tcPr>
            <w:tcW w:w="68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w:t>
            </w:r>
          </w:p>
        </w:tc>
      </w:tr>
      <w:tr>
        <w:trPr>
          <w:trHeight w:val="245"/>
        </w:trPr>
        <w:tc>
          <w:tcPr>
            <w:tcW w:w="6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12,121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10,878</w:t>
            </w:r>
          </w:p>
        </w:tc>
      </w:tr>
      <w:tr>
        <w:trPr>
          <w:trHeight w:val="275"/>
        </w:trPr>
        <w:tc>
          <w:tcPr>
            <w:tcW w:w="6840" w:type="dxa"/>
            <w:vAlign w:val="bottom"/>
          </w:tcPr>
          <w:p>
            <w:pPr>
              <w:spacing w:after="0"/>
              <w:rPr>
                <w:sz w:val="20"/>
                <w:szCs w:val="20"/>
                <w:color w:val="auto"/>
              </w:rPr>
            </w:pPr>
            <w:r>
              <w:rPr>
                <w:rFonts w:ascii="Arial" w:cs="Arial" w:eastAsia="Arial" w:hAnsi="Arial"/>
                <w:sz w:val="18"/>
                <w:szCs w:val="18"/>
                <w:color w:val="auto"/>
              </w:rPr>
              <w:t>Vehicles held for sale</w:t>
            </w:r>
          </w:p>
        </w:tc>
        <w:tc>
          <w:tcPr>
            <w:tcW w:w="2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r>
      <w:tr>
        <w:trPr>
          <w:trHeight w:val="255"/>
        </w:trPr>
        <w:tc>
          <w:tcPr>
            <w:tcW w:w="6840" w:type="dxa"/>
            <w:vAlign w:val="bottom"/>
          </w:tcPr>
          <w:p>
            <w:pPr>
              <w:spacing w:after="0"/>
              <w:rPr>
                <w:sz w:val="20"/>
                <w:szCs w:val="20"/>
                <w:color w:val="auto"/>
              </w:rPr>
            </w:pPr>
            <w:r>
              <w:rPr>
                <w:rFonts w:ascii="Arial" w:cs="Arial" w:eastAsia="Arial" w:hAnsi="Arial"/>
                <w:sz w:val="18"/>
                <w:szCs w:val="18"/>
                <w:color w:val="auto"/>
              </w:rPr>
              <w:t>Vehicles, net</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12,585</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11,474</w:t>
            </w:r>
          </w:p>
        </w:tc>
      </w:tr>
      <w:tr>
        <w:trPr>
          <w:trHeight w:val="20"/>
        </w:trPr>
        <w:tc>
          <w:tcPr>
            <w:tcW w:w="6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169"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2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80" w:type="dxa"/>
            <w:vAlign w:val="bottom"/>
            <w:tcBorders>
              <w:bottom w:val="single" w:sz="8" w:color="auto"/>
            </w:tcBorders>
          </w:tcPr>
          <w:p>
            <w:pPr>
              <w:spacing w:after="0"/>
              <w:rPr>
                <w:sz w:val="20"/>
                <w:szCs w:val="20"/>
                <w:color w:val="auto"/>
              </w:rPr>
            </w:pPr>
          </w:p>
        </w:tc>
      </w:tr>
      <w:tr>
        <w:trPr>
          <w:trHeight w:val="262"/>
        </w:trPr>
        <w:tc>
          <w:tcPr>
            <w:tcW w:w="728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42"/>
        </w:trPr>
        <w:tc>
          <w:tcPr>
            <w:tcW w:w="7280" w:type="dxa"/>
            <w:vAlign w:val="bottom"/>
          </w:tcPr>
          <w:p>
            <w:pPr>
              <w:spacing w:after="0"/>
              <w:rPr>
                <w:sz w:val="20"/>
                <w:szCs w:val="20"/>
                <w:color w:val="auto"/>
              </w:rPr>
            </w:pPr>
            <w:r>
              <w:rPr>
                <w:rFonts w:ascii="Arial" w:cs="Arial" w:eastAsia="Arial" w:hAnsi="Arial"/>
                <w:sz w:val="18"/>
                <w:szCs w:val="18"/>
                <w:color w:val="auto"/>
              </w:rPr>
              <w:t>Depreciation expense</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Lease charges</w:t>
            </w:r>
          </w:p>
        </w:tc>
        <w:tc>
          <w:tcPr>
            <w:tcW w:w="100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5"/>
        </w:trPr>
        <w:tc>
          <w:tcPr>
            <w:tcW w:w="7280" w:type="dxa"/>
            <w:vAlign w:val="bottom"/>
          </w:tcPr>
          <w:p>
            <w:pPr>
              <w:spacing w:after="0"/>
              <w:rPr>
                <w:sz w:val="20"/>
                <w:szCs w:val="20"/>
                <w:color w:val="auto"/>
              </w:rPr>
            </w:pPr>
            <w:r>
              <w:rPr>
                <w:rFonts w:ascii="Arial" w:cs="Arial" w:eastAsia="Arial" w:hAnsi="Arial"/>
                <w:sz w:val="18"/>
                <w:szCs w:val="18"/>
                <w:color w:val="auto"/>
              </w:rPr>
              <w:t>(Gain) loss on sale of vehicles, net</w:t>
            </w:r>
          </w:p>
        </w:tc>
        <w:tc>
          <w:tcPr>
            <w:tcW w:w="10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5"/>
        </w:trPr>
        <w:tc>
          <w:tcPr>
            <w:tcW w:w="7280" w:type="dxa"/>
            <w:vAlign w:val="bottom"/>
          </w:tcPr>
          <w:p>
            <w:pPr>
              <w:spacing w:after="0"/>
              <w:rPr>
                <w:sz w:val="20"/>
                <w:szCs w:val="20"/>
                <w:color w:val="auto"/>
              </w:rPr>
            </w:pPr>
            <w:r>
              <w:rPr>
                <w:rFonts w:ascii="Arial" w:cs="Arial" w:eastAsia="Arial" w:hAnsi="Arial"/>
                <w:sz w:val="18"/>
                <w:szCs w:val="18"/>
                <w:color w:val="auto"/>
              </w:rPr>
              <w:t>Vehicle depreciation and lease charges, net</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r>
      <w:tr>
        <w:trPr>
          <w:trHeight w:val="20"/>
        </w:trPr>
        <w:tc>
          <w:tcPr>
            <w:tcW w:w="7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right="120"/>
        <w:spacing w:after="0" w:line="271" w:lineRule="auto"/>
        <w:rPr>
          <w:sz w:val="20"/>
          <w:szCs w:val="20"/>
          <w:color w:val="auto"/>
        </w:rPr>
      </w:pPr>
      <w:r>
        <w:rPr>
          <w:rFonts w:ascii="Arial" w:cs="Arial" w:eastAsia="Arial" w:hAnsi="Arial"/>
          <w:sz w:val="18"/>
          <w:szCs w:val="18"/>
          <w:color w:val="auto"/>
        </w:rPr>
        <w:t>At March 31, 2019 and 2018, the Company had payables related to vehicle purchases included in liabilities under vehicle programs - other of $632 million and $641 million, respectively, and receivables related to vehicle sales included in assets under vehicle programs - receivables from vehicle manufacturers and other of $474 million and $329 million, respectively.</w:t>
      </w:r>
    </w:p>
    <w:p>
      <w:pPr>
        <w:spacing w:after="0" w:line="161"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7" w:lineRule="exact"/>
        <w:rPr>
          <w:rFonts w:ascii="Arial" w:cs="Arial" w:eastAsia="Arial" w:hAnsi="Arial"/>
          <w:sz w:val="18"/>
          <w:szCs w:val="18"/>
          <w:b w:val="1"/>
          <w:bCs w:val="1"/>
          <w:color w:val="auto"/>
        </w:rPr>
      </w:pPr>
    </w:p>
    <w:p>
      <w:pPr>
        <w:ind w:left="500"/>
        <w:spacing w:after="0" w:line="292"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three months ended March 31, 2019 was a benefit of 33.1%. Such rate differed from the Federal statutory rate of 21.0% primarily due to foreign taxes on our international operations and state taxes.</w:t>
      </w:r>
    </w:p>
    <w:p>
      <w:pPr>
        <w:spacing w:after="0" w:line="144" w:lineRule="exact"/>
        <w:rPr>
          <w:rFonts w:ascii="Arial" w:cs="Arial" w:eastAsia="Arial" w:hAnsi="Arial"/>
          <w:sz w:val="18"/>
          <w:szCs w:val="18"/>
          <w:b w:val="1"/>
          <w:bCs w:val="1"/>
          <w:color w:val="auto"/>
        </w:rPr>
      </w:pPr>
    </w:p>
    <w:p>
      <w:pPr>
        <w:ind w:left="50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three months ended March 31, 2018 was a benefit of 32.6%. Such rate differed from the Federal statutory rate of 21.0% primarily due to U.S. and foreign taxes on our international operations and state taxes. Tax benefits associated with stock-based compensation increased the benefit for income taxes recorded in the period.</w:t>
      </w:r>
    </w:p>
    <w:p>
      <w:pPr>
        <w:spacing w:after="0" w:line="161" w:lineRule="exact"/>
        <w:rPr>
          <w:rFonts w:ascii="Arial" w:cs="Arial" w:eastAsia="Arial" w:hAnsi="Arial"/>
          <w:sz w:val="18"/>
          <w:szCs w:val="18"/>
          <w:b w:val="1"/>
          <w:bCs w:val="1"/>
          <w:color w:val="auto"/>
        </w:rPr>
      </w:pPr>
    </w:p>
    <w:p>
      <w:pPr>
        <w:ind w:left="500" w:right="6280" w:hanging="492"/>
        <w:spacing w:after="0" w:line="497" w:lineRule="auto"/>
        <w:tabs>
          <w:tab w:leader="none" w:pos="50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Current Liabilities </w:t>
      </w:r>
      <w:r>
        <w:rPr>
          <w:rFonts w:ascii="Arial" w:cs="Arial" w:eastAsia="Arial" w:hAnsi="Arial"/>
          <w:sz w:val="17"/>
          <w:szCs w:val="17"/>
          <w:color w:val="auto"/>
        </w:rPr>
        <w:t>Accounts payable and other current liabilities consisted of:</w:t>
      </w:r>
    </w:p>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53"/>
        </w:trPr>
        <w:tc>
          <w:tcPr>
            <w:tcW w:w="6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1"/>
                <w:szCs w:val="21"/>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r>
      <w:tr>
        <w:trPr>
          <w:trHeight w:val="270"/>
        </w:trPr>
        <w:tc>
          <w:tcPr>
            <w:tcW w:w="6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r>
      <w:tr>
        <w:trPr>
          <w:trHeight w:val="279"/>
        </w:trPr>
        <w:tc>
          <w:tcPr>
            <w:tcW w:w="6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2018</w:t>
            </w:r>
          </w:p>
        </w:tc>
      </w:tr>
      <w:tr>
        <w:trPr>
          <w:trHeight w:val="247"/>
        </w:trPr>
        <w:tc>
          <w:tcPr>
            <w:tcW w:w="6800" w:type="dxa"/>
            <w:vAlign w:val="bottom"/>
          </w:tcPr>
          <w:p>
            <w:pPr>
              <w:spacing w:after="0"/>
              <w:rPr>
                <w:sz w:val="20"/>
                <w:szCs w:val="20"/>
                <w:color w:val="auto"/>
              </w:rPr>
            </w:pPr>
            <w:r>
              <w:rPr>
                <w:rFonts w:ascii="Arial" w:cs="Arial" w:eastAsia="Arial" w:hAnsi="Arial"/>
                <w:sz w:val="18"/>
                <w:szCs w:val="18"/>
                <w:color w:val="auto"/>
              </w:rPr>
              <w:t>Short-term operating lease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Accrued sales and use taxes</w:t>
            </w:r>
          </w:p>
        </w:tc>
        <w:tc>
          <w:tcPr>
            <w:tcW w:w="2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Accrued advertising and marketing</w:t>
            </w:r>
          </w:p>
        </w:tc>
        <w:tc>
          <w:tcPr>
            <w:tcW w:w="2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Deferred lease revenues – current</w:t>
            </w:r>
          </w:p>
        </w:tc>
        <w:tc>
          <w:tcPr>
            <w:tcW w:w="2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Public liability and property damage insurance liabilities – current</w:t>
            </w:r>
          </w:p>
        </w:tc>
        <w:tc>
          <w:tcPr>
            <w:tcW w:w="2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Accrued payroll and related</w:t>
            </w:r>
          </w:p>
        </w:tc>
        <w:tc>
          <w:tcPr>
            <w:tcW w:w="2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5"/>
        </w:trPr>
        <w:tc>
          <w:tcPr>
            <w:tcW w:w="680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r>
      <w:tr>
        <w:trPr>
          <w:trHeight w:val="255"/>
        </w:trPr>
        <w:tc>
          <w:tcPr>
            <w:tcW w:w="680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r>
      <w:tr>
        <w:trPr>
          <w:trHeight w:val="20"/>
        </w:trPr>
        <w:tc>
          <w:tcPr>
            <w:tcW w:w="6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5" w:right="259" w:bottom="1440" w:gutter="0" w:footer="0" w:header="0"/>
        </w:sect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00"/>
          </w:cols>
          <w:pgMar w:left="240" w:top="115" w:right="25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5440" w:hanging="492"/>
        <w:spacing w:after="0" w:line="488" w:lineRule="auto"/>
        <w:tabs>
          <w:tab w:leader="none" w:pos="5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Corporate Debt and Borrowing Arrangements </w:t>
      </w:r>
      <w:r>
        <w:rPr>
          <w:rFonts w:ascii="Arial" w:cs="Arial" w:eastAsia="Arial" w:hAnsi="Arial"/>
          <w:sz w:val="18"/>
          <w:szCs w:val="18"/>
          <w:color w:val="auto"/>
        </w:rPr>
        <w:t>Long-term corporate debt and borrowing arrangements consisted of:</w:t>
      </w:r>
    </w:p>
    <w:tbl>
      <w:tblPr>
        <w:tblLayout w:type="fixed"/>
        <w:tblInd w:w="500" w:type="dxa"/>
        <w:tblCellMar>
          <w:top w:w="0" w:type="dxa"/>
          <w:left w:w="0" w:type="dxa"/>
          <w:bottom w:w="0" w:type="dxa"/>
          <w:right w:w="0" w:type="dxa"/>
        </w:tblCellMar>
      </w:tblPr>
      <w:tr>
        <w:trPr>
          <w:trHeight w:val="229"/>
        </w:trPr>
        <w:tc>
          <w:tcPr>
            <w:tcW w:w="5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As of</w:t>
            </w:r>
          </w:p>
        </w:tc>
        <w:tc>
          <w:tcPr>
            <w:tcW w:w="160" w:type="dxa"/>
            <w:vAlign w:val="bottom"/>
          </w:tcPr>
          <w:p>
            <w:pPr>
              <w:spacing w:after="0"/>
              <w:rPr>
                <w:sz w:val="19"/>
                <w:szCs w:val="19"/>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1"/>
                <w:szCs w:val="21"/>
                <w:color w:val="auto"/>
              </w:rPr>
            </w:pPr>
          </w:p>
        </w:tc>
        <w:tc>
          <w:tcPr>
            <w:tcW w:w="186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Maturity</w:t>
            </w:r>
          </w:p>
        </w:tc>
        <w:tc>
          <w:tcPr>
            <w:tcW w:w="24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21"/>
                <w:szCs w:val="21"/>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68"/>
        </w:trPr>
        <w:tc>
          <w:tcPr>
            <w:tcW w:w="5460" w:type="dxa"/>
            <w:vAlign w:val="bottom"/>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8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32"/>
        </w:trPr>
        <w:tc>
          <w:tcPr>
            <w:tcW w:w="5460" w:type="dxa"/>
            <w:vAlign w:val="bottom"/>
          </w:tcPr>
          <w:p>
            <w:pPr>
              <w:spacing w:after="0"/>
              <w:rPr>
                <w:sz w:val="20"/>
                <w:szCs w:val="20"/>
                <w:color w:val="auto"/>
              </w:rPr>
            </w:pPr>
          </w:p>
        </w:tc>
        <w:tc>
          <w:tcPr>
            <w:tcW w:w="1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Dates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460" w:type="dxa"/>
            <w:vAlign w:val="bottom"/>
          </w:tcPr>
          <w:p>
            <w:pPr>
              <w:ind w:left="20"/>
              <w:spacing w:after="0"/>
              <w:rPr>
                <w:sz w:val="20"/>
                <w:szCs w:val="20"/>
                <w:color w:val="auto"/>
              </w:rPr>
            </w:pPr>
            <w:r>
              <w:rPr>
                <w:rFonts w:ascii="Arial" w:cs="Arial" w:eastAsia="Arial" w:hAnsi="Arial"/>
                <w:sz w:val="16"/>
                <w:szCs w:val="16"/>
                <w:color w:val="auto"/>
              </w:rPr>
              <w:t>5½%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2023</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6⅜%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2024</w:t>
            </w:r>
          </w:p>
        </w:tc>
        <w:tc>
          <w:tcPr>
            <w:tcW w:w="2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4⅛% euro-denominated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2024</w:t>
            </w:r>
          </w:p>
        </w:tc>
        <w:tc>
          <w:tcPr>
            <w:tcW w:w="2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322"/>
        </w:trPr>
        <w:tc>
          <w:tcPr>
            <w:tcW w:w="5460" w:type="dxa"/>
            <w:vAlign w:val="bottom"/>
          </w:tcPr>
          <w:p>
            <w:pPr>
              <w:ind w:left="2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February 2025</w:t>
            </w:r>
          </w:p>
        </w:tc>
        <w:tc>
          <w:tcPr>
            <w:tcW w:w="24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1,120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1,123</w:t>
            </w:r>
          </w:p>
        </w:tc>
        <w:tc>
          <w:tcPr>
            <w:tcW w:w="0" w:type="dxa"/>
            <w:vAlign w:val="bottom"/>
          </w:tcPr>
          <w:p>
            <w:pPr>
              <w:spacing w:after="0"/>
              <w:rPr>
                <w:sz w:val="1"/>
                <w:szCs w:val="1"/>
                <w:color w:val="auto"/>
              </w:rPr>
            </w:pPr>
          </w:p>
        </w:tc>
      </w:tr>
      <w:tr>
        <w:trPr>
          <w:trHeight w:val="219"/>
        </w:trPr>
        <w:tc>
          <w:tcPr>
            <w:tcW w:w="5460" w:type="dxa"/>
            <w:vAlign w:val="bottom"/>
          </w:tcPr>
          <w:p>
            <w:pPr>
              <w:ind w:left="20"/>
              <w:spacing w:after="0"/>
              <w:rPr>
                <w:sz w:val="20"/>
                <w:szCs w:val="20"/>
                <w:color w:val="auto"/>
              </w:rPr>
            </w:pPr>
            <w:r>
              <w:rPr>
                <w:rFonts w:ascii="Arial" w:cs="Arial" w:eastAsia="Arial" w:hAnsi="Arial"/>
                <w:sz w:val="16"/>
                <w:szCs w:val="16"/>
                <w:color w:val="auto"/>
              </w:rPr>
              <w:t>5¼%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2025</w:t>
            </w:r>
          </w:p>
        </w:tc>
        <w:tc>
          <w:tcPr>
            <w:tcW w:w="2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4½% euro-denominated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May 2025</w:t>
            </w:r>
          </w:p>
        </w:tc>
        <w:tc>
          <w:tcPr>
            <w:tcW w:w="2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4¾% euro-denominated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2026</w:t>
            </w:r>
          </w:p>
        </w:tc>
        <w:tc>
          <w:tcPr>
            <w:tcW w:w="2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322"/>
        </w:trPr>
        <w:tc>
          <w:tcPr>
            <w:tcW w:w="5460" w:type="dxa"/>
            <w:vAlign w:val="bottom"/>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28"/>
        </w:trPr>
        <w:tc>
          <w:tcPr>
            <w:tcW w:w="5460" w:type="dxa"/>
            <w:vAlign w:val="bottom"/>
          </w:tcPr>
          <w:p>
            <w:pPr>
              <w:ind w:left="20"/>
              <w:spacing w:after="0"/>
              <w:rPr>
                <w:sz w:val="20"/>
                <w:szCs w:val="20"/>
                <w:color w:val="auto"/>
              </w:rPr>
            </w:pPr>
            <w:r>
              <w:rPr>
                <w:rFonts w:ascii="Arial" w:cs="Arial" w:eastAsia="Arial" w:hAnsi="Arial"/>
                <w:sz w:val="16"/>
                <w:szCs w:val="16"/>
                <w:color w:val="auto"/>
              </w:rPr>
              <w:t>Deferred financing fees</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41"/>
        </w:trPr>
        <w:tc>
          <w:tcPr>
            <w:tcW w:w="5460" w:type="dxa"/>
            <w:vAlign w:val="bottom"/>
          </w:tcPr>
          <w:p>
            <w:pPr>
              <w:ind w:left="20"/>
              <w:spacing w:after="0"/>
              <w:rPr>
                <w:sz w:val="20"/>
                <w:szCs w:val="20"/>
                <w:color w:val="auto"/>
              </w:rPr>
            </w:pPr>
            <w:r>
              <w:rPr>
                <w:rFonts w:ascii="Arial" w:cs="Arial" w:eastAsia="Arial" w:hAnsi="Arial"/>
                <w:sz w:val="16"/>
                <w:szCs w:val="16"/>
                <w:color w:val="auto"/>
              </w:rPr>
              <w:t>Total</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3,551</w:t>
            </w:r>
          </w:p>
        </w:tc>
        <w:tc>
          <w:tcPr>
            <w:tcW w:w="0" w:type="dxa"/>
            <w:vAlign w:val="bottom"/>
          </w:tcPr>
          <w:p>
            <w:pPr>
              <w:spacing w:after="0"/>
              <w:rPr>
                <w:sz w:val="1"/>
                <w:szCs w:val="1"/>
                <w:color w:val="auto"/>
              </w:rPr>
            </w:pPr>
          </w:p>
        </w:tc>
      </w:tr>
      <w:tr>
        <w:trPr>
          <w:trHeight w:val="279"/>
        </w:trPr>
        <w:tc>
          <w:tcPr>
            <w:tcW w:w="5460" w:type="dxa"/>
            <w:vAlign w:val="bottom"/>
          </w:tcPr>
          <w:p>
            <w:pPr>
              <w:ind w:left="20"/>
              <w:spacing w:after="0"/>
              <w:rPr>
                <w:sz w:val="20"/>
                <w:szCs w:val="20"/>
                <w:color w:val="auto"/>
              </w:rPr>
            </w:pPr>
            <w:r>
              <w:rPr>
                <w:rFonts w:ascii="Arial" w:cs="Arial" w:eastAsia="Arial" w:hAnsi="Arial"/>
                <w:sz w:val="16"/>
                <w:szCs w:val="16"/>
                <w:color w:val="auto"/>
              </w:rPr>
              <w:t>Less: Short-term debt and current portion of long-term debt</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41"/>
        </w:trPr>
        <w:tc>
          <w:tcPr>
            <w:tcW w:w="54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3,528</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460" w:type="dxa"/>
            <w:vAlign w:val="bottom"/>
            <w:vMerge w:val="continue"/>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right="40" w:hanging="326"/>
        <w:spacing w:after="0" w:line="227" w:lineRule="auto"/>
        <w:tabs>
          <w:tab w:leader="none" w:pos="82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revolving credit facility, which is secured by pledges of capital stock of certain subsidiaries of the Company, and liens on substantially all of the Company’s intellectual property and certain other real and personal property. As of March 31, 2019, the floating rate term loan due 2025 bears interest at one-month LIBOR plus 200 basis points, for an aggregate rate of 4.50%. The Company has entered into a swap to hedge $700 million of its interest rate exposure related to the floating rate term loan at an aggregate rate of 3.67%.</w:t>
      </w:r>
    </w:p>
    <w:p>
      <w:pPr>
        <w:ind w:left="820" w:hanging="326"/>
        <w:spacing w:after="0" w:line="204" w:lineRule="auto"/>
        <w:tabs>
          <w:tab w:leader="none" w:pos="82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Primarily includes finance leases which are secured by liens on the related assets.</w:t>
      </w:r>
    </w:p>
    <w:p>
      <w:pPr>
        <w:spacing w:after="0" w:line="3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March 31, 2019, the committed corporate credit facilities available to the Company and/or its subsidiaries were as follows:</w:t>
      </w:r>
    </w:p>
    <w:p>
      <w:pPr>
        <w:spacing w:after="0" w:line="17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Total</w:t>
            </w:r>
          </w:p>
        </w:tc>
        <w:tc>
          <w:tcPr>
            <w:tcW w:w="180" w:type="dxa"/>
            <w:vAlign w:val="bottom"/>
          </w:tcPr>
          <w:p>
            <w:pPr>
              <w:spacing w:after="0"/>
              <w:rPr>
                <w:sz w:val="16"/>
                <w:szCs w:val="16"/>
                <w:color w:val="auto"/>
              </w:rPr>
            </w:pPr>
          </w:p>
        </w:tc>
        <w:tc>
          <w:tcPr>
            <w:tcW w:w="15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rPr>
              <w:t>Outstanding</w:t>
            </w: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Letters of</w:t>
            </w:r>
          </w:p>
        </w:tc>
        <w:tc>
          <w:tcPr>
            <w:tcW w:w="240" w:type="dxa"/>
            <w:vAlign w:val="bottom"/>
          </w:tcPr>
          <w:p>
            <w:pPr>
              <w:spacing w:after="0"/>
              <w:rPr>
                <w:sz w:val="16"/>
                <w:szCs w:val="16"/>
                <w:color w:val="auto"/>
              </w:rPr>
            </w:pPr>
          </w:p>
        </w:tc>
        <w:tc>
          <w:tcPr>
            <w:tcW w:w="1200" w:type="dxa"/>
            <w:vAlign w:val="bottom"/>
          </w:tcPr>
          <w:p>
            <w:pPr>
              <w:ind w:left="140"/>
              <w:spacing w:after="0"/>
              <w:rPr>
                <w:sz w:val="20"/>
                <w:szCs w:val="20"/>
                <w:color w:val="auto"/>
              </w:rPr>
            </w:pPr>
            <w:r>
              <w:rPr>
                <w:rFonts w:ascii="Arial" w:cs="Arial" w:eastAsia="Arial" w:hAnsi="Arial"/>
                <w:sz w:val="16"/>
                <w:szCs w:val="16"/>
                <w:b w:val="1"/>
                <w:bCs w:val="1"/>
                <w:color w:val="auto"/>
              </w:rPr>
              <w:t>Available</w:t>
            </w:r>
          </w:p>
        </w:tc>
      </w:tr>
      <w:tr>
        <w:trPr>
          <w:trHeight w:val="232"/>
        </w:trPr>
        <w:tc>
          <w:tcPr>
            <w:tcW w:w="4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Credit Issued</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Capacity</w:t>
            </w:r>
          </w:p>
        </w:tc>
      </w:tr>
      <w:tr>
        <w:trPr>
          <w:trHeight w:val="236"/>
        </w:trPr>
        <w:tc>
          <w:tcPr>
            <w:tcW w:w="422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2023 </w:t>
            </w:r>
            <w:r>
              <w:rPr>
                <w:rFonts w:ascii="Arial" w:cs="Arial" w:eastAsia="Arial" w:hAnsi="Arial"/>
                <w:sz w:val="17"/>
                <w:szCs w:val="17"/>
                <w:color w:val="auto"/>
                <w:vertAlign w:val="superscript"/>
              </w:rPr>
              <w:t>(a)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1,163</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637</w:t>
            </w:r>
          </w:p>
        </w:tc>
      </w:tr>
      <w:tr>
        <w:trPr>
          <w:trHeight w:val="207"/>
        </w:trPr>
        <w:tc>
          <w:tcPr>
            <w:tcW w:w="4220" w:type="dxa"/>
            <w:vAlign w:val="bottom"/>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ind w:left="820" w:hanging="326"/>
        <w:spacing w:after="0"/>
        <w:tabs>
          <w:tab w:leader="none" w:pos="82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spacing w:after="0" w:line="312" w:lineRule="exact"/>
        <w:rPr>
          <w:sz w:val="20"/>
          <w:szCs w:val="20"/>
          <w:color w:val="auto"/>
        </w:rPr>
      </w:pPr>
    </w:p>
    <w:p>
      <w:pPr>
        <w:ind w:left="500" w:right="120"/>
        <w:spacing w:after="0" w:line="292" w:lineRule="auto"/>
        <w:rPr>
          <w:sz w:val="20"/>
          <w:szCs w:val="20"/>
          <w:color w:val="auto"/>
        </w:rPr>
      </w:pPr>
      <w:r>
        <w:rPr>
          <w:rFonts w:ascii="Arial" w:cs="Arial" w:eastAsia="Arial" w:hAnsi="Arial"/>
          <w:sz w:val="18"/>
          <w:szCs w:val="18"/>
          <w:color w:val="auto"/>
        </w:rPr>
        <w:t>At March 31, 2019, the Company had various uncommitted credit facilities available, under which it had drawn approximately $1 million, which bear interest at rates between 0.73% and 1.53%.</w:t>
      </w:r>
    </w:p>
    <w:p>
      <w:pPr>
        <w:spacing w:after="0" w:line="9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25" w:lineRule="exact"/>
        <w:rPr>
          <w:sz w:val="20"/>
          <w:szCs w:val="20"/>
          <w:color w:val="auto"/>
        </w:rPr>
      </w:pPr>
    </w:p>
    <w:p>
      <w:pPr>
        <w:ind w:left="500" w:right="300"/>
        <w:spacing w:after="0" w:line="260" w:lineRule="auto"/>
        <w:rPr>
          <w:sz w:val="20"/>
          <w:szCs w:val="20"/>
          <w:color w:val="auto"/>
        </w:rPr>
      </w:pPr>
      <w:r>
        <w:rPr>
          <w:rFonts w:ascii="Arial" w:cs="Arial" w:eastAsia="Arial" w:hAnsi="Arial"/>
          <w:sz w:val="18"/>
          <w:szCs w:val="18"/>
          <w:color w:val="auto"/>
        </w:rPr>
        <w:t>The agreements governing the Company’s indebtedness contain restrictive covenants, including restrictions on dividends paid to the Company by certain of its subsidiaries, the incurrence of additional indebtedness by the Company and certain of its subsidiaries, acquisitions, mergers, liquidations, and sale and leaseback transactions. The Company’s senior credit facility also contains a consolidated first lien leverage ratio requirement. As of March 31, 2019, the Company was in compliance with the financial covenants governing its indebtedness.</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15"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27" w:lineRule="exact"/>
        <w:rPr>
          <w:rFonts w:ascii="Arial" w:cs="Arial" w:eastAsia="Arial" w:hAnsi="Arial"/>
          <w:sz w:val="18"/>
          <w:szCs w:val="18"/>
          <w:b w:val="1"/>
          <w:bCs w:val="1"/>
          <w:color w:val="auto"/>
        </w:rPr>
      </w:pPr>
    </w:p>
    <w:p>
      <w:pPr>
        <w:ind w:left="500" w:right="280"/>
        <w:spacing w:after="0" w:line="292"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102" w:lineRule="exact"/>
        <w:rPr>
          <w:sz w:val="20"/>
          <w:szCs w:val="20"/>
          <w:color w:val="auto"/>
        </w:rPr>
      </w:pPr>
    </w:p>
    <w:tbl>
      <w:tblPr>
        <w:tblLayout w:type="fixed"/>
        <w:tblInd w:w="500" w:type="dxa"/>
        <w:tblCellMar>
          <w:top w:w="0" w:type="dxa"/>
          <w:left w:w="0" w:type="dxa"/>
          <w:bottom w:w="0" w:type="dxa"/>
          <w:right w:w="0" w:type="dxa"/>
        </w:tblCellMar>
      </w:tblPr>
      <w:tr>
        <w:trPr>
          <w:trHeight w:val="253"/>
        </w:trPr>
        <w:tc>
          <w:tcPr>
            <w:tcW w:w="6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1"/>
                <w:szCs w:val="21"/>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March 31,</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69"/>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1"/>
                <w:szCs w:val="21"/>
                <w:color w:val="auto"/>
                <w:vertAlign w:val="superscript"/>
              </w:rPr>
              <w:t>(a)</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8,576</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7,393</w:t>
            </w: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Americas - Debt borrowings</w:t>
            </w:r>
          </w:p>
        </w:tc>
        <w:tc>
          <w:tcPr>
            <w:tcW w:w="2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70"/>
        </w:trPr>
        <w:tc>
          <w:tcPr>
            <w:tcW w:w="6860" w:type="dxa"/>
            <w:vAlign w:val="bottom"/>
          </w:tcPr>
          <w:p>
            <w:pPr>
              <w:ind w:left="20"/>
              <w:spacing w:after="0"/>
              <w:rPr>
                <w:sz w:val="20"/>
                <w:szCs w:val="20"/>
                <w:color w:val="auto"/>
              </w:rPr>
            </w:pPr>
            <w:r>
              <w:rPr>
                <w:rFonts w:ascii="Arial" w:cs="Arial" w:eastAsia="Arial" w:hAnsi="Arial"/>
                <w:sz w:val="18"/>
                <w:szCs w:val="18"/>
                <w:color w:val="auto"/>
              </w:rPr>
              <w:t>International - Debt borrowings</w:t>
            </w: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1,835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70"/>
        </w:trPr>
        <w:tc>
          <w:tcPr>
            <w:tcW w:w="6860" w:type="dxa"/>
            <w:vAlign w:val="bottom"/>
          </w:tcPr>
          <w:p>
            <w:pPr>
              <w:ind w:left="20"/>
              <w:spacing w:after="0"/>
              <w:rPr>
                <w:sz w:val="20"/>
                <w:szCs w:val="20"/>
                <w:color w:val="auto"/>
              </w:rPr>
            </w:pPr>
            <w:r>
              <w:rPr>
                <w:rFonts w:ascii="Arial" w:cs="Arial" w:eastAsia="Arial" w:hAnsi="Arial"/>
                <w:sz w:val="18"/>
                <w:szCs w:val="18"/>
                <w:color w:val="auto"/>
              </w:rPr>
              <w:t>International - Finance leases</w:t>
            </w: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0"/>
        </w:trPr>
        <w:tc>
          <w:tcPr>
            <w:tcW w:w="686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0"/>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1"/>
                <w:szCs w:val="21"/>
                <w:color w:val="auto"/>
                <w:vertAlign w:val="superscript"/>
              </w:rPr>
              <w:t>(b)</w:t>
            </w: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0"/>
        </w:trPr>
        <w:tc>
          <w:tcPr>
            <w:tcW w:w="686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11,205</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10,232</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The increase reflects additional borrowings principally to fund increases in the Company’s car rental fleet.</w:t>
      </w:r>
    </w:p>
    <w:p>
      <w:pPr>
        <w:ind w:left="820" w:right="500" w:hanging="326"/>
        <w:spacing w:after="0" w:line="220" w:lineRule="auto"/>
        <w:tabs>
          <w:tab w:leader="none" w:pos="82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Deferred financing fees related to Debt due to Avis Budget Rental Car Funding as of March 31, 2019 and December 31, 2018 was $36 million and $35 million, respectively.</w:t>
      </w:r>
    </w:p>
    <w:p>
      <w:pPr>
        <w:spacing w:after="0" w:line="175" w:lineRule="exact"/>
        <w:rPr>
          <w:sz w:val="20"/>
          <w:szCs w:val="20"/>
          <w:color w:val="auto"/>
        </w:rPr>
      </w:pPr>
    </w:p>
    <w:p>
      <w:pPr>
        <w:ind w:left="500" w:right="180"/>
        <w:spacing w:after="0" w:line="292" w:lineRule="auto"/>
        <w:rPr>
          <w:sz w:val="20"/>
          <w:szCs w:val="20"/>
          <w:color w:val="auto"/>
        </w:rPr>
      </w:pPr>
      <w:r>
        <w:rPr>
          <w:rFonts w:ascii="Arial" w:cs="Arial" w:eastAsia="Arial" w:hAnsi="Arial"/>
          <w:sz w:val="18"/>
          <w:szCs w:val="18"/>
          <w:color w:val="auto"/>
        </w:rPr>
        <w:t>In February 2019, the Company’s Avis Budget Rental Car Funding subsidiary issued approximately $600 million in asset-backed notes with an expected final payment date of March 2022 incurring interest at a weighted average rate of 3.56%.</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Maturities</w:t>
      </w:r>
    </w:p>
    <w:p>
      <w:pPr>
        <w:spacing w:after="0" w:line="225" w:lineRule="exact"/>
        <w:rPr>
          <w:sz w:val="20"/>
          <w:szCs w:val="20"/>
          <w:color w:val="auto"/>
        </w:rPr>
      </w:pPr>
    </w:p>
    <w:p>
      <w:pPr>
        <w:ind w:left="500"/>
        <w:spacing w:after="0" w:line="292" w:lineRule="auto"/>
        <w:rPr>
          <w:sz w:val="20"/>
          <w:szCs w:val="20"/>
          <w:color w:val="auto"/>
        </w:rPr>
      </w:pPr>
      <w:r>
        <w:rPr>
          <w:rFonts w:ascii="Arial" w:cs="Arial" w:eastAsia="Arial" w:hAnsi="Arial"/>
          <w:sz w:val="18"/>
          <w:szCs w:val="18"/>
          <w:color w:val="auto"/>
        </w:rPr>
        <w:t>The following table provides the contractual maturities of the Company’s debt under vehicle programs, including related party debt due to Avis Budget Rental Car Funding, at March 31, 2019.</w:t>
      </w:r>
    </w:p>
    <w:p>
      <w:pPr>
        <w:sectPr>
          <w:pgSz w:w="11900" w:h="16838" w:orient="portrait"/>
          <w:cols w:equalWidth="0" w:num="1">
            <w:col w:w="11380"/>
          </w:cols>
          <w:pgMar w:left="240" w:top="115" w:right="2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Within 1 year</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Between 1 and 2 years </w:t>
      </w:r>
      <w:r>
        <w:rPr>
          <w:rFonts w:ascii="Arial" w:cs="Arial" w:eastAsia="Arial" w:hAnsi="Arial"/>
          <w:sz w:val="21"/>
          <w:szCs w:val="21"/>
          <w:color w:val="auto"/>
          <w:vertAlign w:val="superscript"/>
        </w:rPr>
        <w:t>(b)</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Between 2 and 3 years </w:t>
      </w:r>
      <w:r>
        <w:rPr>
          <w:rFonts w:ascii="Arial" w:cs="Arial" w:eastAsia="Arial" w:hAnsi="Arial"/>
          <w:sz w:val="21"/>
          <w:szCs w:val="21"/>
          <w:color w:val="auto"/>
          <w:vertAlign w:val="superscript"/>
        </w:rPr>
        <w:t>(c)</w:t>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Between 3 and 4 years</w:t>
      </w:r>
    </w:p>
    <w:p>
      <w:pPr>
        <w:spacing w:after="0" w:line="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Between 4 and 5 years</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Thereafter</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w:t>
      </w:r>
    </w:p>
    <w:p>
      <w:pPr>
        <w:spacing w:after="0" w:line="5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220" w:lineRule="auto"/>
        <w:tabs>
          <w:tab w:leader="none" w:pos="82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Vehicle-backed debt primarily represents asset-backed securities.</w:t>
      </w:r>
    </w:p>
    <w:p>
      <w:pPr>
        <w:ind w:left="820" w:hanging="326"/>
        <w:spacing w:after="0" w:line="187" w:lineRule="auto"/>
        <w:tabs>
          <w:tab w:leader="none" w:pos="82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Includes $3.0 billion of bank and bank-sponsored facilities.</w:t>
      </w:r>
    </w:p>
    <w:p>
      <w:pPr>
        <w:ind w:left="820" w:hanging="326"/>
        <w:spacing w:after="0" w:line="204" w:lineRule="auto"/>
        <w:tabs>
          <w:tab w:leader="none" w:pos="82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Includes $1.3 billion of bank and bank-sponsored facilities.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Committed Credit Facilities and Available Funding Arrangements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center"/>
        <w:ind w:right="578"/>
        <w:spacing w:after="0"/>
        <w:rPr>
          <w:sz w:val="20"/>
          <w:szCs w:val="20"/>
          <w:color w:val="auto"/>
        </w:rPr>
      </w:pPr>
      <w:r>
        <w:rPr>
          <w:rFonts w:ascii="Arial" w:cs="Arial" w:eastAsia="Arial" w:hAnsi="Arial"/>
          <w:sz w:val="17"/>
          <w:szCs w:val="17"/>
          <w:b w:val="1"/>
          <w:bCs w:val="1"/>
          <w:color w:val="auto"/>
        </w:rPr>
        <w:t>Debt under Vehicle</w:t>
      </w:r>
    </w:p>
    <w:p>
      <w:pPr>
        <w:spacing w:after="0" w:line="29" w:lineRule="exact"/>
        <w:rPr>
          <w:sz w:val="20"/>
          <w:szCs w:val="20"/>
          <w:color w:val="auto"/>
        </w:rPr>
      </w:pPr>
    </w:p>
    <w:p>
      <w:pPr>
        <w:jc w:val="center"/>
        <w:ind w:right="578"/>
        <w:spacing w:after="0"/>
        <w:rPr>
          <w:sz w:val="20"/>
          <w:szCs w:val="20"/>
          <w:color w:val="auto"/>
        </w:rPr>
      </w:pPr>
      <w:r>
        <w:rPr>
          <w:rFonts w:ascii="Arial" w:cs="Arial" w:eastAsia="Arial" w:hAnsi="Arial"/>
          <w:sz w:val="18"/>
          <w:szCs w:val="18"/>
          <w:b w:val="1"/>
          <w:bCs w:val="1"/>
          <w:color w:val="auto"/>
        </w:rPr>
        <w:t xml:space="preserve">Programs </w:t>
      </w:r>
      <w:r>
        <w:rPr>
          <w:rFonts w:ascii="Arial" w:cs="Arial" w:eastAsia="Arial" w:hAnsi="Arial"/>
          <w:sz w:val="21"/>
          <w:szCs w:val="21"/>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-5080</wp:posOffset>
            </wp:positionV>
            <wp:extent cx="10636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1" w:lineRule="exact"/>
        <w:rPr>
          <w:sz w:val="20"/>
          <w:szCs w:val="20"/>
          <w:color w:val="auto"/>
        </w:rPr>
      </w:pPr>
    </w:p>
    <w:p>
      <w:pPr>
        <w:ind w:left="1102" w:hanging="1102"/>
        <w:spacing w:after="0"/>
        <w:tabs>
          <w:tab w:leader="none" w:pos="1102" w:val="left"/>
        </w:tabs>
        <w:numPr>
          <w:ilvl w:val="0"/>
          <w:numId w:val="37"/>
        </w:numPr>
        <w:rPr>
          <w:rFonts w:ascii="Arial" w:cs="Arial" w:eastAsia="Arial" w:hAnsi="Arial"/>
          <w:sz w:val="18"/>
          <w:szCs w:val="18"/>
          <w:color w:val="auto"/>
        </w:rPr>
      </w:pPr>
      <w:r>
        <w:rPr>
          <w:rFonts w:ascii="Arial" w:cs="Arial" w:eastAsia="Arial" w:hAnsi="Arial"/>
          <w:sz w:val="18"/>
          <w:szCs w:val="18"/>
          <w:color w:val="auto"/>
        </w:rPr>
        <w:t>1,559</w:t>
      </w:r>
    </w:p>
    <w:p>
      <w:pPr>
        <w:spacing w:after="0" w:line="27" w:lineRule="exact"/>
        <w:rPr>
          <w:rFonts w:ascii="Arial" w:cs="Arial" w:eastAsia="Arial" w:hAnsi="Arial"/>
          <w:sz w:val="18"/>
          <w:szCs w:val="18"/>
          <w:color w:val="auto"/>
        </w:rPr>
      </w:pPr>
    </w:p>
    <w:p>
      <w:pPr>
        <w:ind w:left="1102"/>
        <w:spacing w:after="0"/>
        <w:rPr>
          <w:rFonts w:ascii="Arial" w:cs="Arial" w:eastAsia="Arial" w:hAnsi="Arial"/>
          <w:sz w:val="18"/>
          <w:szCs w:val="18"/>
          <w:color w:val="auto"/>
        </w:rPr>
      </w:pPr>
      <w:r>
        <w:rPr>
          <w:rFonts w:ascii="Arial" w:cs="Arial" w:eastAsia="Arial" w:hAnsi="Arial"/>
          <w:sz w:val="18"/>
          <w:szCs w:val="18"/>
          <w:color w:val="auto"/>
        </w:rPr>
        <w:t>4,430</w:t>
      </w:r>
    </w:p>
    <w:p>
      <w:pPr>
        <w:spacing w:after="0" w:line="49" w:lineRule="exact"/>
        <w:rPr>
          <w:rFonts w:ascii="Arial" w:cs="Arial" w:eastAsia="Arial" w:hAnsi="Arial"/>
          <w:sz w:val="18"/>
          <w:szCs w:val="18"/>
          <w:color w:val="auto"/>
        </w:rPr>
      </w:pPr>
    </w:p>
    <w:p>
      <w:pPr>
        <w:ind w:left="1102"/>
        <w:spacing w:after="0"/>
        <w:rPr>
          <w:rFonts w:ascii="Arial" w:cs="Arial" w:eastAsia="Arial" w:hAnsi="Arial"/>
          <w:sz w:val="18"/>
          <w:szCs w:val="18"/>
          <w:color w:val="auto"/>
        </w:rPr>
      </w:pPr>
      <w:r>
        <w:rPr>
          <w:rFonts w:ascii="Arial" w:cs="Arial" w:eastAsia="Arial" w:hAnsi="Arial"/>
          <w:sz w:val="18"/>
          <w:szCs w:val="18"/>
          <w:color w:val="auto"/>
        </w:rPr>
        <w:t>2,693</w:t>
      </w:r>
    </w:p>
    <w:p>
      <w:pPr>
        <w:spacing w:after="0" w:line="49" w:lineRule="exact"/>
        <w:rPr>
          <w:rFonts w:ascii="Arial" w:cs="Arial" w:eastAsia="Arial" w:hAnsi="Arial"/>
          <w:sz w:val="18"/>
          <w:szCs w:val="18"/>
          <w:color w:val="auto"/>
        </w:rPr>
      </w:pPr>
    </w:p>
    <w:p>
      <w:pPr>
        <w:ind w:left="1102"/>
        <w:spacing w:after="0"/>
        <w:rPr>
          <w:rFonts w:ascii="Arial" w:cs="Arial" w:eastAsia="Arial" w:hAnsi="Arial"/>
          <w:sz w:val="18"/>
          <w:szCs w:val="18"/>
          <w:color w:val="auto"/>
        </w:rPr>
      </w:pPr>
      <w:r>
        <w:rPr>
          <w:rFonts w:ascii="Arial" w:cs="Arial" w:eastAsia="Arial" w:hAnsi="Arial"/>
          <w:sz w:val="18"/>
          <w:szCs w:val="18"/>
          <w:color w:val="auto"/>
        </w:rPr>
        <w:t>1,264</w:t>
      </w:r>
    </w:p>
    <w:p>
      <w:pPr>
        <w:spacing w:after="0" w:line="49" w:lineRule="exact"/>
        <w:rPr>
          <w:rFonts w:ascii="Arial" w:cs="Arial" w:eastAsia="Arial" w:hAnsi="Arial"/>
          <w:sz w:val="18"/>
          <w:szCs w:val="18"/>
          <w:color w:val="auto"/>
        </w:rPr>
      </w:pPr>
    </w:p>
    <w:p>
      <w:pPr>
        <w:ind w:left="1102"/>
        <w:spacing w:after="0"/>
        <w:rPr>
          <w:rFonts w:ascii="Arial" w:cs="Arial" w:eastAsia="Arial" w:hAnsi="Arial"/>
          <w:sz w:val="18"/>
          <w:szCs w:val="18"/>
          <w:color w:val="auto"/>
        </w:rPr>
      </w:pPr>
      <w:r>
        <w:rPr>
          <w:rFonts w:ascii="Arial" w:cs="Arial" w:eastAsia="Arial" w:hAnsi="Arial"/>
          <w:sz w:val="18"/>
          <w:szCs w:val="18"/>
          <w:color w:val="auto"/>
        </w:rPr>
        <w:t>1,078</w:t>
      </w:r>
    </w:p>
    <w:p>
      <w:pPr>
        <w:spacing w:after="0" w:line="49" w:lineRule="exact"/>
        <w:rPr>
          <w:rFonts w:ascii="Arial" w:cs="Arial" w:eastAsia="Arial" w:hAnsi="Arial"/>
          <w:sz w:val="18"/>
          <w:szCs w:val="18"/>
          <w:color w:val="auto"/>
        </w:rPr>
      </w:pPr>
    </w:p>
    <w:p>
      <w:pPr>
        <w:ind w:left="1262"/>
        <w:spacing w:after="0"/>
        <w:rPr>
          <w:rFonts w:ascii="Arial" w:cs="Arial" w:eastAsia="Arial" w:hAnsi="Arial"/>
          <w:sz w:val="18"/>
          <w:szCs w:val="18"/>
          <w:color w:val="auto"/>
        </w:rPr>
      </w:pPr>
      <w:r>
        <w:rPr>
          <w:rFonts w:ascii="Arial" w:cs="Arial" w:eastAsia="Arial" w:hAnsi="Arial"/>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28575</wp:posOffset>
            </wp:positionV>
            <wp:extent cx="10636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43" w:lineRule="exact"/>
        <w:rPr>
          <w:sz w:val="20"/>
          <w:szCs w:val="20"/>
          <w:color w:val="auto"/>
        </w:rPr>
      </w:pPr>
    </w:p>
    <w:p>
      <w:pPr>
        <w:ind w:left="1022" w:hanging="1022"/>
        <w:spacing w:after="0"/>
        <w:tabs>
          <w:tab w:leader="none" w:pos="1022" w:val="left"/>
        </w:tabs>
        <w:numPr>
          <w:ilvl w:val="0"/>
          <w:numId w:val="38"/>
        </w:numPr>
        <w:rPr>
          <w:rFonts w:ascii="Arial" w:cs="Arial" w:eastAsia="Arial" w:hAnsi="Arial"/>
          <w:sz w:val="18"/>
          <w:szCs w:val="18"/>
          <w:color w:val="auto"/>
        </w:rPr>
      </w:pPr>
      <w:r>
        <w:rPr>
          <w:rFonts w:ascii="Arial" w:cs="Arial" w:eastAsia="Arial" w:hAnsi="Arial"/>
          <w:sz w:val="18"/>
          <w:szCs w:val="18"/>
          <w:color w:val="auto"/>
        </w:rPr>
        <w:t>11,253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28575</wp:posOffset>
            </wp:positionV>
            <wp:extent cx="10636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63625"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45720</wp:posOffset>
            </wp:positionV>
            <wp:extent cx="10636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349" w:lineRule="exact"/>
        <w:rPr>
          <w:sz w:val="20"/>
          <w:szCs w:val="20"/>
          <w:color w:val="auto"/>
        </w:rPr>
      </w:pPr>
    </w:p>
    <w:p>
      <w:pPr>
        <w:sectPr>
          <w:pgSz w:w="11900" w:h="16838" w:orient="portrait"/>
          <w:cols w:equalWidth="0" w:num="2">
            <w:col w:w="8458" w:space="720"/>
            <w:col w:w="2202"/>
          </w:cols>
          <w:pgMar w:left="240" w:top="115" w:right="279" w:bottom="1440" w:gutter="0" w:footer="0" w:header="0"/>
          <w:type w:val="continuous"/>
        </w:sectPr>
      </w:pPr>
    </w:p>
    <w:p>
      <w:pPr>
        <w:spacing w:after="0" w:line="37" w:lineRule="exact"/>
        <w:rPr>
          <w:sz w:val="20"/>
          <w:szCs w:val="20"/>
          <w:color w:val="auto"/>
        </w:rPr>
      </w:pPr>
    </w:p>
    <w:p>
      <w:pPr>
        <w:ind w:left="500" w:right="160"/>
        <w:spacing w:after="0" w:line="292" w:lineRule="auto"/>
        <w:rPr>
          <w:sz w:val="20"/>
          <w:szCs w:val="20"/>
          <w:color w:val="auto"/>
        </w:rPr>
      </w:pPr>
      <w:r>
        <w:rPr>
          <w:rFonts w:ascii="Arial" w:cs="Arial" w:eastAsia="Arial" w:hAnsi="Arial"/>
          <w:sz w:val="18"/>
          <w:szCs w:val="18"/>
          <w:color w:val="auto"/>
        </w:rPr>
        <w:t>As of March 31, 2019, available funding under the Company’s vehicle programs, including related party debt due to Avis Budget Rental Car Funding, consisted of:</w:t>
      </w:r>
    </w:p>
    <w:p>
      <w:pPr>
        <w:spacing w:after="0" w:line="84"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Total</w:t>
            </w: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Outstanding</w:t>
            </w:r>
          </w:p>
        </w:tc>
        <w:tc>
          <w:tcPr>
            <w:tcW w:w="26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Available</w:t>
            </w:r>
          </w:p>
        </w:tc>
        <w:tc>
          <w:tcPr>
            <w:tcW w:w="0" w:type="dxa"/>
            <w:vAlign w:val="bottom"/>
          </w:tcPr>
          <w:p>
            <w:pPr>
              <w:spacing w:after="0"/>
              <w:rPr>
                <w:sz w:val="1"/>
                <w:szCs w:val="1"/>
                <w:color w:val="auto"/>
              </w:rPr>
            </w:pPr>
          </w:p>
        </w:tc>
      </w:tr>
      <w:tr>
        <w:trPr>
          <w:trHeight w:val="254"/>
        </w:trPr>
        <w:tc>
          <w:tcPr>
            <w:tcW w:w="5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 xml:space="preserve">Capacity </w:t>
            </w:r>
            <w:r>
              <w:rPr>
                <w:rFonts w:ascii="Arial" w:cs="Arial" w:eastAsia="Arial" w:hAnsi="Arial"/>
                <w:sz w:val="18"/>
                <w:szCs w:val="18"/>
                <w:color w:val="auto"/>
                <w:w w:val="94"/>
                <w:vertAlign w:val="superscript"/>
              </w:rPr>
              <w:t>(a)</w:t>
            </w:r>
          </w:p>
        </w:tc>
        <w:tc>
          <w:tcPr>
            <w:tcW w:w="180" w:type="dxa"/>
            <w:vAlign w:val="bottom"/>
          </w:tcPr>
          <w:p>
            <w:pPr>
              <w:spacing w:after="0"/>
              <w:rPr>
                <w:sz w:val="22"/>
                <w:szCs w:val="22"/>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 xml:space="preserve">Borrowings </w:t>
            </w:r>
            <w:r>
              <w:rPr>
                <w:rFonts w:ascii="Arial" w:cs="Arial" w:eastAsia="Arial" w:hAnsi="Arial"/>
                <w:sz w:val="18"/>
                <w:szCs w:val="18"/>
                <w:color w:val="auto"/>
                <w:w w:val="95"/>
                <w:vertAlign w:val="superscript"/>
              </w:rPr>
              <w:t>(b)</w:t>
            </w:r>
          </w:p>
        </w:tc>
        <w:tc>
          <w:tcPr>
            <w:tcW w:w="260" w:type="dxa"/>
            <w:vAlign w:val="bottom"/>
          </w:tcPr>
          <w:p>
            <w:pPr>
              <w:spacing w:after="0"/>
              <w:rPr>
                <w:sz w:val="22"/>
                <w:szCs w:val="22"/>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Capacity</w:t>
            </w:r>
          </w:p>
        </w:tc>
        <w:tc>
          <w:tcPr>
            <w:tcW w:w="0" w:type="dxa"/>
            <w:vAlign w:val="bottom"/>
          </w:tcPr>
          <w:p>
            <w:pPr>
              <w:spacing w:after="0"/>
              <w:rPr>
                <w:sz w:val="1"/>
                <w:szCs w:val="1"/>
                <w:color w:val="auto"/>
              </w:rPr>
            </w:pPr>
          </w:p>
        </w:tc>
      </w:tr>
      <w:tr>
        <w:trPr>
          <w:trHeight w:val="241"/>
        </w:trPr>
        <w:tc>
          <w:tcPr>
            <w:tcW w:w="5400" w:type="dxa"/>
            <w:vAlign w:val="bottom"/>
          </w:tcPr>
          <w:p>
            <w:pPr>
              <w:ind w:left="20"/>
              <w:spacing w:after="0"/>
              <w:rPr>
                <w:sz w:val="20"/>
                <w:szCs w:val="20"/>
                <w:color w:val="auto"/>
              </w:rPr>
            </w:pPr>
            <w:r>
              <w:rPr>
                <w:rFonts w:ascii="Arial" w:cs="Arial" w:eastAsia="Arial" w:hAnsi="Arial"/>
                <w:sz w:val="18"/>
                <w:szCs w:val="18"/>
                <w:color w:val="auto"/>
              </w:rPr>
              <w:t>Americas - Debt due to Avis Budget Rental Car Funding</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9,236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8,576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70"/>
        </w:trPr>
        <w:tc>
          <w:tcPr>
            <w:tcW w:w="5400" w:type="dxa"/>
            <w:vAlign w:val="bottom"/>
          </w:tcPr>
          <w:p>
            <w:pPr>
              <w:ind w:left="20"/>
              <w:spacing w:after="0"/>
              <w:rPr>
                <w:sz w:val="20"/>
                <w:szCs w:val="20"/>
                <w:color w:val="auto"/>
              </w:rPr>
            </w:pPr>
            <w:r>
              <w:rPr>
                <w:rFonts w:ascii="Arial" w:cs="Arial" w:eastAsia="Arial" w:hAnsi="Arial"/>
                <w:sz w:val="18"/>
                <w:szCs w:val="18"/>
                <w:color w:val="auto"/>
              </w:rPr>
              <w:t>Americas - Debt borrowings</w:t>
            </w: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0"/>
        </w:trPr>
        <w:tc>
          <w:tcPr>
            <w:tcW w:w="5400" w:type="dxa"/>
            <w:vAlign w:val="bottom"/>
          </w:tcPr>
          <w:p>
            <w:pPr>
              <w:ind w:left="20"/>
              <w:spacing w:after="0"/>
              <w:rPr>
                <w:sz w:val="20"/>
                <w:szCs w:val="20"/>
                <w:color w:val="auto"/>
              </w:rPr>
            </w:pPr>
            <w:r>
              <w:rPr>
                <w:rFonts w:ascii="Arial" w:cs="Arial" w:eastAsia="Arial" w:hAnsi="Arial"/>
                <w:sz w:val="18"/>
                <w:szCs w:val="18"/>
                <w:color w:val="auto"/>
              </w:rPr>
              <w:t>International - Debt borrowings</w:t>
            </w: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70"/>
        </w:trPr>
        <w:tc>
          <w:tcPr>
            <w:tcW w:w="5400" w:type="dxa"/>
            <w:vAlign w:val="bottom"/>
          </w:tcPr>
          <w:p>
            <w:pPr>
              <w:ind w:left="20"/>
              <w:spacing w:after="0"/>
              <w:rPr>
                <w:sz w:val="20"/>
                <w:szCs w:val="20"/>
                <w:color w:val="auto"/>
              </w:rPr>
            </w:pPr>
            <w:r>
              <w:rPr>
                <w:rFonts w:ascii="Arial" w:cs="Arial" w:eastAsia="Arial" w:hAnsi="Arial"/>
                <w:sz w:val="18"/>
                <w:szCs w:val="18"/>
                <w:color w:val="auto"/>
              </w:rPr>
              <w:t>International - Finance leases</w:t>
            </w: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5"/>
        </w:trPr>
        <w:tc>
          <w:tcPr>
            <w:tcW w:w="540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540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13,355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11,253</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Capacity is subject to maintaining sufficient assets to collateralize debt.</w:t>
      </w:r>
    </w:p>
    <w:p>
      <w:pPr>
        <w:ind w:left="820" w:hanging="326"/>
        <w:spacing w:after="0" w:line="204" w:lineRule="auto"/>
        <w:tabs>
          <w:tab w:leader="none" w:pos="82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vehicles and related assets of $9.9 billion for Americas - Debt due to Avis Budget Rental</w:t>
      </w:r>
    </w:p>
    <w:p>
      <w:pPr>
        <w:sectPr>
          <w:pgSz w:w="11900" w:h="16838" w:orient="portrait"/>
          <w:cols w:equalWidth="0" w:num="1">
            <w:col w:w="11380"/>
          </w:cols>
          <w:pgMar w:left="240" w:top="115" w:right="279" w:bottom="1440" w:gutter="0" w:footer="0" w:header="0"/>
          <w:type w:val="continuous"/>
        </w:sect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380"/>
          </w:cols>
          <w:pgMar w:left="240" w:top="115" w:right="27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Car Funding; $0.7 billion for Americas - Debt borrowings; $2.0 billion for International - Debt borrowings; and $0.2 billion for International - Finance leases.</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25" w:lineRule="exact"/>
        <w:rPr>
          <w:sz w:val="20"/>
          <w:szCs w:val="20"/>
          <w:color w:val="auto"/>
        </w:rPr>
      </w:pPr>
    </w:p>
    <w:p>
      <w:pPr>
        <w:ind w:left="500"/>
        <w:spacing w:after="0" w:line="260" w:lineRule="auto"/>
        <w:rPr>
          <w:sz w:val="20"/>
          <w:szCs w:val="20"/>
          <w:color w:val="auto"/>
        </w:rPr>
      </w:pPr>
      <w:r>
        <w:rPr>
          <w:rFonts w:ascii="Arial" w:cs="Arial" w:eastAsia="Arial" w:hAnsi="Arial"/>
          <w:sz w:val="18"/>
          <w:szCs w:val="18"/>
          <w:color w:val="auto"/>
        </w:rPr>
        <w:t>The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 require compliance with certain financial requirements. As of March 31, 2019, the Company is not aware of any instances of non-compliance with any of the financial covenants contained in the debt agreements under its vehicle-backed funding programs.</w:t>
      </w:r>
    </w:p>
    <w:p>
      <w:pPr>
        <w:spacing w:after="0" w:line="173" w:lineRule="exact"/>
        <w:rPr>
          <w:sz w:val="20"/>
          <w:szCs w:val="20"/>
          <w:color w:val="auto"/>
        </w:rPr>
      </w:pPr>
    </w:p>
    <w:p>
      <w:pPr>
        <w:ind w:left="500" w:right="8020" w:hanging="492"/>
        <w:spacing w:after="0" w:line="502" w:lineRule="auto"/>
        <w:tabs>
          <w:tab w:leader="none" w:pos="5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ind w:left="500" w:right="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2006, the Company completed the spin-offs of its Realogy and Wyndham subsidiaries. The Company does not believe that the impact of any resolution of pre-existing contingent liabilities in connection with the spin-offs should result in a material liability to the Company in relation to its consolidated financial position or liquidity, as Realogy and Wyndham each have agreed to assume responsibility for these liabilities. The Company is also named in litigation that is primarily related to the businesses of its former subsidiaries, including Realogy and Wyndham. The Company is entitled to indemnification from such entities for any liability resulting from such litigation.</w:t>
      </w:r>
    </w:p>
    <w:p>
      <w:pPr>
        <w:spacing w:after="0" w:line="160" w:lineRule="exact"/>
        <w:rPr>
          <w:rFonts w:ascii="Arial" w:cs="Arial" w:eastAsia="Arial" w:hAnsi="Arial"/>
          <w:sz w:val="18"/>
          <w:szCs w:val="18"/>
          <w:b w:val="1"/>
          <w:bCs w:val="1"/>
          <w:color w:val="auto"/>
        </w:rPr>
      </w:pPr>
    </w:p>
    <w:p>
      <w:pPr>
        <w:ind w:left="500" w:right="12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In February 2017, following a state court trial in Georgia, a jury found the Company liable for damages in a case brought by a plaintiff who was injured in a vehicle accident allegedly caused by an employee of an independent contractor of the Company who was acting outside of the scope of employment. In March 2017, the Company was also found liable for damages in a companion case arising from the same incident. The Company is appealing both verdicts and considers the attribution of liability to the Company, and the amount of damages awarded, to be unsupported by the facts of these cases. The Company has recognized a liability for the expected loss related to these cases, net of recoverable insurance proceeds, of approximately $12 million.</w:t>
      </w:r>
    </w:p>
    <w:p>
      <w:pPr>
        <w:spacing w:after="0" w:line="177" w:lineRule="exact"/>
        <w:rPr>
          <w:rFonts w:ascii="Arial" w:cs="Arial" w:eastAsia="Arial" w:hAnsi="Arial"/>
          <w:sz w:val="18"/>
          <w:szCs w:val="18"/>
          <w:b w:val="1"/>
          <w:bCs w:val="1"/>
          <w:color w:val="auto"/>
        </w:rPr>
      </w:pPr>
    </w:p>
    <w:p>
      <w:pPr>
        <w:ind w:left="50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is involved in claims, legal proceedings and governmental inquiries that are incidental to its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 Litigation is inherently unpredictable and, although the Company believes that its accruals are adequate and/or that it has valid defenses in these matters, unfavorable resolutions could occur. The Company estimates that the potential exposure resulting from adverse outcomes of legal proceedings in which it is reasonably possible that a loss may be incurred could, in the aggregate, be up to approximately $45 million in excess of amounts accrued as of March 31, 2019. The Company does not believe that the impact should result in a material liability to the Company in relation to its consolidated financial condition or results of operations.</w:t>
      </w:r>
    </w:p>
    <w:p>
      <w:pPr>
        <w:spacing w:after="0" w:line="17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Commitments to Purchase Vehicles</w:t>
      </w:r>
    </w:p>
    <w:p>
      <w:pPr>
        <w:spacing w:after="0" w:line="225" w:lineRule="exact"/>
        <w:rPr>
          <w:rFonts w:ascii="Arial" w:cs="Arial" w:eastAsia="Arial" w:hAnsi="Arial"/>
          <w:sz w:val="18"/>
          <w:szCs w:val="18"/>
          <w:b w:val="1"/>
          <w:bCs w:val="1"/>
          <w:color w:val="auto"/>
        </w:rPr>
      </w:pPr>
    </w:p>
    <w:p>
      <w:pPr>
        <w:ind w:left="50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maintains agreements with vehicle manufacturers under which the Company has agreed to purchase approximately $6.0 billion of vehicles from manufacturers over the next 12 months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16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Concentrations</w:t>
      </w:r>
    </w:p>
    <w:p>
      <w:pPr>
        <w:spacing w:after="0" w:line="225" w:lineRule="exact"/>
        <w:rPr>
          <w:rFonts w:ascii="Arial" w:cs="Arial" w:eastAsia="Arial" w:hAnsi="Arial"/>
          <w:sz w:val="18"/>
          <w:szCs w:val="18"/>
          <w:b w:val="1"/>
          <w:bCs w:val="1"/>
          <w:color w:val="auto"/>
        </w:rPr>
      </w:pPr>
    </w:p>
    <w:p>
      <w:pPr>
        <w:ind w:left="50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Concentrations of credit risk at March 31, 2019 include (i) risks related to the Company’s repurchase and guaranteed depreciation agreements with domestic and foreign car manufacturers, primarily with respect to receivables for program cars that have been disposed but for which the Company has not yet received payment from the manufacturers and (ii) risks related to Realogy and Wyndham, including receivables of</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15"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500"/>
        <w:spacing w:after="0" w:line="292" w:lineRule="auto"/>
        <w:rPr>
          <w:sz w:val="20"/>
          <w:szCs w:val="20"/>
          <w:color w:val="auto"/>
        </w:rPr>
      </w:pPr>
      <w:r>
        <w:rPr>
          <w:rFonts w:ascii="Arial" w:cs="Arial" w:eastAsia="Arial" w:hAnsi="Arial"/>
          <w:sz w:val="18"/>
          <w:szCs w:val="18"/>
          <w:color w:val="auto"/>
        </w:rPr>
        <w:t>$29 million and $18 million, respectively, related to certain contingent, income tax and other corporate liabilities assumed by Realogy and Wyndham in connection with their disposition.</w:t>
      </w:r>
    </w:p>
    <w:p>
      <w:pPr>
        <w:spacing w:after="0" w:line="143" w:lineRule="exact"/>
        <w:rPr>
          <w:sz w:val="20"/>
          <w:szCs w:val="20"/>
          <w:color w:val="auto"/>
        </w:rPr>
      </w:pPr>
    </w:p>
    <w:p>
      <w:pPr>
        <w:ind w:left="500" w:right="9100" w:hanging="492"/>
        <w:spacing w:after="0" w:line="531" w:lineRule="auto"/>
        <w:tabs>
          <w:tab w:leader="none" w:pos="50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Share Repurchases</w:t>
      </w:r>
    </w:p>
    <w:p>
      <w:pPr>
        <w:spacing w:after="0" w:line="1" w:lineRule="exact"/>
        <w:rPr>
          <w:rFonts w:ascii="Arial" w:cs="Arial" w:eastAsia="Arial" w:hAnsi="Arial"/>
          <w:sz w:val="17"/>
          <w:szCs w:val="17"/>
          <w:b w:val="1"/>
          <w:bCs w:val="1"/>
          <w:color w:val="auto"/>
        </w:rPr>
      </w:pPr>
    </w:p>
    <w:p>
      <w:pPr>
        <w:ind w:left="500" w:right="4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The Company’s Board of Directors has authorized the repurchase of up to $1.7 billion of its common stock under a plan originally approved in 2013 and subsequently expanded, most recently in August 2018. During the three months ended March 31, 2019 and 2018, the Company did not repurchase any shares of common stock under the program. As of March 31, 2019, approximately $150 million of authorization remains available to repurchase common stock under this plan.</w:t>
      </w:r>
    </w:p>
    <w:p>
      <w:pPr>
        <w:spacing w:after="0" w:line="169"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Total Comprehensive Income (Loss)</w:t>
      </w:r>
    </w:p>
    <w:p>
      <w:pPr>
        <w:spacing w:after="0" w:line="225" w:lineRule="exact"/>
        <w:rPr>
          <w:rFonts w:ascii="Arial" w:cs="Arial" w:eastAsia="Arial" w:hAnsi="Arial"/>
          <w:sz w:val="17"/>
          <w:szCs w:val="17"/>
          <w:b w:val="1"/>
          <w:bCs w:val="1"/>
          <w:color w:val="auto"/>
        </w:rPr>
      </w:pPr>
    </w:p>
    <w:p>
      <w:pPr>
        <w:ind w:left="500" w:right="140"/>
        <w:spacing w:after="0" w:line="292" w:lineRule="auto"/>
        <w:rPr>
          <w:rFonts w:ascii="Arial" w:cs="Arial" w:eastAsia="Arial" w:hAnsi="Arial"/>
          <w:sz w:val="17"/>
          <w:szCs w:val="17"/>
          <w:b w:val="1"/>
          <w:bCs w:val="1"/>
          <w:color w:val="auto"/>
        </w:rPr>
      </w:pPr>
      <w:r>
        <w:rPr>
          <w:rFonts w:ascii="Arial" w:cs="Arial" w:eastAsia="Arial" w:hAnsi="Arial"/>
          <w:sz w:val="18"/>
          <w:szCs w:val="18"/>
          <w:color w:val="auto"/>
        </w:rPr>
        <w:t>Comprehensive income (loss) consists of net income (loss) and other gains and losses affecting stockholders’ equity that, under GAAP, are excluded from net income (loss).</w:t>
      </w:r>
    </w:p>
    <w:p>
      <w:pPr>
        <w:spacing w:after="0" w:line="144"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color w:val="auto"/>
        </w:rPr>
        <w:t>The components of other comprehensive income (loss) were as follows:</w:t>
      </w:r>
    </w:p>
    <w:p>
      <w:pPr>
        <w:spacing w:after="0" w:line="169"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7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2"/>
        </w:trPr>
        <w:tc>
          <w:tcPr>
            <w:tcW w:w="73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0"/>
        </w:trPr>
        <w:tc>
          <w:tcPr>
            <w:tcW w:w="73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tcPr>
          <w:p>
            <w:pPr>
              <w:ind w:left="120"/>
              <w:spacing w:after="0"/>
              <w:rPr>
                <w:sz w:val="20"/>
                <w:szCs w:val="20"/>
                <w:color w:val="auto"/>
              </w:rPr>
            </w:pPr>
            <w:r>
              <w:rPr>
                <w:rFonts w:ascii="Arial" w:cs="Arial" w:eastAsia="Arial" w:hAnsi="Arial"/>
                <w:sz w:val="18"/>
                <w:szCs w:val="18"/>
                <w:color w:val="auto"/>
              </w:rPr>
              <w:t>Currency translation adjustments (net of tax of $(6) and $5, respectively)</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7320" w:type="dxa"/>
            <w:vAlign w:val="bottom"/>
          </w:tcPr>
          <w:p>
            <w:pPr>
              <w:ind w:left="120"/>
              <w:spacing w:after="0"/>
              <w:rPr>
                <w:sz w:val="20"/>
                <w:szCs w:val="20"/>
                <w:color w:val="auto"/>
              </w:rPr>
            </w:pPr>
            <w:r>
              <w:rPr>
                <w:rFonts w:ascii="Arial" w:cs="Arial" w:eastAsia="Arial" w:hAnsi="Arial"/>
                <w:sz w:val="18"/>
                <w:szCs w:val="18"/>
                <w:color w:val="auto"/>
              </w:rPr>
              <w:t>Net unrealized gain (loss) on cash flow hedges (net of tax of $3 and $(2), respectively)</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5"/>
        </w:trPr>
        <w:tc>
          <w:tcPr>
            <w:tcW w:w="7320" w:type="dxa"/>
            <w:vAlign w:val="bottom"/>
          </w:tcPr>
          <w:p>
            <w:pPr>
              <w:ind w:left="120"/>
              <w:spacing w:after="0"/>
              <w:rPr>
                <w:sz w:val="20"/>
                <w:szCs w:val="20"/>
                <w:color w:val="auto"/>
              </w:rPr>
            </w:pPr>
            <w:r>
              <w:rPr>
                <w:rFonts w:ascii="Arial" w:cs="Arial" w:eastAsia="Arial" w:hAnsi="Arial"/>
                <w:sz w:val="18"/>
                <w:szCs w:val="18"/>
                <w:color w:val="auto"/>
              </w:rPr>
              <w:t>Minimum pension liability adjustment (net of tax of $0 and $(1), respectively)</w:t>
            </w: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73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5"/>
        </w:trPr>
        <w:tc>
          <w:tcPr>
            <w:tcW w:w="73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20"/>
                <w:szCs w:val="20"/>
                <w:color w:val="auto"/>
              </w:rPr>
            </w:pPr>
            <w:r>
              <w:rPr>
                <w:rFonts w:ascii="Arial" w:cs="Arial" w:eastAsia="Arial" w:hAnsi="Arial"/>
                <w:sz w:val="14"/>
                <w:szCs w:val="14"/>
                <w:color w:val="auto"/>
              </w:rPr>
              <w:t>Currency translation adjustments exclude income taxes related to indefinite investments in foreign subsidiaries.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7320" w:type="dxa"/>
            <w:vAlign w:val="bottom"/>
          </w:tcPr>
          <w:p>
            <w:pPr>
              <w:ind w:left="512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15"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(loss) were as follows:</w:t>
      </w:r>
    </w:p>
    <w:p>
      <w:pPr>
        <w:spacing w:after="0" w:line="156"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1140" w:type="dxa"/>
            <w:vAlign w:val="bottom"/>
            <w:vMerge w:val="restart"/>
          </w:tcPr>
          <w:p>
            <w:pPr>
              <w:jc w:val="center"/>
              <w:ind w:left="217"/>
              <w:spacing w:after="0"/>
              <w:rPr>
                <w:sz w:val="20"/>
                <w:szCs w:val="20"/>
                <w:color w:val="auto"/>
              </w:rPr>
            </w:pPr>
            <w:r>
              <w:rPr>
                <w:rFonts w:ascii="Arial" w:cs="Arial" w:eastAsia="Arial" w:hAnsi="Arial"/>
                <w:sz w:val="13"/>
                <w:szCs w:val="13"/>
                <w:b w:val="1"/>
                <w:bCs w:val="1"/>
                <w:color w:val="auto"/>
                <w:w w:val="94"/>
              </w:rPr>
              <w:t>Currency</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left="177"/>
              <w:spacing w:after="0"/>
              <w:rPr>
                <w:sz w:val="20"/>
                <w:szCs w:val="20"/>
                <w:color w:val="auto"/>
              </w:rPr>
            </w:pPr>
            <w:r>
              <w:rPr>
                <w:rFonts w:ascii="Arial" w:cs="Arial" w:eastAsia="Arial" w:hAnsi="Arial"/>
                <w:sz w:val="13"/>
                <w:szCs w:val="13"/>
                <w:b w:val="1"/>
                <w:bCs w:val="1"/>
                <w:color w:val="auto"/>
                <w:w w:val="95"/>
              </w:rPr>
              <w:t>Net Unrealized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6"/>
              </w:rPr>
              <w:t>Net Unrealized Gains</w:t>
            </w: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Minimum</w:t>
            </w:r>
          </w:p>
        </w:tc>
        <w:tc>
          <w:tcPr>
            <w:tcW w:w="160" w:type="dxa"/>
            <w:vAlign w:val="bottom"/>
          </w:tcPr>
          <w:p>
            <w:pPr>
              <w:spacing w:after="0"/>
              <w:rPr>
                <w:sz w:val="13"/>
                <w:szCs w:val="13"/>
                <w:color w:val="auto"/>
              </w:rPr>
            </w:pPr>
          </w:p>
        </w:tc>
        <w:tc>
          <w:tcPr>
            <w:tcW w:w="1260" w:type="dxa"/>
            <w:vAlign w:val="bottom"/>
          </w:tcPr>
          <w:p>
            <w:pPr>
              <w:jc w:val="center"/>
              <w:ind w:right="97"/>
              <w:spacing w:after="0"/>
              <w:rPr>
                <w:sz w:val="20"/>
                <w:szCs w:val="20"/>
                <w:color w:val="auto"/>
              </w:rPr>
            </w:pPr>
            <w:r>
              <w:rPr>
                <w:rFonts w:ascii="Arial" w:cs="Arial" w:eastAsia="Arial" w:hAnsi="Arial"/>
                <w:sz w:val="13"/>
                <w:szCs w:val="13"/>
                <w:b w:val="1"/>
                <w:bCs w:val="1"/>
                <w:color w:val="auto"/>
                <w:w w:val="95"/>
              </w:rPr>
              <w:t>Accumulated</w:t>
            </w: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left="177"/>
              <w:spacing w:after="0" w:line="135" w:lineRule="exact"/>
              <w:rPr>
                <w:sz w:val="20"/>
                <w:szCs w:val="20"/>
                <w:color w:val="auto"/>
              </w:rPr>
            </w:pPr>
            <w:r>
              <w:rPr>
                <w:rFonts w:ascii="Arial" w:cs="Arial" w:eastAsia="Arial" w:hAnsi="Arial"/>
                <w:sz w:val="13"/>
                <w:szCs w:val="13"/>
                <w:b w:val="1"/>
                <w:bCs w:val="1"/>
                <w:color w:val="auto"/>
                <w:w w:val="96"/>
              </w:rPr>
              <w:t>Gains (Losses)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8"/>
              </w:rPr>
              <w:t>Pension</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140" w:type="dxa"/>
            <w:vAlign w:val="bottom"/>
          </w:tcPr>
          <w:p>
            <w:pPr>
              <w:jc w:val="center"/>
              <w:ind w:left="217"/>
              <w:spacing w:after="0" w:line="135" w:lineRule="exact"/>
              <w:rPr>
                <w:sz w:val="20"/>
                <w:szCs w:val="20"/>
                <w:color w:val="auto"/>
              </w:rPr>
            </w:pPr>
            <w:r>
              <w:rPr>
                <w:rFonts w:ascii="Arial" w:cs="Arial" w:eastAsia="Arial" w:hAnsi="Arial"/>
                <w:sz w:val="13"/>
                <w:szCs w:val="13"/>
                <w:b w:val="1"/>
                <w:bCs w:val="1"/>
                <w:color w:val="auto"/>
                <w:w w:val="94"/>
              </w:rPr>
              <w:t>Translation</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left="177"/>
              <w:spacing w:after="0" w:line="135" w:lineRule="exact"/>
              <w:rPr>
                <w:sz w:val="20"/>
                <w:szCs w:val="20"/>
                <w:color w:val="auto"/>
              </w:rPr>
            </w:pPr>
            <w:r>
              <w:rPr>
                <w:rFonts w:ascii="Arial" w:cs="Arial" w:eastAsia="Arial" w:hAnsi="Arial"/>
                <w:sz w:val="13"/>
                <w:szCs w:val="13"/>
                <w:b w:val="1"/>
                <w:bCs w:val="1"/>
                <w:color w:val="auto"/>
                <w:w w:val="96"/>
              </w:rPr>
              <w:t>on Cash Flow</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(Losses) on Available-</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3"/>
              </w:rPr>
              <w:t>Liability</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82"/>
        </w:trPr>
        <w:tc>
          <w:tcPr>
            <w:tcW w:w="2660" w:type="dxa"/>
            <w:vAlign w:val="bottom"/>
          </w:tcPr>
          <w:p>
            <w:pPr>
              <w:spacing w:after="0"/>
              <w:rPr>
                <w:sz w:val="15"/>
                <w:szCs w:val="15"/>
                <w:color w:val="auto"/>
              </w:rPr>
            </w:pPr>
          </w:p>
        </w:tc>
        <w:tc>
          <w:tcPr>
            <w:tcW w:w="1140" w:type="dxa"/>
            <w:vAlign w:val="bottom"/>
            <w:tcBorders>
              <w:bottom w:val="single" w:sz="8" w:color="auto"/>
            </w:tcBorders>
          </w:tcPr>
          <w:p>
            <w:pPr>
              <w:jc w:val="center"/>
              <w:ind w:left="217"/>
              <w:spacing w:after="0"/>
              <w:rPr>
                <w:sz w:val="20"/>
                <w:szCs w:val="20"/>
                <w:color w:val="auto"/>
              </w:rPr>
            </w:pPr>
            <w:r>
              <w:rPr>
                <w:rFonts w:ascii="Arial" w:cs="Arial" w:eastAsia="Arial" w:hAnsi="Arial"/>
                <w:sz w:val="13"/>
                <w:szCs w:val="13"/>
                <w:b w:val="1"/>
                <w:bCs w:val="1"/>
                <w:color w:val="auto"/>
                <w:w w:val="99"/>
              </w:rPr>
              <w:t>Adjustments</w:t>
            </w: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center"/>
              <w:ind w:left="177"/>
              <w:spacing w:after="0"/>
              <w:rPr>
                <w:sz w:val="20"/>
                <w:szCs w:val="20"/>
                <w:color w:val="auto"/>
              </w:rPr>
            </w:pPr>
            <w:r>
              <w:rPr>
                <w:rFonts w:ascii="Arial" w:cs="Arial" w:eastAsia="Arial" w:hAnsi="Arial"/>
                <w:sz w:val="13"/>
                <w:szCs w:val="13"/>
                <w:b w:val="1"/>
                <w:bCs w:val="1"/>
                <w:color w:val="auto"/>
              </w:rPr>
              <w:t>Hedges</w:t>
            </w:r>
            <w:r>
              <w:rPr>
                <w:rFonts w:ascii="Arial" w:cs="Arial" w:eastAsia="Arial" w:hAnsi="Arial"/>
                <w:sz w:val="8"/>
                <w:szCs w:val="8"/>
                <w:b w:val="1"/>
                <w:bCs w:val="1"/>
                <w:color w:val="auto"/>
              </w:rPr>
              <w:t>(a)</w:t>
            </w:r>
          </w:p>
        </w:tc>
        <w:tc>
          <w:tcPr>
            <w:tcW w:w="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for Sale Securities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rPr>
              <w:t>Adjustment</w:t>
            </w:r>
            <w:r>
              <w:rPr>
                <w:rFonts w:ascii="Arial" w:cs="Arial" w:eastAsia="Arial" w:hAnsi="Arial"/>
                <w:sz w:val="8"/>
                <w:szCs w:val="8"/>
                <w:b w:val="1"/>
                <w:bCs w:val="1"/>
                <w:color w:val="auto"/>
              </w:rPr>
              <w:t>(b)</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7"/>
              </w:rPr>
              <w:t>Income (Loss)</w:t>
            </w:r>
          </w:p>
        </w:tc>
        <w:tc>
          <w:tcPr>
            <w:tcW w:w="0" w:type="dxa"/>
            <w:vAlign w:val="bottom"/>
          </w:tcPr>
          <w:p>
            <w:pPr>
              <w:spacing w:after="0"/>
              <w:rPr>
                <w:sz w:val="1"/>
                <w:szCs w:val="1"/>
                <w:color w:val="auto"/>
              </w:rPr>
            </w:pPr>
          </w:p>
        </w:tc>
      </w:tr>
      <w:tr>
        <w:trPr>
          <w:trHeight w:val="240"/>
        </w:trPr>
        <w:tc>
          <w:tcPr>
            <w:tcW w:w="2660" w:type="dxa"/>
            <w:vAlign w:val="bottom"/>
          </w:tcPr>
          <w:p>
            <w:pPr>
              <w:ind w:left="20"/>
              <w:spacing w:after="0"/>
              <w:rPr>
                <w:sz w:val="20"/>
                <w:szCs w:val="20"/>
                <w:color w:val="auto"/>
              </w:rPr>
            </w:pPr>
            <w:r>
              <w:rPr>
                <w:rFonts w:ascii="Arial" w:cs="Arial" w:eastAsia="Arial" w:hAnsi="Arial"/>
                <w:sz w:val="13"/>
                <w:szCs w:val="13"/>
                <w:color w:val="auto"/>
              </w:rPr>
              <w:t>Balance, December 31, 2018</w:t>
            </w:r>
          </w:p>
        </w:tc>
        <w:tc>
          <w:tcPr>
            <w:tcW w:w="1140" w:type="dxa"/>
            <w:vAlign w:val="bottom"/>
          </w:tcPr>
          <w:p>
            <w:pPr>
              <w:jc w:val="right"/>
              <w:ind w:right="977"/>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0"/>
                <w:szCs w:val="20"/>
                <w:color w:val="auto"/>
              </w:rPr>
            </w:pPr>
          </w:p>
        </w:tc>
        <w:tc>
          <w:tcPr>
            <w:tcW w:w="1180" w:type="dxa"/>
            <w:vAlign w:val="bottom"/>
          </w:tcPr>
          <w:p>
            <w:pPr>
              <w:jc w:val="right"/>
              <w:ind w:right="1017"/>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(132)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278"/>
        </w:trPr>
        <w:tc>
          <w:tcPr>
            <w:tcW w:w="2660" w:type="dxa"/>
            <w:vAlign w:val="bottom"/>
          </w:tcPr>
          <w:p>
            <w:pPr>
              <w:ind w:left="120"/>
              <w:spacing w:after="0"/>
              <w:rPr>
                <w:sz w:val="20"/>
                <w:szCs w:val="20"/>
                <w:color w:val="auto"/>
              </w:rPr>
            </w:pPr>
            <w:r>
              <w:rPr>
                <w:rFonts w:ascii="Arial" w:cs="Arial" w:eastAsia="Arial" w:hAnsi="Arial"/>
                <w:sz w:val="13"/>
                <w:szCs w:val="13"/>
                <w:color w:val="auto"/>
              </w:rPr>
              <w:t xml:space="preserve">Cumulative effect of accounting change </w:t>
            </w:r>
            <w:r>
              <w:rPr>
                <w:rFonts w:ascii="Arial" w:cs="Arial" w:eastAsia="Arial" w:hAnsi="Arial"/>
                <w:sz w:val="8"/>
                <w:szCs w:val="8"/>
                <w:b w:val="1"/>
                <w:bCs w:val="1"/>
                <w:color w:val="auto"/>
              </w:rPr>
              <w:t>(c)</w:t>
            </w: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50"/>
        </w:trPr>
        <w:tc>
          <w:tcPr>
            <w:tcW w:w="2660" w:type="dxa"/>
            <w:vAlign w:val="bottom"/>
          </w:tcPr>
          <w:p>
            <w:pPr>
              <w:ind w:left="20"/>
              <w:spacing w:after="0"/>
              <w:rPr>
                <w:sz w:val="20"/>
                <w:szCs w:val="20"/>
                <w:color w:val="auto"/>
              </w:rPr>
            </w:pPr>
            <w:r>
              <w:rPr>
                <w:rFonts w:ascii="Arial" w:cs="Arial" w:eastAsia="Arial" w:hAnsi="Arial"/>
                <w:sz w:val="13"/>
                <w:szCs w:val="13"/>
                <w:color w:val="auto"/>
              </w:rPr>
              <w:t>Balance, January 1, 2019</w:t>
            </w:r>
          </w:p>
        </w:tc>
        <w:tc>
          <w:tcPr>
            <w:tcW w:w="1140" w:type="dxa"/>
            <w:vAlign w:val="bottom"/>
            <w:tcBorders>
              <w:bottom w:val="single" w:sz="8" w:color="auto"/>
            </w:tcBorders>
          </w:tcPr>
          <w:p>
            <w:pPr>
              <w:jc w:val="right"/>
              <w:ind w:right="977"/>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1"/>
                <w:szCs w:val="21"/>
                <w:color w:val="auto"/>
              </w:rPr>
            </w:pPr>
          </w:p>
        </w:tc>
        <w:tc>
          <w:tcPr>
            <w:tcW w:w="1180" w:type="dxa"/>
            <w:vAlign w:val="bottom"/>
            <w:tcBorders>
              <w:bottom w:val="single" w:sz="8" w:color="auto"/>
            </w:tcBorders>
          </w:tcPr>
          <w:p>
            <w:pPr>
              <w:jc w:val="right"/>
              <w:ind w:right="101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27"/>
        </w:trPr>
        <w:tc>
          <w:tcPr>
            <w:tcW w:w="2660" w:type="dxa"/>
            <w:vAlign w:val="bottom"/>
          </w:tcPr>
          <w:p>
            <w:pPr>
              <w:ind w:left="120"/>
              <w:spacing w:after="0" w:line="127" w:lineRule="exact"/>
              <w:rPr>
                <w:sz w:val="20"/>
                <w:szCs w:val="20"/>
                <w:color w:val="auto"/>
              </w:rPr>
            </w:pPr>
            <w:r>
              <w:rPr>
                <w:rFonts w:ascii="Arial" w:cs="Arial" w:eastAsia="Arial" w:hAnsi="Arial"/>
                <w:sz w:val="13"/>
                <w:szCs w:val="13"/>
                <w:color w:val="auto"/>
              </w:rPr>
              <w:t>Other comprehensive income (loss) before</w:t>
            </w:r>
          </w:p>
        </w:tc>
        <w:tc>
          <w:tcPr>
            <w:tcW w:w="1140" w:type="dxa"/>
            <w:vAlign w:val="bottom"/>
          </w:tcPr>
          <w:p>
            <w:pPr>
              <w:spacing w:after="0"/>
              <w:rPr>
                <w:sz w:val="11"/>
                <w:szCs w:val="11"/>
                <w:color w:val="auto"/>
              </w:rPr>
            </w:pPr>
          </w:p>
        </w:tc>
        <w:tc>
          <w:tcPr>
            <w:tcW w:w="280" w:type="dxa"/>
            <w:vAlign w:val="bottom"/>
            <w:vMerge w:val="restart"/>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220" w:type="dxa"/>
            <w:vAlign w:val="bottom"/>
            <w:vMerge w:val="restart"/>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0"/>
        </w:trPr>
        <w:tc>
          <w:tcPr>
            <w:tcW w:w="2660" w:type="dxa"/>
            <w:vAlign w:val="bottom"/>
          </w:tcPr>
          <w:p>
            <w:pPr>
              <w:ind w:left="300"/>
              <w:spacing w:after="0"/>
              <w:rPr>
                <w:sz w:val="20"/>
                <w:szCs w:val="20"/>
                <w:color w:val="auto"/>
              </w:rPr>
            </w:pPr>
            <w:r>
              <w:rPr>
                <w:rFonts w:ascii="Arial" w:cs="Arial" w:eastAsia="Arial" w:hAnsi="Arial"/>
                <w:sz w:val="13"/>
                <w:szCs w:val="13"/>
                <w:color w:val="auto"/>
              </w:rPr>
              <w:t>reclassifications</w:t>
            </w:r>
          </w:p>
        </w:tc>
        <w:tc>
          <w:tcPr>
            <w:tcW w:w="114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660" w:type="dxa"/>
            <w:vAlign w:val="bottom"/>
          </w:tcPr>
          <w:p>
            <w:pPr>
              <w:ind w:left="120"/>
              <w:spacing w:after="0"/>
              <w:rPr>
                <w:sz w:val="20"/>
                <w:szCs w:val="20"/>
                <w:color w:val="auto"/>
              </w:rPr>
            </w:pPr>
            <w:r>
              <w:rPr>
                <w:rFonts w:ascii="Arial" w:cs="Arial" w:eastAsia="Arial" w:hAnsi="Arial"/>
                <w:sz w:val="13"/>
                <w:szCs w:val="13"/>
                <w:color w:val="auto"/>
              </w:rPr>
              <w:t>Amounts reclassified from accumulated</w:t>
            </w:r>
          </w:p>
        </w:tc>
        <w:tc>
          <w:tcPr>
            <w:tcW w:w="1140" w:type="dxa"/>
            <w:vAlign w:val="bottom"/>
          </w:tcPr>
          <w:p>
            <w:pPr>
              <w:spacing w:after="0"/>
              <w:rPr>
                <w:sz w:val="13"/>
                <w:szCs w:val="13"/>
                <w:color w:val="auto"/>
              </w:rPr>
            </w:pPr>
          </w:p>
        </w:tc>
        <w:tc>
          <w:tcPr>
            <w:tcW w:w="2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vMerge w:val="restart"/>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2660" w:type="dxa"/>
            <w:vAlign w:val="bottom"/>
          </w:tcPr>
          <w:p>
            <w:pPr>
              <w:ind w:left="300"/>
              <w:spacing w:after="0"/>
              <w:rPr>
                <w:sz w:val="20"/>
                <w:szCs w:val="20"/>
                <w:color w:val="auto"/>
              </w:rPr>
            </w:pPr>
            <w:r>
              <w:rPr>
                <w:rFonts w:ascii="Arial" w:cs="Arial" w:eastAsia="Arial" w:hAnsi="Arial"/>
                <w:sz w:val="13"/>
                <w:szCs w:val="13"/>
                <w:color w:val="auto"/>
              </w:rPr>
              <w:t>other comprehensive income (loss)</w:t>
            </w:r>
          </w:p>
        </w:tc>
        <w:tc>
          <w:tcPr>
            <w:tcW w:w="1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660" w:type="dxa"/>
            <w:vAlign w:val="bottom"/>
          </w:tcPr>
          <w:p>
            <w:pPr>
              <w:ind w:left="20"/>
              <w:spacing w:after="0" w:line="127" w:lineRule="exact"/>
              <w:rPr>
                <w:sz w:val="20"/>
                <w:szCs w:val="20"/>
                <w:color w:val="auto"/>
              </w:rPr>
            </w:pPr>
            <w:r>
              <w:rPr>
                <w:rFonts w:ascii="Arial" w:cs="Arial" w:eastAsia="Arial" w:hAnsi="Arial"/>
                <w:sz w:val="13"/>
                <w:szCs w:val="13"/>
                <w:color w:val="auto"/>
              </w:rPr>
              <w:t>Net current-period other comprehensive</w:t>
            </w:r>
          </w:p>
        </w:tc>
        <w:tc>
          <w:tcPr>
            <w:tcW w:w="1140" w:type="dxa"/>
            <w:vAlign w:val="bottom"/>
          </w:tcPr>
          <w:p>
            <w:pPr>
              <w:spacing w:after="0"/>
              <w:rPr>
                <w:sz w:val="11"/>
                <w:szCs w:val="11"/>
                <w:color w:val="auto"/>
              </w:rPr>
            </w:pPr>
          </w:p>
        </w:tc>
        <w:tc>
          <w:tcPr>
            <w:tcW w:w="280" w:type="dxa"/>
            <w:vAlign w:val="bottom"/>
            <w:vMerge w:val="restart"/>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restart"/>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8"/>
        </w:trPr>
        <w:tc>
          <w:tcPr>
            <w:tcW w:w="266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1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3"/>
                <w:szCs w:val="13"/>
                <w:color w:val="auto"/>
              </w:rPr>
              <w:t>Balance, March 31, 2019</w:t>
            </w:r>
          </w:p>
        </w:tc>
        <w:tc>
          <w:tcPr>
            <w:tcW w:w="1140" w:type="dxa"/>
            <w:vAlign w:val="bottom"/>
          </w:tcPr>
          <w:p>
            <w:pPr>
              <w:jc w:val="right"/>
              <w:ind w:right="977"/>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180" w:type="dxa"/>
            <w:vAlign w:val="bottom"/>
          </w:tcPr>
          <w:p>
            <w:pPr>
              <w:jc w:val="right"/>
              <w:ind w:right="1017"/>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660" w:type="dxa"/>
            <w:vAlign w:val="bottom"/>
          </w:tcPr>
          <w:p>
            <w:pPr>
              <w:ind w:left="20"/>
              <w:spacing w:after="0"/>
              <w:rPr>
                <w:sz w:val="20"/>
                <w:szCs w:val="20"/>
                <w:color w:val="auto"/>
              </w:rPr>
            </w:pPr>
            <w:r>
              <w:rPr>
                <w:rFonts w:ascii="Arial" w:cs="Arial" w:eastAsia="Arial" w:hAnsi="Arial"/>
                <w:sz w:val="13"/>
                <w:szCs w:val="13"/>
                <w:color w:val="auto"/>
              </w:rPr>
              <w:t>Balance, December 31, 2017</w:t>
            </w:r>
          </w:p>
        </w:tc>
        <w:tc>
          <w:tcPr>
            <w:tcW w:w="1140" w:type="dxa"/>
            <w:vAlign w:val="bottom"/>
          </w:tcPr>
          <w:p>
            <w:pPr>
              <w:jc w:val="right"/>
              <w:ind w:right="977"/>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24"/>
                <w:szCs w:val="24"/>
                <w:color w:val="auto"/>
              </w:rPr>
            </w:pPr>
          </w:p>
        </w:tc>
        <w:tc>
          <w:tcPr>
            <w:tcW w:w="1180" w:type="dxa"/>
            <w:vAlign w:val="bottom"/>
          </w:tcPr>
          <w:p>
            <w:pPr>
              <w:jc w:val="right"/>
              <w:ind w:right="1017"/>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78"/>
        </w:trPr>
        <w:tc>
          <w:tcPr>
            <w:tcW w:w="2660" w:type="dxa"/>
            <w:vAlign w:val="bottom"/>
          </w:tcPr>
          <w:p>
            <w:pPr>
              <w:ind w:left="120"/>
              <w:spacing w:after="0"/>
              <w:rPr>
                <w:sz w:val="20"/>
                <w:szCs w:val="20"/>
                <w:color w:val="auto"/>
              </w:rPr>
            </w:pPr>
            <w:r>
              <w:rPr>
                <w:rFonts w:ascii="Arial" w:cs="Arial" w:eastAsia="Arial" w:hAnsi="Arial"/>
                <w:sz w:val="13"/>
                <w:szCs w:val="13"/>
                <w:color w:val="auto"/>
              </w:rPr>
              <w:t>Cumulative effect of accounting change</w:t>
            </w: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50"/>
        </w:trPr>
        <w:tc>
          <w:tcPr>
            <w:tcW w:w="2660" w:type="dxa"/>
            <w:vAlign w:val="bottom"/>
          </w:tcPr>
          <w:p>
            <w:pPr>
              <w:ind w:left="20"/>
              <w:spacing w:after="0"/>
              <w:rPr>
                <w:sz w:val="20"/>
                <w:szCs w:val="20"/>
                <w:color w:val="auto"/>
              </w:rPr>
            </w:pPr>
            <w:r>
              <w:rPr>
                <w:rFonts w:ascii="Arial" w:cs="Arial" w:eastAsia="Arial" w:hAnsi="Arial"/>
                <w:sz w:val="13"/>
                <w:szCs w:val="13"/>
                <w:color w:val="auto"/>
              </w:rPr>
              <w:t>Balance, January 1, 2018</w:t>
            </w:r>
          </w:p>
        </w:tc>
        <w:tc>
          <w:tcPr>
            <w:tcW w:w="1140" w:type="dxa"/>
            <w:vAlign w:val="bottom"/>
            <w:tcBorders>
              <w:bottom w:val="single" w:sz="8" w:color="auto"/>
            </w:tcBorders>
          </w:tcPr>
          <w:p>
            <w:pPr>
              <w:jc w:val="right"/>
              <w:ind w:right="977"/>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21"/>
                <w:szCs w:val="21"/>
                <w:color w:val="auto"/>
              </w:rPr>
            </w:pPr>
          </w:p>
        </w:tc>
        <w:tc>
          <w:tcPr>
            <w:tcW w:w="1180" w:type="dxa"/>
            <w:vAlign w:val="bottom"/>
            <w:tcBorders>
              <w:bottom w:val="single" w:sz="8" w:color="auto"/>
            </w:tcBorders>
          </w:tcPr>
          <w:p>
            <w:pPr>
              <w:jc w:val="right"/>
              <w:ind w:right="101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27"/>
        </w:trPr>
        <w:tc>
          <w:tcPr>
            <w:tcW w:w="2660" w:type="dxa"/>
            <w:vAlign w:val="bottom"/>
          </w:tcPr>
          <w:p>
            <w:pPr>
              <w:ind w:left="120"/>
              <w:spacing w:after="0" w:line="127" w:lineRule="exact"/>
              <w:rPr>
                <w:sz w:val="20"/>
                <w:szCs w:val="20"/>
                <w:color w:val="auto"/>
              </w:rPr>
            </w:pPr>
            <w:r>
              <w:rPr>
                <w:rFonts w:ascii="Arial" w:cs="Arial" w:eastAsia="Arial" w:hAnsi="Arial"/>
                <w:sz w:val="13"/>
                <w:szCs w:val="13"/>
                <w:color w:val="auto"/>
              </w:rPr>
              <w:t>Other comprehensive income (loss) before</w:t>
            </w:r>
          </w:p>
        </w:tc>
        <w:tc>
          <w:tcPr>
            <w:tcW w:w="1140" w:type="dxa"/>
            <w:vAlign w:val="bottom"/>
          </w:tcPr>
          <w:p>
            <w:pPr>
              <w:spacing w:after="0"/>
              <w:rPr>
                <w:sz w:val="11"/>
                <w:szCs w:val="11"/>
                <w:color w:val="auto"/>
              </w:rPr>
            </w:pPr>
          </w:p>
        </w:tc>
        <w:tc>
          <w:tcPr>
            <w:tcW w:w="280" w:type="dxa"/>
            <w:vAlign w:val="bottom"/>
            <w:vMerge w:val="restart"/>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vMerge w:val="restart"/>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60" w:type="dxa"/>
            <w:vAlign w:val="bottom"/>
            <w:vMerge w:val="restart"/>
          </w:tcPr>
          <w:p>
            <w:pPr>
              <w:jc w:val="right"/>
              <w:ind w:right="17"/>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70"/>
        </w:trPr>
        <w:tc>
          <w:tcPr>
            <w:tcW w:w="2660" w:type="dxa"/>
            <w:vAlign w:val="bottom"/>
          </w:tcPr>
          <w:p>
            <w:pPr>
              <w:ind w:left="300"/>
              <w:spacing w:after="0"/>
              <w:rPr>
                <w:sz w:val="20"/>
                <w:szCs w:val="20"/>
                <w:color w:val="auto"/>
              </w:rPr>
            </w:pPr>
            <w:r>
              <w:rPr>
                <w:rFonts w:ascii="Arial" w:cs="Arial" w:eastAsia="Arial" w:hAnsi="Arial"/>
                <w:sz w:val="13"/>
                <w:szCs w:val="13"/>
                <w:color w:val="auto"/>
              </w:rPr>
              <w:t>reclassifications</w:t>
            </w:r>
          </w:p>
        </w:tc>
        <w:tc>
          <w:tcPr>
            <w:tcW w:w="114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660" w:type="dxa"/>
            <w:vAlign w:val="bottom"/>
          </w:tcPr>
          <w:p>
            <w:pPr>
              <w:ind w:left="120"/>
              <w:spacing w:after="0"/>
              <w:rPr>
                <w:sz w:val="20"/>
                <w:szCs w:val="20"/>
                <w:color w:val="auto"/>
              </w:rPr>
            </w:pPr>
            <w:r>
              <w:rPr>
                <w:rFonts w:ascii="Arial" w:cs="Arial" w:eastAsia="Arial" w:hAnsi="Arial"/>
                <w:sz w:val="13"/>
                <w:szCs w:val="13"/>
                <w:color w:val="auto"/>
              </w:rPr>
              <w:t>Amounts reclassified from accumulated</w:t>
            </w:r>
          </w:p>
        </w:tc>
        <w:tc>
          <w:tcPr>
            <w:tcW w:w="1140" w:type="dxa"/>
            <w:vAlign w:val="bottom"/>
          </w:tcPr>
          <w:p>
            <w:pPr>
              <w:spacing w:after="0"/>
              <w:rPr>
                <w:sz w:val="13"/>
                <w:szCs w:val="13"/>
                <w:color w:val="auto"/>
              </w:rPr>
            </w:pPr>
          </w:p>
        </w:tc>
        <w:tc>
          <w:tcPr>
            <w:tcW w:w="2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vMerge w:val="restart"/>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vMerge w:val="restart"/>
          </w:tcPr>
          <w:p>
            <w:pPr>
              <w:jc w:val="right"/>
              <w:ind w:right="1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8"/>
        </w:trPr>
        <w:tc>
          <w:tcPr>
            <w:tcW w:w="2660" w:type="dxa"/>
            <w:vAlign w:val="bottom"/>
          </w:tcPr>
          <w:p>
            <w:pPr>
              <w:ind w:left="300"/>
              <w:spacing w:after="0"/>
              <w:rPr>
                <w:sz w:val="20"/>
                <w:szCs w:val="20"/>
                <w:color w:val="auto"/>
              </w:rPr>
            </w:pPr>
            <w:r>
              <w:rPr>
                <w:rFonts w:ascii="Arial" w:cs="Arial" w:eastAsia="Arial" w:hAnsi="Arial"/>
                <w:sz w:val="13"/>
                <w:szCs w:val="13"/>
                <w:color w:val="auto"/>
              </w:rPr>
              <w:t>other comprehensive income (loss)</w:t>
            </w:r>
          </w:p>
        </w:tc>
        <w:tc>
          <w:tcPr>
            <w:tcW w:w="1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660" w:type="dxa"/>
            <w:vAlign w:val="bottom"/>
          </w:tcPr>
          <w:p>
            <w:pPr>
              <w:ind w:left="20"/>
              <w:spacing w:after="0" w:line="127" w:lineRule="exact"/>
              <w:rPr>
                <w:sz w:val="20"/>
                <w:szCs w:val="20"/>
                <w:color w:val="auto"/>
              </w:rPr>
            </w:pPr>
            <w:r>
              <w:rPr>
                <w:rFonts w:ascii="Arial" w:cs="Arial" w:eastAsia="Arial" w:hAnsi="Arial"/>
                <w:sz w:val="13"/>
                <w:szCs w:val="13"/>
                <w:color w:val="auto"/>
              </w:rPr>
              <w:t>Net current-period other comprehensive</w:t>
            </w:r>
          </w:p>
        </w:tc>
        <w:tc>
          <w:tcPr>
            <w:tcW w:w="1140" w:type="dxa"/>
            <w:vAlign w:val="bottom"/>
          </w:tcPr>
          <w:p>
            <w:pPr>
              <w:spacing w:after="0"/>
              <w:rPr>
                <w:sz w:val="11"/>
                <w:szCs w:val="11"/>
                <w:color w:val="auto"/>
              </w:rPr>
            </w:pPr>
          </w:p>
        </w:tc>
        <w:tc>
          <w:tcPr>
            <w:tcW w:w="280" w:type="dxa"/>
            <w:vAlign w:val="bottom"/>
            <w:vMerge w:val="restart"/>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vMerge w:val="restart"/>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restart"/>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vMerge w:val="restart"/>
          </w:tcPr>
          <w:p>
            <w:pPr>
              <w:jc w:val="right"/>
              <w:ind w:right="17"/>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78"/>
        </w:trPr>
        <w:tc>
          <w:tcPr>
            <w:tcW w:w="266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1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3"/>
                <w:szCs w:val="13"/>
                <w:color w:val="auto"/>
              </w:rPr>
              <w:t>Balance, March 31, 2018</w:t>
            </w:r>
          </w:p>
        </w:tc>
        <w:tc>
          <w:tcPr>
            <w:tcW w:w="1140" w:type="dxa"/>
            <w:vAlign w:val="bottom"/>
          </w:tcPr>
          <w:p>
            <w:pPr>
              <w:jc w:val="right"/>
              <w:ind w:right="977"/>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79</w:t>
            </w:r>
          </w:p>
        </w:tc>
        <w:tc>
          <w:tcPr>
            <w:tcW w:w="120" w:type="dxa"/>
            <w:vAlign w:val="bottom"/>
          </w:tcPr>
          <w:p>
            <w:pPr>
              <w:spacing w:after="0"/>
              <w:rPr>
                <w:sz w:val="21"/>
                <w:szCs w:val="21"/>
                <w:color w:val="auto"/>
              </w:rPr>
            </w:pPr>
          </w:p>
        </w:tc>
        <w:tc>
          <w:tcPr>
            <w:tcW w:w="1180" w:type="dxa"/>
            <w:vAlign w:val="bottom"/>
          </w:tcPr>
          <w:p>
            <w:pPr>
              <w:jc w:val="right"/>
              <w:ind w:right="1017"/>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w w:val="96"/>
              </w:rPr>
              <w:t>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(113)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6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spacing w:after="0" w:line="239"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a $80 million gain, net of tax, as of March 31, 2019 related to the Company’s hedge of its net investment in euro-denominated foreign operations (see Note 15-Financial Instruments).</w:t>
      </w:r>
    </w:p>
    <w:p>
      <w:pPr>
        <w:spacing w:after="0" w:line="1" w:lineRule="exact"/>
        <w:rPr>
          <w:sz w:val="20"/>
          <w:szCs w:val="20"/>
          <w:color w:val="auto"/>
        </w:rPr>
      </w:pPr>
    </w:p>
    <w:p>
      <w:pPr>
        <w:ind w:left="820" w:right="240" w:hanging="326"/>
        <w:spacing w:after="0" w:line="214" w:lineRule="auto"/>
        <w:tabs>
          <w:tab w:leader="none" w:pos="820" w:val="left"/>
        </w:tabs>
        <w:numPr>
          <w:ilvl w:val="1"/>
          <w:numId w:val="42"/>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March 31, 2019, the amount reclassified from accumulated other comprehensive income (loss) into corporate interest expense was $2 million ($1 million, net of tax).</w:t>
      </w:r>
    </w:p>
    <w:p>
      <w:pPr>
        <w:spacing w:after="0" w:line="1" w:lineRule="exact"/>
        <w:rPr>
          <w:rFonts w:ascii="Arial" w:cs="Arial" w:eastAsia="Arial" w:hAnsi="Arial"/>
          <w:sz w:val="18"/>
          <w:szCs w:val="18"/>
          <w:color w:val="auto"/>
          <w:vertAlign w:val="superscript"/>
        </w:rPr>
      </w:pPr>
    </w:p>
    <w:p>
      <w:pPr>
        <w:ind w:left="820" w:right="720" w:hanging="326"/>
        <w:spacing w:after="0" w:line="211" w:lineRule="auto"/>
        <w:tabs>
          <w:tab w:leader="none" w:pos="820" w:val="left"/>
        </w:tabs>
        <w:numPr>
          <w:ilvl w:val="1"/>
          <w:numId w:val="42"/>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March 31, 2019 and 2018, amounts reclassified from accumulated other comprehensive income (loss) into selling, general and administrative expenses were $2 million ($1 million, net of tax) and $2 million ($1 million, net of tax), respectively.</w:t>
      </w:r>
    </w:p>
    <w:p>
      <w:pPr>
        <w:ind w:left="820" w:hanging="326"/>
        <w:spacing w:after="0" w:line="204" w:lineRule="auto"/>
        <w:tabs>
          <w:tab w:leader="none" w:pos="820" w:val="left"/>
        </w:tabs>
        <w:numPr>
          <w:ilvl w:val="1"/>
          <w:numId w:val="42"/>
        </w:numPr>
        <w:rPr>
          <w:rFonts w:ascii="Arial" w:cs="Arial" w:eastAsia="Arial" w:hAnsi="Arial"/>
          <w:sz w:val="18"/>
          <w:szCs w:val="18"/>
          <w:color w:val="auto"/>
          <w:vertAlign w:val="superscript"/>
        </w:rPr>
      </w:pPr>
      <w:r>
        <w:rPr>
          <w:rFonts w:ascii="Arial" w:cs="Arial" w:eastAsia="Arial" w:hAnsi="Arial"/>
          <w:sz w:val="14"/>
          <w:szCs w:val="14"/>
          <w:color w:val="auto"/>
        </w:rPr>
        <w:t>See Note 1-Basis of Presentation for the impact of adoption of ASU 2017-12.</w:t>
      </w:r>
    </w:p>
    <w:p>
      <w:pPr>
        <w:spacing w:after="0" w:line="118"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7" w:lineRule="exact"/>
        <w:rPr>
          <w:rFonts w:ascii="Arial" w:cs="Arial" w:eastAsia="Arial" w:hAnsi="Arial"/>
          <w:sz w:val="18"/>
          <w:szCs w:val="18"/>
          <w:b w:val="1"/>
          <w:bCs w:val="1"/>
          <w:color w:val="auto"/>
        </w:rPr>
      </w:pPr>
    </w:p>
    <w:p>
      <w:pPr>
        <w:ind w:left="500" w:right="820"/>
        <w:spacing w:after="0" w:line="292" w:lineRule="auto"/>
        <w:rPr>
          <w:rFonts w:ascii="Arial" w:cs="Arial" w:eastAsia="Arial" w:hAnsi="Arial"/>
          <w:sz w:val="18"/>
          <w:szCs w:val="18"/>
          <w:b w:val="1"/>
          <w:bCs w:val="1"/>
          <w:color w:val="auto"/>
        </w:rPr>
      </w:pPr>
      <w:r>
        <w:rPr>
          <w:rFonts w:ascii="Arial" w:cs="Arial" w:eastAsia="Arial" w:hAnsi="Arial"/>
          <w:sz w:val="18"/>
          <w:szCs w:val="18"/>
          <w:color w:val="auto"/>
        </w:rPr>
        <w:t>The Company recorded stock-based compensation expense of $5 million ($4 million, net of tax) during the three months ended March 31, 2019 and 2018.</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1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activity related to restricted stock units (“RSUs”) consisted of (in thousands of shares):</w:t>
      </w:r>
    </w:p>
    <w:p>
      <w:pPr>
        <w:spacing w:after="0" w:line="174" w:lineRule="exact"/>
        <w:rPr>
          <w:sz w:val="20"/>
          <w:szCs w:val="20"/>
          <w:color w:val="auto"/>
        </w:rPr>
      </w:pPr>
    </w:p>
    <w:tbl>
      <w:tblPr>
        <w:tblLayout w:type="fixed"/>
        <w:tblInd w:w="5800" w:type="dxa"/>
        <w:tblCellMar>
          <w:top w:w="0" w:type="dxa"/>
          <w:left w:w="0" w:type="dxa"/>
          <w:bottom w:w="0" w:type="dxa"/>
          <w:right w:w="0" w:type="dxa"/>
        </w:tblCellMar>
      </w:tblPr>
      <w:tr>
        <w:trPr>
          <w:trHeight w:val="189"/>
        </w:trPr>
        <w:tc>
          <w:tcPr>
            <w:tcW w:w="1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Weighted</w:t>
            </w:r>
          </w:p>
        </w:tc>
        <w:tc>
          <w:tcPr>
            <w:tcW w:w="1260" w:type="dxa"/>
            <w:vAlign w:val="bottom"/>
          </w:tcPr>
          <w:p>
            <w:pPr>
              <w:spacing w:after="0"/>
              <w:rPr>
                <w:sz w:val="16"/>
                <w:szCs w:val="16"/>
                <w:color w:val="auto"/>
              </w:rPr>
            </w:pPr>
          </w:p>
        </w:tc>
      </w:tr>
      <w:tr>
        <w:trPr>
          <w:trHeight w:val="189"/>
        </w:trPr>
        <w:tc>
          <w:tcPr>
            <w:tcW w:w="10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Weighted</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8"/>
              </w:rPr>
              <w:t>Average</w:t>
            </w:r>
          </w:p>
        </w:tc>
        <w:tc>
          <w:tcPr>
            <w:tcW w:w="1260" w:type="dxa"/>
            <w:vAlign w:val="bottom"/>
          </w:tcPr>
          <w:p>
            <w:pPr>
              <w:spacing w:after="0"/>
              <w:rPr>
                <w:sz w:val="16"/>
                <w:szCs w:val="16"/>
                <w:color w:val="auto"/>
              </w:rPr>
            </w:pPr>
          </w:p>
        </w:tc>
      </w:tr>
      <w:tr>
        <w:trPr>
          <w:trHeight w:val="189"/>
        </w:trPr>
        <w:tc>
          <w:tcPr>
            <w:tcW w:w="10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8"/>
              </w:rPr>
              <w:t>Average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c>
          <w:tcPr>
            <w:tcW w:w="1260" w:type="dxa"/>
            <w:vAlign w:val="bottom"/>
          </w:tcPr>
          <w:p>
            <w:pPr>
              <w:jc w:val="center"/>
              <w:ind w:left="5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1080" w:type="dxa"/>
            <w:vAlign w:val="bottom"/>
          </w:tcPr>
          <w:p>
            <w:pPr>
              <w:jc w:val="center"/>
              <w:ind w:right="199"/>
              <w:spacing w:after="0"/>
              <w:rPr>
                <w:sz w:val="20"/>
                <w:szCs w:val="20"/>
                <w:color w:val="auto"/>
              </w:rPr>
            </w:pPr>
            <w:r>
              <w:rPr>
                <w:rFonts w:ascii="Arial" w:cs="Arial" w:eastAsia="Arial" w:hAnsi="Arial"/>
                <w:sz w:val="16"/>
                <w:szCs w:val="16"/>
                <w:b w:val="1"/>
                <w:bCs w:val="1"/>
                <w:color w:val="auto"/>
                <w:w w:val="99"/>
              </w:rPr>
              <w:t>Number of</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Grant Date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Contractual</w:t>
            </w:r>
          </w:p>
        </w:tc>
        <w:tc>
          <w:tcPr>
            <w:tcW w:w="1260" w:type="dxa"/>
            <w:vAlign w:val="bottom"/>
          </w:tcPr>
          <w:p>
            <w:pPr>
              <w:jc w:val="center"/>
              <w:ind w:left="79"/>
              <w:spacing w:after="0"/>
              <w:rPr>
                <w:sz w:val="20"/>
                <w:szCs w:val="20"/>
                <w:color w:val="auto"/>
              </w:rPr>
            </w:pPr>
            <w:r>
              <w:rPr>
                <w:rFonts w:ascii="Arial" w:cs="Arial" w:eastAsia="Arial" w:hAnsi="Arial"/>
                <w:sz w:val="16"/>
                <w:szCs w:val="16"/>
                <w:b w:val="1"/>
                <w:bCs w:val="1"/>
                <w:color w:val="auto"/>
              </w:rPr>
              <w:t>Intrinsic Value</w:t>
            </w:r>
          </w:p>
        </w:tc>
      </w:tr>
      <w:tr>
        <w:trPr>
          <w:trHeight w:val="229"/>
        </w:trPr>
        <w:tc>
          <w:tcPr>
            <w:tcW w:w="1080" w:type="dxa"/>
            <w:vAlign w:val="bottom"/>
          </w:tcPr>
          <w:p>
            <w:pPr>
              <w:jc w:val="center"/>
              <w:ind w:right="199"/>
              <w:spacing w:after="0"/>
              <w:rPr>
                <w:sz w:val="20"/>
                <w:szCs w:val="20"/>
                <w:color w:val="auto"/>
              </w:rPr>
            </w:pPr>
            <w:r>
              <w:rPr>
                <w:rFonts w:ascii="Arial" w:cs="Arial" w:eastAsia="Arial" w:hAnsi="Arial"/>
                <w:sz w:val="16"/>
                <w:szCs w:val="16"/>
                <w:b w:val="1"/>
                <w:bCs w:val="1"/>
                <w:color w:val="auto"/>
              </w:rPr>
              <w:t>Shares</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Fair Value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9"/>
              </w:rPr>
              <w:t>Term (years)</w:t>
            </w:r>
          </w:p>
        </w:tc>
        <w:tc>
          <w:tcPr>
            <w:tcW w:w="1260" w:type="dxa"/>
            <w:vAlign w:val="bottom"/>
          </w:tcPr>
          <w:p>
            <w:pPr>
              <w:jc w:val="center"/>
              <w:ind w:left="79"/>
              <w:spacing w:after="0"/>
              <w:rPr>
                <w:sz w:val="20"/>
                <w:szCs w:val="20"/>
                <w:color w:val="auto"/>
              </w:rPr>
            </w:pPr>
            <w:r>
              <w:rPr>
                <w:rFonts w:ascii="Arial" w:cs="Arial" w:eastAsia="Arial" w:hAnsi="Arial"/>
                <w:sz w:val="16"/>
                <w:szCs w:val="16"/>
                <w:b w:val="1"/>
                <w:bCs w:val="1"/>
                <w:color w:val="auto"/>
              </w:rPr>
              <w:t>(in millions)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5080</wp:posOffset>
            </wp:positionV>
            <wp:extent cx="3370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6"/>
          <w:szCs w:val="16"/>
          <w:b w:val="1"/>
          <w:bCs w:val="1"/>
          <w:color w:val="auto"/>
        </w:rPr>
        <w:t>Time-based RSUs</w:t>
      </w:r>
    </w:p>
    <w:p>
      <w:pPr>
        <w:sectPr>
          <w:pgSz w:w="11900" w:h="16838" w:orient="portrait"/>
          <w:cols w:equalWidth="0" w:num="1">
            <w:col w:w="11340"/>
          </w:cols>
          <w:pgMar w:left="240" w:top="115" w:right="319" w:bottom="1440" w:gutter="0" w:footer="0" w:header="0"/>
        </w:sectPr>
      </w:pPr>
    </w:p>
    <w:p>
      <w:pPr>
        <w:spacing w:after="0" w:line="10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Outstanding at January 1, 2019</w:t>
      </w:r>
    </w:p>
    <w:p>
      <w:pPr>
        <w:spacing w:after="0" w:line="8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(a)</w:t>
      </w:r>
    </w:p>
    <w:p>
      <w:pPr>
        <w:spacing w:after="0" w:line="4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(b)</w:t>
      </w:r>
    </w:p>
    <w:p>
      <w:pPr>
        <w:spacing w:after="0" w:line="34" w:lineRule="exact"/>
        <w:rPr>
          <w:sz w:val="20"/>
          <w:szCs w:val="20"/>
          <w:color w:val="auto"/>
        </w:rPr>
      </w:pPr>
    </w:p>
    <w:p>
      <w:pPr>
        <w:ind w:left="840"/>
        <w:spacing w:after="0"/>
        <w:rPr>
          <w:sz w:val="20"/>
          <w:szCs w:val="20"/>
          <w:color w:val="auto"/>
        </w:rPr>
      </w:pPr>
      <w:r>
        <w:rPr>
          <w:rFonts w:ascii="Arial" w:cs="Arial" w:eastAsia="Arial" w:hAnsi="Arial"/>
          <w:sz w:val="16"/>
          <w:szCs w:val="16"/>
          <w:color w:val="auto"/>
        </w:rPr>
        <w:t>Forfeited</w:t>
      </w:r>
    </w:p>
    <w:p>
      <w:pPr>
        <w:spacing w:after="0" w:line="9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Outstanding and expected to vest at March 31, 2019 </w:t>
      </w:r>
      <w:r>
        <w:rPr>
          <w:rFonts w:ascii="Arial" w:cs="Arial" w:eastAsia="Arial" w:hAnsi="Arial"/>
          <w:sz w:val="21"/>
          <w:szCs w:val="21"/>
          <w:color w:val="auto"/>
          <w:vertAlign w:val="superscript"/>
        </w:rPr>
        <w:t>(c)</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Performance-based and market-based RSUs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44" w:type="dxa"/>
        <w:tblCellMar>
          <w:top w:w="0" w:type="dxa"/>
          <w:left w:w="0" w:type="dxa"/>
          <w:bottom w:w="0" w:type="dxa"/>
          <w:right w:w="0" w:type="dxa"/>
        </w:tblCellMar>
      </w:tblPr>
      <w:tr>
        <w:trPr>
          <w:trHeight w:val="219"/>
        </w:trPr>
        <w:tc>
          <w:tcPr>
            <w:tcW w:w="400" w:type="dxa"/>
            <w:vAlign w:val="bottom"/>
          </w:tcPr>
          <w:p>
            <w:pPr>
              <w:jc w:val="right"/>
              <w:ind w:right="39"/>
              <w:spacing w:after="0"/>
              <w:rPr>
                <w:sz w:val="20"/>
                <w:szCs w:val="20"/>
                <w:color w:val="auto"/>
              </w:rPr>
            </w:pPr>
            <w:r>
              <w:rPr>
                <w:rFonts w:ascii="Arial" w:cs="Arial" w:eastAsia="Arial" w:hAnsi="Arial"/>
                <w:sz w:val="16"/>
                <w:szCs w:val="16"/>
                <w:color w:val="auto"/>
                <w:w w:val="97"/>
              </w:rPr>
              <w:t>838</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38.67</w:t>
            </w:r>
          </w:p>
        </w:tc>
      </w:tr>
      <w:tr>
        <w:trPr>
          <w:trHeight w:val="270"/>
        </w:trPr>
        <w:tc>
          <w:tcPr>
            <w:tcW w:w="400" w:type="dxa"/>
            <w:vAlign w:val="bottom"/>
          </w:tcPr>
          <w:p>
            <w:pPr>
              <w:jc w:val="right"/>
              <w:ind w:right="39"/>
              <w:spacing w:after="0"/>
              <w:rPr>
                <w:sz w:val="20"/>
                <w:szCs w:val="20"/>
                <w:color w:val="auto"/>
              </w:rPr>
            </w:pPr>
            <w:r>
              <w:rPr>
                <w:rFonts w:ascii="Arial" w:cs="Arial" w:eastAsia="Arial" w:hAnsi="Arial"/>
                <w:sz w:val="16"/>
                <w:szCs w:val="16"/>
                <w:color w:val="auto"/>
                <w:w w:val="97"/>
              </w:rPr>
              <w:t>422</w:t>
            </w:r>
          </w:p>
        </w:tc>
        <w:tc>
          <w:tcPr>
            <w:tcW w:w="5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34.82</w:t>
            </w:r>
          </w:p>
        </w:tc>
      </w:tr>
    </w:tbl>
    <w:p>
      <w:pPr>
        <w:spacing w:after="0" w:line="51" w:lineRule="exact"/>
        <w:rPr>
          <w:sz w:val="20"/>
          <w:szCs w:val="20"/>
          <w:color w:val="auto"/>
        </w:rPr>
      </w:pPr>
    </w:p>
    <w:p>
      <w:pPr>
        <w:ind w:left="1284" w:hanging="1284"/>
        <w:spacing w:after="0"/>
        <w:tabs>
          <w:tab w:leader="none" w:pos="1284" w:val="left"/>
        </w:tabs>
        <w:numPr>
          <w:ilvl w:val="0"/>
          <w:numId w:val="44"/>
        </w:numPr>
        <w:rPr>
          <w:rFonts w:ascii="Arial" w:cs="Arial" w:eastAsia="Arial" w:hAnsi="Arial"/>
          <w:sz w:val="16"/>
          <w:szCs w:val="16"/>
          <w:color w:val="auto"/>
        </w:rPr>
      </w:pPr>
      <w:r>
        <w:rPr>
          <w:rFonts w:ascii="Arial" w:cs="Arial" w:eastAsia="Arial" w:hAnsi="Arial"/>
          <w:sz w:val="16"/>
          <w:szCs w:val="16"/>
          <w:color w:val="auto"/>
        </w:rPr>
        <w:t>35.56</w:t>
      </w:r>
    </w:p>
    <w:p>
      <w:pPr>
        <w:spacing w:after="0" w:line="86" w:lineRule="exact"/>
        <w:rPr>
          <w:sz w:val="20"/>
          <w:szCs w:val="20"/>
          <w:color w:val="auto"/>
        </w:rPr>
      </w:pPr>
    </w:p>
    <w:p>
      <w:pPr>
        <w:ind w:left="1284" w:hanging="1194"/>
        <w:spacing w:after="0"/>
        <w:tabs>
          <w:tab w:leader="none" w:pos="1284" w:val="left"/>
        </w:tabs>
        <w:numPr>
          <w:ilvl w:val="0"/>
          <w:numId w:val="45"/>
        </w:numPr>
        <w:rPr>
          <w:rFonts w:ascii="Arial" w:cs="Arial" w:eastAsia="Arial" w:hAnsi="Arial"/>
          <w:sz w:val="16"/>
          <w:szCs w:val="16"/>
          <w:color w:val="auto"/>
        </w:rPr>
      </w:pPr>
      <w:r>
        <w:rPr>
          <w:rFonts w:ascii="Arial" w:cs="Arial" w:eastAsia="Arial" w:hAnsi="Arial"/>
          <w:sz w:val="16"/>
          <w:szCs w:val="16"/>
          <w:color w:val="auto"/>
        </w:rPr>
        <w:t>39.40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31750</wp:posOffset>
            </wp:positionV>
            <wp:extent cx="7804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53" w:lineRule="exact"/>
        <w:rPr>
          <w:sz w:val="20"/>
          <w:szCs w:val="20"/>
          <w:color w:val="auto"/>
        </w:rPr>
      </w:pPr>
    </w:p>
    <w:p>
      <w:pPr>
        <w:ind w:left="44"/>
        <w:spacing w:after="0"/>
        <w:tabs>
          <w:tab w:leader="none" w:pos="524" w:val="left"/>
          <w:tab w:leader="none" w:pos="1264" w:val="left"/>
          <w:tab w:leader="none" w:pos="2864" w:val="left"/>
          <w:tab w:leader="none" w:pos="4204" w:val="left"/>
        </w:tabs>
        <w:rPr>
          <w:sz w:val="20"/>
          <w:szCs w:val="20"/>
          <w:color w:val="auto"/>
        </w:rPr>
      </w:pPr>
      <w:r>
        <w:rPr>
          <w:rFonts w:ascii="Arial" w:cs="Arial" w:eastAsia="Arial" w:hAnsi="Arial"/>
          <w:sz w:val="16"/>
          <w:szCs w:val="16"/>
          <w:color w:val="auto"/>
        </w:rPr>
        <w:t>897</w:t>
        <w:tab/>
        <w:t>$</w:t>
      </w:r>
      <w:r>
        <w:rPr>
          <w:sz w:val="20"/>
          <w:szCs w:val="20"/>
          <w:color w:val="auto"/>
        </w:rPr>
        <w:tab/>
      </w:r>
      <w:r>
        <w:rPr>
          <w:rFonts w:ascii="Arial" w:cs="Arial" w:eastAsia="Arial" w:hAnsi="Arial"/>
          <w:sz w:val="16"/>
          <w:szCs w:val="16"/>
          <w:color w:val="auto"/>
        </w:rPr>
        <w:t>38.01</w:t>
      </w:r>
      <w:r>
        <w:rPr>
          <w:sz w:val="20"/>
          <w:szCs w:val="20"/>
          <w:color w:val="auto"/>
        </w:rPr>
        <w:tab/>
      </w:r>
      <w:r>
        <w:rPr>
          <w:rFonts w:ascii="Arial" w:cs="Arial" w:eastAsia="Arial" w:hAnsi="Arial"/>
          <w:sz w:val="16"/>
          <w:szCs w:val="16"/>
          <w:color w:val="auto"/>
        </w:rPr>
        <w:t>1.4  $</w:t>
      </w:r>
      <w:r>
        <w:rPr>
          <w:sz w:val="20"/>
          <w:szCs w:val="20"/>
          <w:color w:val="auto"/>
        </w:rPr>
        <w:tab/>
      </w: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31750</wp:posOffset>
            </wp:positionV>
            <wp:extent cx="7804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80415" cy="8890"/>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48895</wp:posOffset>
            </wp:positionV>
            <wp:extent cx="7804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369" w:lineRule="exact"/>
        <w:rPr>
          <w:sz w:val="20"/>
          <w:szCs w:val="20"/>
          <w:color w:val="auto"/>
        </w:rPr>
      </w:pPr>
    </w:p>
    <w:p>
      <w:pPr>
        <w:sectPr>
          <w:pgSz w:w="11900" w:h="16838" w:orient="portrait"/>
          <w:cols w:equalWidth="0" w:num="2">
            <w:col w:w="5676" w:space="720"/>
            <w:col w:w="4944"/>
          </w:cols>
          <w:pgMar w:left="240" w:top="115" w:right="319" w:bottom="1440" w:gutter="0" w:footer="0" w:header="0"/>
          <w:type w:val="continuous"/>
        </w:sectPr>
      </w:pPr>
    </w:p>
    <w:p>
      <w:pPr>
        <w:ind w:left="620"/>
        <w:spacing w:after="0"/>
        <w:rPr>
          <w:sz w:val="20"/>
          <w:szCs w:val="20"/>
          <w:color w:val="auto"/>
        </w:rPr>
      </w:pPr>
      <w:r>
        <w:rPr>
          <w:rFonts w:ascii="Arial" w:cs="Arial" w:eastAsia="Arial" w:hAnsi="Arial"/>
          <w:sz w:val="16"/>
          <w:szCs w:val="16"/>
          <w:color w:val="auto"/>
        </w:rPr>
        <w:t>Outstanding at January 1, 2019</w:t>
      </w:r>
    </w:p>
    <w:p>
      <w:pPr>
        <w:spacing w:after="0" w:line="8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(a)</w:t>
      </w:r>
    </w:p>
    <w:p>
      <w:pPr>
        <w:spacing w:after="0" w:line="49" w:lineRule="exact"/>
        <w:rPr>
          <w:sz w:val="20"/>
          <w:szCs w:val="20"/>
          <w:color w:val="auto"/>
        </w:rPr>
      </w:pPr>
    </w:p>
    <w:p>
      <w:pPr>
        <w:ind w:left="840"/>
        <w:spacing w:after="0"/>
        <w:rPr>
          <w:sz w:val="20"/>
          <w:szCs w:val="20"/>
          <w:color w:val="auto"/>
        </w:rPr>
      </w:pPr>
      <w:r>
        <w:rPr>
          <w:rFonts w:ascii="Arial" w:cs="Arial" w:eastAsia="Arial" w:hAnsi="Arial"/>
          <w:sz w:val="16"/>
          <w:szCs w:val="16"/>
          <w:color w:val="auto"/>
        </w:rPr>
        <w:t>Vested</w:t>
      </w:r>
    </w:p>
    <w:p>
      <w:pPr>
        <w:spacing w:after="0" w:line="6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Forfeited</w:t>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Outstanding at March 31, 2019</w:t>
      </w:r>
    </w:p>
    <w:p>
      <w:pPr>
        <w:spacing w:after="0" w:line="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Outstanding and expected to vest at March 31, 2019 </w:t>
      </w:r>
      <w:r>
        <w:rPr>
          <w:rFonts w:ascii="Arial" w:cs="Arial" w:eastAsia="Arial" w:hAnsi="Arial"/>
          <w:sz w:val="21"/>
          <w:szCs w:val="21"/>
          <w:color w:val="auto"/>
          <w:vertAlign w:val="superscript"/>
        </w:rPr>
        <w:t>(c)</w:t>
      </w:r>
    </w:p>
    <w:p>
      <w:pPr>
        <w:spacing w:after="0" w:line="4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740"/>
        <w:spacing w:after="0"/>
        <w:tabs>
          <w:tab w:leader="none" w:pos="1340" w:val="left"/>
          <w:tab w:leader="none" w:pos="2080" w:val="left"/>
        </w:tabs>
        <w:rPr>
          <w:sz w:val="20"/>
          <w:szCs w:val="20"/>
          <w:color w:val="auto"/>
        </w:rPr>
      </w:pPr>
      <w:r>
        <w:rPr>
          <w:rFonts w:ascii="Arial" w:cs="Arial" w:eastAsia="Arial" w:hAnsi="Arial"/>
          <w:sz w:val="16"/>
          <w:szCs w:val="16"/>
          <w:color w:val="auto"/>
        </w:rPr>
        <w:t>1,169</w:t>
        <w:tab/>
        <w:t>$</w:t>
      </w:r>
      <w:r>
        <w:rPr>
          <w:sz w:val="20"/>
          <w:szCs w:val="20"/>
          <w:color w:val="auto"/>
        </w:rPr>
        <w:tab/>
      </w:r>
      <w:r>
        <w:rPr>
          <w:rFonts w:ascii="Arial" w:cs="Arial" w:eastAsia="Arial" w:hAnsi="Arial"/>
          <w:sz w:val="15"/>
          <w:szCs w:val="15"/>
          <w:color w:val="auto"/>
        </w:rPr>
        <w:t>35.14</w:t>
      </w:r>
    </w:p>
    <w:p>
      <w:pPr>
        <w:spacing w:after="0" w:line="86" w:lineRule="exact"/>
        <w:rPr>
          <w:sz w:val="20"/>
          <w:szCs w:val="20"/>
          <w:color w:val="auto"/>
        </w:rPr>
      </w:pPr>
    </w:p>
    <w:p>
      <w:pPr>
        <w:ind w:left="2100" w:hanging="1230"/>
        <w:spacing w:after="0"/>
        <w:tabs>
          <w:tab w:leader="none" w:pos="21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34.82</w:t>
      </w:r>
    </w:p>
    <w:p>
      <w:pPr>
        <w:spacing w:after="0" w:line="8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w:t>
      </w:r>
    </w:p>
    <w:p>
      <w:pPr>
        <w:spacing w:after="0" w:line="86" w:lineRule="exact"/>
        <w:rPr>
          <w:sz w:val="20"/>
          <w:szCs w:val="20"/>
          <w:color w:val="auto"/>
        </w:rPr>
      </w:pPr>
    </w:p>
    <w:p>
      <w:pPr>
        <w:ind w:left="2100" w:hanging="1284"/>
        <w:spacing w:after="0"/>
        <w:tabs>
          <w:tab w:leader="none" w:pos="21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24.23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804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1,236</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19"/>
              <w:spacing w:after="0"/>
              <w:rPr>
                <w:sz w:val="20"/>
                <w:szCs w:val="20"/>
                <w:color w:val="auto"/>
              </w:rPr>
            </w:pPr>
            <w:r>
              <w:rPr>
                <w:rFonts w:ascii="Arial" w:cs="Arial" w:eastAsia="Arial" w:hAnsi="Arial"/>
                <w:sz w:val="16"/>
                <w:szCs w:val="16"/>
                <w:color w:val="auto"/>
              </w:rPr>
              <w:t>38.66</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9"/>
        </w:trPr>
        <w:tc>
          <w:tcPr>
            <w:tcW w:w="1240" w:type="dxa"/>
            <w:vAlign w:val="bottom"/>
          </w:tcPr>
          <w:p>
            <w:pPr>
              <w:jc w:val="right"/>
              <w:ind w:right="19"/>
              <w:spacing w:after="0"/>
              <w:rPr>
                <w:sz w:val="20"/>
                <w:szCs w:val="20"/>
                <w:color w:val="auto"/>
              </w:rPr>
            </w:pPr>
            <w:r>
              <w:rPr>
                <w:rFonts w:ascii="Arial" w:cs="Arial" w:eastAsia="Arial" w:hAnsi="Arial"/>
                <w:sz w:val="16"/>
                <w:szCs w:val="16"/>
                <w:color w:val="auto"/>
              </w:rPr>
              <w:t>487</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19"/>
              <w:spacing w:after="0"/>
              <w:rPr>
                <w:sz w:val="20"/>
                <w:szCs w:val="20"/>
                <w:color w:val="auto"/>
              </w:rPr>
            </w:pPr>
            <w:r>
              <w:rPr>
                <w:rFonts w:ascii="Arial" w:cs="Arial" w:eastAsia="Arial" w:hAnsi="Arial"/>
                <w:sz w:val="16"/>
                <w:szCs w:val="16"/>
                <w:color w:val="auto"/>
              </w:rPr>
              <w:t>39.81</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17</w:t>
            </w:r>
          </w:p>
        </w:tc>
      </w:tr>
    </w:tbl>
    <w:p>
      <w:pPr>
        <w:spacing w:after="0" w:line="232" w:lineRule="exact"/>
        <w:rPr>
          <w:sz w:val="20"/>
          <w:szCs w:val="20"/>
          <w:color w:val="auto"/>
        </w:rPr>
      </w:pPr>
    </w:p>
    <w:p>
      <w:pPr>
        <w:sectPr>
          <w:pgSz w:w="11900" w:h="16838" w:orient="portrait"/>
          <w:cols w:equalWidth="0" w:num="2">
            <w:col w:w="4860" w:space="720"/>
            <w:col w:w="5760"/>
          </w:cols>
          <w:pgMar w:left="240" w:top="115" w:right="319" w:bottom="1440" w:gutter="0" w:footer="0" w:header="0"/>
          <w:type w:val="continuous"/>
        </w:sectPr>
      </w:pPr>
    </w:p>
    <w:p>
      <w:pPr>
        <w:ind w:left="820" w:hanging="326"/>
        <w:spacing w:after="0" w:line="222" w:lineRule="auto"/>
        <w:tabs>
          <w:tab w:leader="none" w:pos="82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Reflects the maximum number of stock units assuming achievement of all performance-, market- and time-vesting criteria and does not include those for non-employee directors. The weighted-average fair value of time-based RSUs and performance-based RSUs granted during the three months ended March 31, 2018 was $48.66 and $48.72 respectively.</w:t>
      </w:r>
    </w:p>
    <w:p>
      <w:pPr>
        <w:spacing w:after="0" w:line="2" w:lineRule="exact"/>
        <w:rPr>
          <w:rFonts w:ascii="Arial" w:cs="Arial" w:eastAsia="Arial" w:hAnsi="Arial"/>
          <w:sz w:val="18"/>
          <w:szCs w:val="18"/>
          <w:color w:val="auto"/>
          <w:vertAlign w:val="superscript"/>
        </w:rPr>
      </w:pPr>
    </w:p>
    <w:p>
      <w:pPr>
        <w:ind w:left="820" w:hanging="326"/>
        <w:spacing w:after="0" w:line="187" w:lineRule="auto"/>
        <w:tabs>
          <w:tab w:leader="none" w:pos="82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The total fair value of RSUs vested during March 31, 2019 and 2018 was $12 million and $13 million, respectively.</w:t>
      </w:r>
    </w:p>
    <w:p>
      <w:pPr>
        <w:ind w:left="820" w:right="160" w:hanging="326"/>
        <w:spacing w:after="0" w:line="220" w:lineRule="auto"/>
        <w:tabs>
          <w:tab w:leader="none" w:pos="82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Aggregate unrecognized compensation expense related to time-based RSUs and performance-based RSUs amounted to $45 million and will be recognized over a weighted average vesting period of 1.7 years.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stock option activity consisted of (in thousands of shares):</w:t>
      </w:r>
    </w:p>
    <w:p>
      <w:pPr>
        <w:spacing w:after="0" w:line="17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Weighted</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Weighted</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Average</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Exercise</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w:t>
            </w: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19"/>
                <w:szCs w:val="19"/>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Price</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Term (years)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41"/>
        </w:trPr>
        <w:tc>
          <w:tcPr>
            <w:tcW w:w="4660" w:type="dxa"/>
            <w:vAlign w:val="bottom"/>
          </w:tcPr>
          <w:p>
            <w:pPr>
              <w:ind w:left="20"/>
              <w:spacing w:after="0"/>
              <w:rPr>
                <w:sz w:val="20"/>
                <w:szCs w:val="20"/>
                <w:color w:val="auto"/>
              </w:rPr>
            </w:pPr>
            <w:r>
              <w:rPr>
                <w:rFonts w:ascii="Arial" w:cs="Arial" w:eastAsia="Arial" w:hAnsi="Arial"/>
                <w:sz w:val="16"/>
                <w:szCs w:val="16"/>
                <w:color w:val="auto"/>
              </w:rPr>
              <w:t>Outstanding at January 1, 2019</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5"/>
        </w:trPr>
        <w:tc>
          <w:tcPr>
            <w:tcW w:w="4660" w:type="dxa"/>
            <w:vAlign w:val="bottom"/>
          </w:tcPr>
          <w:p>
            <w:pPr>
              <w:ind w:left="140"/>
              <w:spacing w:after="0"/>
              <w:rPr>
                <w:sz w:val="20"/>
                <w:szCs w:val="20"/>
                <w:color w:val="auto"/>
              </w:rPr>
            </w:pPr>
            <w:r>
              <w:rPr>
                <w:rFonts w:ascii="Arial" w:cs="Arial" w:eastAsia="Arial" w:hAnsi="Arial"/>
                <w:sz w:val="16"/>
                <w:szCs w:val="16"/>
                <w:color w:val="auto"/>
              </w:rPr>
              <w:t xml:space="preserve">Exercised </w:t>
            </w:r>
            <w:r>
              <w:rPr>
                <w:rFonts w:ascii="Arial" w:cs="Arial" w:eastAsia="Arial" w:hAnsi="Arial"/>
                <w:sz w:val="21"/>
                <w:szCs w:val="21"/>
                <w:color w:val="auto"/>
                <w:vertAlign w:val="superscript"/>
              </w:rPr>
              <w:t>(a)</w:t>
            </w:r>
          </w:p>
        </w:tc>
        <w:tc>
          <w:tcPr>
            <w:tcW w:w="132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5"/>
        </w:trPr>
        <w:tc>
          <w:tcPr>
            <w:tcW w:w="4660" w:type="dxa"/>
            <w:vAlign w:val="bottom"/>
          </w:tcPr>
          <w:p>
            <w:pPr>
              <w:ind w:left="140"/>
              <w:spacing w:after="0"/>
              <w:rPr>
                <w:sz w:val="20"/>
                <w:szCs w:val="20"/>
                <w:color w:val="auto"/>
              </w:rPr>
            </w:pPr>
            <w:r>
              <w:rPr>
                <w:rFonts w:ascii="Arial" w:cs="Arial" w:eastAsia="Arial" w:hAnsi="Arial"/>
                <w:sz w:val="16"/>
                <w:szCs w:val="16"/>
                <w:color w:val="auto"/>
              </w:rPr>
              <w:t>Forfeited/expired</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4660" w:type="dxa"/>
            <w:vAlign w:val="bottom"/>
          </w:tcPr>
          <w:p>
            <w:pPr>
              <w:ind w:left="20"/>
              <w:spacing w:after="0"/>
              <w:rPr>
                <w:sz w:val="20"/>
                <w:szCs w:val="20"/>
                <w:color w:val="auto"/>
              </w:rPr>
            </w:pPr>
            <w:r>
              <w:rPr>
                <w:rFonts w:ascii="Arial" w:cs="Arial" w:eastAsia="Arial" w:hAnsi="Arial"/>
                <w:sz w:val="16"/>
                <w:szCs w:val="16"/>
                <w:color w:val="auto"/>
              </w:rPr>
              <w:t>Outstanding and exercisable at March 31, 2019</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66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20" w:hanging="326"/>
        <w:spacing w:after="0" w:line="210" w:lineRule="auto"/>
        <w:tabs>
          <w:tab w:leader="none" w:pos="820" w:val="left"/>
        </w:tabs>
        <w:numPr>
          <w:ilvl w:val="1"/>
          <w:numId w:val="49"/>
        </w:numPr>
        <w:rPr>
          <w:rFonts w:ascii="Arial" w:cs="Arial" w:eastAsia="Arial" w:hAnsi="Arial"/>
          <w:sz w:val="18"/>
          <w:szCs w:val="18"/>
          <w:color w:val="auto"/>
          <w:vertAlign w:val="superscript"/>
        </w:rPr>
      </w:pPr>
      <w:r>
        <w:rPr>
          <w:rFonts w:ascii="Arial" w:cs="Arial" w:eastAsia="Arial" w:hAnsi="Arial"/>
          <w:sz w:val="14"/>
          <w:szCs w:val="14"/>
          <w:color w:val="auto"/>
        </w:rPr>
        <w:t>Stock options exercised during the three months ended March 31, 2018 had an intrinsic value of $6 million and the cash received was $2 million.</w:t>
      </w:r>
    </w:p>
    <w:p>
      <w:pPr>
        <w:spacing w:after="0" w:line="118"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 and Hedging Activities</w:t>
      </w:r>
    </w:p>
    <w:p>
      <w:pPr>
        <w:spacing w:after="0" w:line="171" w:lineRule="exact"/>
        <w:rPr>
          <w:rFonts w:ascii="Arial" w:cs="Arial" w:eastAsia="Arial" w:hAnsi="Arial"/>
          <w:sz w:val="18"/>
          <w:szCs w:val="18"/>
          <w:b w:val="1"/>
          <w:bCs w:val="1"/>
          <w:color w:val="auto"/>
        </w:rPr>
      </w:pPr>
    </w:p>
    <w:p>
      <w:pPr>
        <w:ind w:left="500" w:right="20"/>
        <w:spacing w:after="0" w:line="256"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The Company uses currency exchange contracts to manage its exposure to changes in currency exchange rates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certain of its non-U.S.-dollar denominated receivables and forecasted royalties, forecasted earnings of non-U.S. subsidiaries and forecasted non-U.S.-dollar denominated acquisitions. The Company primarily hedges a portion of its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The Company has designated its euro-denominated notes as a hedge of its investment in euro-denominated foreign operations.</w:t>
      </w:r>
    </w:p>
    <w:p>
      <w:pPr>
        <w:spacing w:after="0" w:line="124" w:lineRule="exact"/>
        <w:rPr>
          <w:rFonts w:ascii="Arial" w:cs="Arial" w:eastAsia="Arial" w:hAnsi="Arial"/>
          <w:sz w:val="18"/>
          <w:szCs w:val="18"/>
          <w:b w:val="1"/>
          <w:bCs w:val="1"/>
          <w:color w:val="auto"/>
        </w:rPr>
      </w:pPr>
    </w:p>
    <w:p>
      <w:pPr>
        <w:ind w:left="500" w:right="20"/>
        <w:spacing w:after="0" w:line="292" w:lineRule="auto"/>
        <w:rPr>
          <w:rFonts w:ascii="Arial" w:cs="Arial" w:eastAsia="Arial" w:hAnsi="Arial"/>
          <w:sz w:val="18"/>
          <w:szCs w:val="18"/>
          <w:b w:val="1"/>
          <w:bCs w:val="1"/>
          <w:color w:val="auto"/>
        </w:rPr>
      </w:pPr>
      <w:r>
        <w:rPr>
          <w:rFonts w:ascii="Arial" w:cs="Arial" w:eastAsia="Arial" w:hAnsi="Arial"/>
          <w:sz w:val="18"/>
          <w:szCs w:val="18"/>
          <w:color w:val="auto"/>
        </w:rPr>
        <w:t>The estimated net amount of existing gains or losses the Company expects to reclassify from accumulated other comprehensive income (loss) to earnings for cash flow and net investment hedges over the next 12</w:t>
      </w:r>
    </w:p>
    <w:p>
      <w:pPr>
        <w:sectPr>
          <w:pgSz w:w="11900" w:h="16838" w:orient="portrait"/>
          <w:cols w:equalWidth="0" w:num="1">
            <w:col w:w="11340"/>
          </w:cols>
          <w:pgMar w:left="240" w:top="115" w:right="319" w:bottom="1440" w:gutter="0" w:footer="0" w:header="0"/>
          <w:type w:val="continuous"/>
        </w:sectPr>
      </w:pP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340"/>
          </w:cols>
          <w:pgMar w:left="240" w:top="115" w:right="31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months is not material.</w:t>
      </w:r>
    </w:p>
    <w:p>
      <w:pPr>
        <w:spacing w:after="0" w:line="225"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Company uses various hedging strategies including interest rate swaps and interest rate caps to create what it</w:t>
      </w:r>
      <w:r>
        <w:rPr>
          <w:rFonts w:ascii="Arial" w:cs="Arial" w:eastAsia="Arial" w:hAnsi="Arial"/>
          <w:sz w:val="18"/>
          <w:szCs w:val="18"/>
          <w:i w:val="1"/>
          <w:iCs w:val="1"/>
          <w:color w:val="auto"/>
        </w:rPr>
        <w:t xml:space="preserve"> </w:t>
      </w:r>
      <w:r>
        <w:rPr>
          <w:rFonts w:ascii="Arial" w:cs="Arial" w:eastAsia="Arial" w:hAnsi="Arial"/>
          <w:sz w:val="18"/>
          <w:szCs w:val="18"/>
          <w:color w:val="auto"/>
        </w:rPr>
        <w:t>deems an appropriate mix of fixed and floating rate assets and liabilities. The Company uses interest rate swaps and interest rate caps to manage the risk related to its floating rate corporate debt and its floating rate vehicle-backed debt. The Company records the changes in the fair value of its cash flow hedges to other comprehensive income (loss), net of tax, and subsequently reclassifies these amounts into earnings in the period during which the hedged transaction affects earnings and is presented in the same income statement line item as the earnings effect of the hedged item. The Company records the gains or losses related to freestanding derivatives, which are not designated as a hedge for accounting purposes, currently in earnings and are presented in the same line of the income statement expected for the hedged item. The Company estimates that $5 million of gains currently recorded in accumulated other comprehensive income (loss) will be recognized in earnings over the next 12 months.</w:t>
      </w:r>
    </w:p>
    <w:p>
      <w:pPr>
        <w:spacing w:after="0" w:line="182" w:lineRule="exact"/>
        <w:rPr>
          <w:sz w:val="20"/>
          <w:szCs w:val="20"/>
          <w:color w:val="auto"/>
        </w:rPr>
      </w:pPr>
    </w:p>
    <w:p>
      <w:pPr>
        <w:jc w:val="both"/>
        <w:ind w:left="500" w:right="20"/>
        <w:spacing w:after="0" w:line="271" w:lineRule="auto"/>
        <w:rPr>
          <w:sz w:val="20"/>
          <w:szCs w:val="20"/>
          <w:color w:val="auto"/>
        </w:rPr>
      </w:pPr>
      <w:r>
        <w:rPr>
          <w:rFonts w:ascii="Arial" w:cs="Arial" w:eastAsia="Arial" w:hAnsi="Arial"/>
          <w:sz w:val="18"/>
          <w:szCs w:val="18"/>
          <w:i w:val="1"/>
          <w:iCs w:val="1"/>
          <w:color w:val="auto"/>
        </w:rPr>
        <w:t xml:space="preserve">Commodity Risk. </w:t>
      </w:r>
      <w:r>
        <w:rPr>
          <w:rFonts w:ascii="Arial" w:cs="Arial" w:eastAsia="Arial" w:hAnsi="Arial"/>
          <w:sz w:val="18"/>
          <w:szCs w:val="18"/>
          <w:color w:val="auto"/>
        </w:rPr>
        <w:t>The Company periodically enters into derivative commodity contracts to manage its exposure to changes in the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gasoline. These instruments were designated as freestanding derivatives and the changes in fair value are recorded in earnings and are presented in the same line of the income statement expected for the hedged item.</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held derivative instruments with absolute notional values as follows:</w:t>
      </w:r>
    </w:p>
    <w:p>
      <w:pPr>
        <w:spacing w:after="0" w:line="187" w:lineRule="exact"/>
        <w:rPr>
          <w:sz w:val="20"/>
          <w:szCs w:val="20"/>
          <w:color w:val="auto"/>
        </w:rPr>
      </w:pPr>
    </w:p>
    <w:tbl>
      <w:tblPr>
        <w:tblLayout w:type="fixed"/>
        <w:tblInd w:w="500" w:type="dxa"/>
        <w:tblCellMar>
          <w:top w:w="0" w:type="dxa"/>
          <w:left w:w="0" w:type="dxa"/>
          <w:bottom w:w="0" w:type="dxa"/>
          <w:right w:w="0" w:type="dxa"/>
        </w:tblCellMar>
      </w:tblPr>
      <w:tr>
        <w:trPr>
          <w:trHeight w:val="229"/>
        </w:trPr>
        <w:tc>
          <w:tcPr>
            <w:tcW w:w="8660" w:type="dxa"/>
            <w:vAlign w:val="bottom"/>
          </w:tcPr>
          <w:p>
            <w:pPr>
              <w:spacing w:after="0"/>
              <w:rPr>
                <w:sz w:val="19"/>
                <w:szCs w:val="19"/>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March 31, 2019</w:t>
            </w:r>
          </w:p>
        </w:tc>
      </w:tr>
      <w:tr>
        <w:trPr>
          <w:trHeight w:val="21"/>
        </w:trPr>
        <w:tc>
          <w:tcPr>
            <w:tcW w:w="86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1"/>
        </w:trPr>
        <w:tc>
          <w:tcPr>
            <w:tcW w:w="8660" w:type="dxa"/>
            <w:vAlign w:val="bottom"/>
          </w:tcPr>
          <w:p>
            <w:pPr>
              <w:ind w:left="20"/>
              <w:spacing w:after="0"/>
              <w:rPr>
                <w:sz w:val="20"/>
                <w:szCs w:val="20"/>
                <w:color w:val="auto"/>
              </w:rPr>
            </w:pPr>
            <w:r>
              <w:rPr>
                <w:rFonts w:ascii="Arial" w:cs="Arial" w:eastAsia="Arial" w:hAnsi="Arial"/>
                <w:sz w:val="16"/>
                <w:szCs w:val="16"/>
                <w:color w:val="auto"/>
              </w:rPr>
              <w:t>Foreign exchange contracts</w:t>
            </w:r>
          </w:p>
        </w:tc>
        <w:tc>
          <w:tcPr>
            <w:tcW w:w="640" w:type="dxa"/>
            <w:vAlign w:val="bottom"/>
          </w:tcPr>
          <w:p>
            <w:pPr>
              <w:ind w:left="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1,839</w:t>
            </w:r>
          </w:p>
        </w:tc>
      </w:tr>
      <w:tr>
        <w:trPr>
          <w:trHeight w:val="268"/>
        </w:trPr>
        <w:tc>
          <w:tcPr>
            <w:tcW w:w="8660" w:type="dxa"/>
            <w:vAlign w:val="bottom"/>
          </w:tcPr>
          <w:p>
            <w:pPr>
              <w:ind w:left="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6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8,335</w:t>
            </w:r>
          </w:p>
        </w:tc>
      </w:tr>
      <w:tr>
        <w:trPr>
          <w:trHeight w:val="219"/>
        </w:trPr>
        <w:tc>
          <w:tcPr>
            <w:tcW w:w="866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465"/>
        </w:trPr>
        <w:tc>
          <w:tcPr>
            <w:tcW w:w="8660" w:type="dxa"/>
            <w:vAlign w:val="bottom"/>
          </w:tcPr>
          <w:p>
            <w:pPr>
              <w:ind w:left="20"/>
              <w:spacing w:after="0"/>
              <w:rPr>
                <w:sz w:val="20"/>
                <w:szCs w:val="20"/>
                <w:color w:val="auto"/>
              </w:rPr>
            </w:pPr>
            <w:r>
              <w:rPr>
                <w:rFonts w:ascii="Arial" w:cs="Arial" w:eastAsia="Arial" w:hAnsi="Arial"/>
                <w:sz w:val="16"/>
                <w:szCs w:val="16"/>
                <w:color w:val="auto"/>
              </w:rPr>
              <w:t>Commodity contracts (millions of gallons of unleaded gasoline)</w:t>
            </w:r>
          </w:p>
        </w:tc>
        <w:tc>
          <w:tcPr>
            <w:tcW w:w="6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9"/>
        </w:trPr>
        <w:tc>
          <w:tcPr>
            <w:tcW w:w="8660" w:type="dxa"/>
            <w:vAlign w:val="bottom"/>
          </w:tcPr>
          <w:p>
            <w:pPr>
              <w:spacing w:after="0"/>
              <w:rPr>
                <w:sz w:val="20"/>
                <w:szCs w:val="20"/>
                <w:color w:val="auto"/>
              </w:rPr>
            </w:pPr>
            <w:r>
              <w:rPr>
                <w:rFonts w:ascii="Arial" w:cs="Arial" w:eastAsia="Arial" w:hAnsi="Arial"/>
                <w:sz w:val="18"/>
                <w:szCs w:val="18"/>
                <w:color w:val="auto"/>
              </w:rPr>
              <w:t>__________</w:t>
            </w: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ind w:left="820" w:right="180" w:hanging="326"/>
        <w:spacing w:after="0" w:line="224" w:lineRule="auto"/>
        <w:tabs>
          <w:tab w:leader="none" w:pos="82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Represents $5.7 billion of interest rate caps sold, partially offset by approximately $2.7 billion of interest rate caps purchased. These amounts exclude $3.0 billion of interest rate caps purchased by the Company’s Avis Budget Rental Car Funding subsidiary as it is not consolidated by the Company.</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fair values (Level 2) of derivative instruments were as follows:</w:t>
      </w:r>
    </w:p>
    <w:p>
      <w:pPr>
        <w:spacing w:after="0" w:line="201" w:lineRule="exact"/>
        <w:rPr>
          <w:sz w:val="20"/>
          <w:szCs w:val="20"/>
          <w:color w:val="auto"/>
        </w:rPr>
      </w:pPr>
    </w:p>
    <w:tbl>
      <w:tblPr>
        <w:tblLayout w:type="fixed"/>
        <w:tblInd w:w="500" w:type="dxa"/>
        <w:tblCellMar>
          <w:top w:w="0" w:type="dxa"/>
          <w:left w:w="0" w:type="dxa"/>
          <w:bottom w:w="0" w:type="dxa"/>
          <w:right w:w="0" w:type="dxa"/>
        </w:tblCellMar>
      </w:tblPr>
      <w:tr>
        <w:trPr>
          <w:trHeight w:val="232"/>
        </w:trPr>
        <w:tc>
          <w:tcPr>
            <w:tcW w:w="4240" w:type="dxa"/>
            <w:vAlign w:val="bottom"/>
          </w:tcPr>
          <w:p>
            <w:pPr>
              <w:spacing w:after="0"/>
              <w:rPr>
                <w:sz w:val="20"/>
                <w:szCs w:val="20"/>
                <w:color w:val="auto"/>
              </w:rPr>
            </w:pPr>
          </w:p>
        </w:tc>
        <w:tc>
          <w:tcPr>
            <w:tcW w:w="268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As of March 31, 2019</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 2018</w:t>
            </w:r>
          </w:p>
        </w:tc>
        <w:tc>
          <w:tcPr>
            <w:tcW w:w="0" w:type="dxa"/>
            <w:vAlign w:val="bottom"/>
          </w:tcPr>
          <w:p>
            <w:pPr>
              <w:spacing w:after="0"/>
              <w:rPr>
                <w:sz w:val="1"/>
                <w:szCs w:val="1"/>
                <w:color w:val="auto"/>
              </w:rPr>
            </w:pPr>
          </w:p>
        </w:tc>
      </w:tr>
      <w:tr>
        <w:trPr>
          <w:trHeight w:val="193"/>
        </w:trPr>
        <w:tc>
          <w:tcPr>
            <w:tcW w:w="4240" w:type="dxa"/>
            <w:vAlign w:val="bottom"/>
          </w:tcPr>
          <w:p>
            <w:pPr>
              <w:spacing w:after="0"/>
              <w:rPr>
                <w:sz w:val="16"/>
                <w:szCs w:val="16"/>
                <w:color w:val="auto"/>
              </w:rPr>
            </w:pPr>
          </w:p>
        </w:tc>
        <w:tc>
          <w:tcPr>
            <w:tcW w:w="1140" w:type="dxa"/>
            <w:vAlign w:val="bottom"/>
          </w:tcPr>
          <w:p>
            <w:pPr>
              <w:jc w:val="center"/>
              <w:ind w:left="199"/>
              <w:spacing w:after="0"/>
              <w:rPr>
                <w:sz w:val="20"/>
                <w:szCs w:val="20"/>
                <w:color w:val="auto"/>
              </w:rPr>
            </w:pPr>
            <w:r>
              <w:rPr>
                <w:rFonts w:ascii="Arial" w:cs="Arial" w:eastAsia="Arial" w:hAnsi="Arial"/>
                <w:sz w:val="16"/>
                <w:szCs w:val="16"/>
                <w:b w:val="1"/>
                <w:bCs w:val="1"/>
                <w:color w:val="auto"/>
              </w:rPr>
              <w:t>Fair Value,</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left="219"/>
              <w:spacing w:after="0"/>
              <w:rPr>
                <w:sz w:val="20"/>
                <w:szCs w:val="20"/>
                <w:color w:val="auto"/>
              </w:rPr>
            </w:pPr>
            <w:r>
              <w:rPr>
                <w:rFonts w:ascii="Arial" w:cs="Arial" w:eastAsia="Arial" w:hAnsi="Arial"/>
                <w:sz w:val="16"/>
                <w:szCs w:val="16"/>
                <w:b w:val="1"/>
                <w:bCs w:val="1"/>
                <w:color w:val="auto"/>
                <w:w w:val="98"/>
              </w:rPr>
              <w:t>Fair Value,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Fair Value,</w:t>
            </w:r>
          </w:p>
        </w:tc>
        <w:tc>
          <w:tcPr>
            <w:tcW w:w="220" w:type="dxa"/>
            <w:vAlign w:val="bottom"/>
          </w:tcPr>
          <w:p>
            <w:pPr>
              <w:spacing w:after="0"/>
              <w:rPr>
                <w:sz w:val="16"/>
                <w:szCs w:val="16"/>
                <w:color w:val="auto"/>
              </w:rPr>
            </w:pPr>
          </w:p>
        </w:tc>
        <w:tc>
          <w:tcPr>
            <w:tcW w:w="122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1140" w:type="dxa"/>
            <w:vAlign w:val="bottom"/>
          </w:tcPr>
          <w:p>
            <w:pPr>
              <w:jc w:val="center"/>
              <w:ind w:left="199"/>
              <w:spacing w:after="0"/>
              <w:rPr>
                <w:sz w:val="20"/>
                <w:szCs w:val="20"/>
                <w:color w:val="auto"/>
              </w:rPr>
            </w:pPr>
            <w:r>
              <w:rPr>
                <w:rFonts w:ascii="Arial" w:cs="Arial" w:eastAsia="Arial" w:hAnsi="Arial"/>
                <w:sz w:val="16"/>
                <w:szCs w:val="16"/>
                <w:b w:val="1"/>
                <w:bCs w:val="1"/>
                <w:color w:val="auto"/>
              </w:rPr>
              <w:t>Derivative</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left="199"/>
              <w:spacing w:after="0"/>
              <w:rPr>
                <w:sz w:val="20"/>
                <w:szCs w:val="20"/>
                <w:color w:val="auto"/>
              </w:rPr>
            </w:pPr>
            <w:r>
              <w:rPr>
                <w:rFonts w:ascii="Arial" w:cs="Arial" w:eastAsia="Arial" w:hAnsi="Arial"/>
                <w:sz w:val="16"/>
                <w:szCs w:val="16"/>
                <w:b w:val="1"/>
                <w:bCs w:val="1"/>
                <w:color w:val="auto"/>
              </w:rPr>
              <w:t>Derivative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Derivative</w:t>
            </w:r>
          </w:p>
        </w:tc>
        <w:tc>
          <w:tcPr>
            <w:tcW w:w="220" w:type="dxa"/>
            <w:vAlign w:val="bottom"/>
          </w:tcPr>
          <w:p>
            <w:pPr>
              <w:spacing w:after="0"/>
              <w:rPr>
                <w:sz w:val="16"/>
                <w:szCs w:val="16"/>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Derivative</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19"/>
                <w:szCs w:val="19"/>
                <w:color w:val="auto"/>
              </w:rPr>
            </w:pPr>
          </w:p>
        </w:tc>
        <w:tc>
          <w:tcPr>
            <w:tcW w:w="1140" w:type="dxa"/>
            <w:vAlign w:val="bottom"/>
          </w:tcPr>
          <w:p>
            <w:pPr>
              <w:jc w:val="center"/>
              <w:ind w:left="199"/>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left="219"/>
              <w:spacing w:after="0"/>
              <w:rPr>
                <w:sz w:val="20"/>
                <w:szCs w:val="20"/>
                <w:color w:val="auto"/>
              </w:rPr>
            </w:pPr>
            <w:r>
              <w:rPr>
                <w:rFonts w:ascii="Arial" w:cs="Arial" w:eastAsia="Arial" w:hAnsi="Arial"/>
                <w:sz w:val="16"/>
                <w:szCs w:val="16"/>
                <w:b w:val="1"/>
                <w:bCs w:val="1"/>
                <w:color w:val="auto"/>
              </w:rPr>
              <w:t>Liabilities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9"/>
                <w:szCs w:val="19"/>
                <w:color w:val="auto"/>
              </w:rPr>
            </w:pPr>
          </w:p>
        </w:tc>
        <w:tc>
          <w:tcPr>
            <w:tcW w:w="1220" w:type="dxa"/>
            <w:vAlign w:val="bottom"/>
          </w:tcPr>
          <w:p>
            <w:pPr>
              <w:jc w:val="center"/>
              <w:ind w:right="13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263"/>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14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37"/>
        </w:trPr>
        <w:tc>
          <w:tcPr>
            <w:tcW w:w="4240" w:type="dxa"/>
            <w:vAlign w:val="bottom"/>
          </w:tcPr>
          <w:p>
            <w:pPr>
              <w:ind w:left="12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14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4"/>
                <w:szCs w:val="24"/>
                <w:color w:val="auto"/>
              </w:rPr>
            </w:pPr>
          </w:p>
        </w:tc>
        <w:tc>
          <w:tcPr>
            <w:tcW w:w="114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433"/>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240" w:type="dxa"/>
            <w:vAlign w:val="bottom"/>
          </w:tcPr>
          <w:p>
            <w:pPr>
              <w:ind w:left="12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(b)</w:t>
            </w:r>
          </w:p>
        </w:tc>
        <w:tc>
          <w:tcPr>
            <w:tcW w:w="11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0"/>
        </w:trPr>
        <w:tc>
          <w:tcPr>
            <w:tcW w:w="4240" w:type="dxa"/>
            <w:vAlign w:val="bottom"/>
          </w:tcPr>
          <w:p>
            <w:pPr>
              <w:ind w:left="1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1140" w:type="dxa"/>
            <w:vAlign w:val="bottom"/>
          </w:tcPr>
          <w:p>
            <w:pPr>
              <w:spacing w:after="0"/>
              <w:rPr>
                <w:sz w:val="23"/>
                <w:szCs w:val="2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23"/>
                <w:szCs w:val="2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4"/>
        </w:trPr>
        <w:tc>
          <w:tcPr>
            <w:tcW w:w="4240" w:type="dxa"/>
            <w:vAlign w:val="bottom"/>
          </w:tcPr>
          <w:p>
            <w:pPr>
              <w:ind w:left="120"/>
              <w:spacing w:after="0" w:line="234"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(b)</w:t>
            </w:r>
          </w:p>
        </w:tc>
        <w:tc>
          <w:tcPr>
            <w:tcW w:w="11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5"/>
        </w:trPr>
        <w:tc>
          <w:tcPr>
            <w:tcW w:w="4240" w:type="dxa"/>
            <w:vAlign w:val="bottom"/>
          </w:tcPr>
          <w:p>
            <w:pPr>
              <w:ind w:left="120"/>
              <w:spacing w:after="0"/>
              <w:rPr>
                <w:sz w:val="20"/>
                <w:szCs w:val="20"/>
                <w:color w:val="auto"/>
              </w:rPr>
            </w:pPr>
            <w:r>
              <w:rPr>
                <w:rFonts w:ascii="Arial" w:cs="Arial" w:eastAsia="Arial" w:hAnsi="Arial"/>
                <w:sz w:val="16"/>
                <w:szCs w:val="16"/>
                <w:color w:val="auto"/>
              </w:rPr>
              <w:t>Total</w:t>
            </w:r>
          </w:p>
        </w:tc>
        <w:tc>
          <w:tcPr>
            <w:tcW w:w="114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500" w:right="260"/>
        <w:spacing w:after="0" w:line="237"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the Company; however, certain amounts related to the derivatives held by Avis Budget Rental Car Funding are included within accumulated other comprehensive income (loss), as discussed in Note 13-Stockholders’ Equity.</w:t>
      </w:r>
    </w:p>
    <w:p>
      <w:pPr>
        <w:ind w:left="820" w:hanging="326"/>
        <w:spacing w:after="0" w:line="195" w:lineRule="auto"/>
        <w:tabs>
          <w:tab w:leader="none" w:pos="82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Included in other non-current assets or other non-current liabilities.</w:t>
      </w:r>
    </w:p>
    <w:p>
      <w:pPr>
        <w:ind w:left="820" w:hanging="326"/>
        <w:spacing w:after="0" w:line="187" w:lineRule="auto"/>
        <w:tabs>
          <w:tab w:leader="none" w:pos="82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or other current liabilities.</w:t>
      </w:r>
    </w:p>
    <w:p>
      <w:pPr>
        <w:ind w:left="820" w:hanging="326"/>
        <w:spacing w:after="0" w:line="204" w:lineRule="auto"/>
        <w:tabs>
          <w:tab w:leader="none" w:pos="82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Included in assets under vehicle programs or liabilities under vehicle programs.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1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the Company’s Consolidated Condensed Financial Statements were as follows:</w:t>
      </w:r>
    </w:p>
    <w:p>
      <w:pPr>
        <w:spacing w:after="0" w:line="174" w:lineRule="exact"/>
        <w:rPr>
          <w:sz w:val="20"/>
          <w:szCs w:val="20"/>
          <w:color w:val="auto"/>
        </w:rPr>
      </w:pPr>
    </w:p>
    <w:p>
      <w:pPr>
        <w:ind w:left="8520"/>
        <w:spacing w:after="0"/>
        <w:rPr>
          <w:sz w:val="20"/>
          <w:szCs w:val="20"/>
          <w:color w:val="auto"/>
        </w:rPr>
      </w:pPr>
      <w:r>
        <w:rPr>
          <w:rFonts w:ascii="Arial" w:cs="Arial" w:eastAsia="Arial" w:hAnsi="Arial"/>
          <w:sz w:val="16"/>
          <w:szCs w:val="16"/>
          <w:b w:val="1"/>
          <w:bCs w:val="1"/>
          <w:color w:val="auto"/>
        </w:rPr>
        <w:t>Three Months Ended</w:t>
      </w:r>
    </w:p>
    <w:p>
      <w:pPr>
        <w:spacing w:after="0" w:line="27" w:lineRule="exact"/>
        <w:rPr>
          <w:sz w:val="20"/>
          <w:szCs w:val="20"/>
          <w:color w:val="auto"/>
        </w:rPr>
      </w:pPr>
    </w:p>
    <w:tbl>
      <w:tblPr>
        <w:tblLayout w:type="fixed"/>
        <w:tblInd w:w="500" w:type="dxa"/>
        <w:tblCellMar>
          <w:top w:w="0" w:type="dxa"/>
          <w:left w:w="0" w:type="dxa"/>
          <w:bottom w:w="0" w:type="dxa"/>
          <w:right w:w="0" w:type="dxa"/>
        </w:tblCellMar>
      </w:tblPr>
      <w:tr>
        <w:trPr>
          <w:trHeight w:val="214"/>
        </w:trPr>
        <w:tc>
          <w:tcPr>
            <w:tcW w:w="73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320" w:type="dxa"/>
            <w:vAlign w:val="bottom"/>
          </w:tcPr>
          <w:p>
            <w:pPr>
              <w:spacing w:after="0"/>
              <w:rPr>
                <w:sz w:val="21"/>
                <w:szCs w:val="21"/>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0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 xml:space="preserve">Derivatives designated as hedging instruments </w:t>
            </w:r>
            <w:r>
              <w:rPr>
                <w:rFonts w:ascii="Arial" w:cs="Arial" w:eastAsia="Arial" w:hAnsi="Arial"/>
                <w:sz w:val="21"/>
                <w:szCs w:val="21"/>
                <w:b w:val="1"/>
                <w:bCs w:val="1"/>
                <w:color w:val="auto"/>
                <w:vertAlign w:val="superscript"/>
              </w:rPr>
              <w:t>(a)</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320" w:type="dxa"/>
            <w:vAlign w:val="bottom"/>
          </w:tcPr>
          <w:p>
            <w:pPr>
              <w:ind w:left="26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(b)</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3"/>
                <w:szCs w:val="23"/>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68"/>
        </w:trPr>
        <w:tc>
          <w:tcPr>
            <w:tcW w:w="7320" w:type="dxa"/>
            <w:vAlign w:val="bottom"/>
          </w:tcPr>
          <w:p>
            <w:pPr>
              <w:ind w:left="260"/>
              <w:spacing w:after="0"/>
              <w:rPr>
                <w:sz w:val="20"/>
                <w:szCs w:val="20"/>
                <w:color w:val="auto"/>
              </w:rPr>
            </w:pPr>
            <w:r>
              <w:rPr>
                <w:rFonts w:ascii="Arial" w:cs="Arial" w:eastAsia="Arial" w:hAnsi="Arial"/>
                <w:sz w:val="16"/>
                <w:szCs w:val="16"/>
                <w:color w:val="auto"/>
              </w:rPr>
              <w:t xml:space="preserve">Euro-denominated notes </w:t>
            </w:r>
            <w:r>
              <w:rPr>
                <w:rFonts w:ascii="Arial" w:cs="Arial" w:eastAsia="Arial" w:hAnsi="Arial"/>
                <w:sz w:val="21"/>
                <w:szCs w:val="21"/>
                <w:color w:val="auto"/>
                <w:vertAlign w:val="superscript"/>
              </w:rPr>
              <w:t>(c)</w:t>
            </w:r>
          </w:p>
        </w:tc>
        <w:tc>
          <w:tcPr>
            <w:tcW w:w="1040" w:type="dxa"/>
            <w:vAlign w:val="bottom"/>
          </w:tcPr>
          <w:p>
            <w:pPr>
              <w:spacing w:after="0"/>
              <w:rPr>
                <w:sz w:val="23"/>
                <w:szCs w:val="23"/>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72"/>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 xml:space="preserve">Derivatives not designated as hedging instruments </w:t>
            </w:r>
            <w:r>
              <w:rPr>
                <w:rFonts w:ascii="Arial" w:cs="Arial" w:eastAsia="Arial" w:hAnsi="Arial"/>
                <w:sz w:val="21"/>
                <w:szCs w:val="21"/>
                <w:b w:val="1"/>
                <w:bCs w:val="1"/>
                <w:color w:val="auto"/>
                <w:vertAlign w:val="superscript"/>
              </w:rPr>
              <w:t>(d)</w:t>
            </w:r>
          </w:p>
        </w:tc>
        <w:tc>
          <w:tcPr>
            <w:tcW w:w="10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tcPr>
          <w:p>
            <w:pPr>
              <w:ind w:left="12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(e)</w:t>
            </w:r>
          </w:p>
        </w:tc>
        <w:tc>
          <w:tcPr>
            <w:tcW w:w="1040" w:type="dxa"/>
            <w:vAlign w:val="bottom"/>
          </w:tcPr>
          <w:p>
            <w:pPr>
              <w:spacing w:after="0"/>
              <w:rPr>
                <w:sz w:val="23"/>
                <w:szCs w:val="23"/>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4"/>
        </w:trPr>
        <w:tc>
          <w:tcPr>
            <w:tcW w:w="7320" w:type="dxa"/>
            <w:vAlign w:val="bottom"/>
          </w:tcPr>
          <w:p>
            <w:pPr>
              <w:ind w:left="120"/>
              <w:spacing w:after="0" w:line="234"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(f)</w:t>
            </w:r>
          </w:p>
        </w:tc>
        <w:tc>
          <w:tcPr>
            <w:tcW w:w="10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7320" w:type="dxa"/>
            <w:vAlign w:val="bottom"/>
          </w:tcPr>
          <w:p>
            <w:pPr>
              <w:ind w:left="12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Recognized, net of tax, as a component of other comprehensive income (loss) within stockholders’ equity.</w:t>
      </w:r>
    </w:p>
    <w:p>
      <w:pPr>
        <w:ind w:left="820" w:right="60" w:hanging="326"/>
        <w:spacing w:after="0" w:line="211" w:lineRule="auto"/>
        <w:tabs>
          <w:tab w:leader="none" w:pos="82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Classified as a net unrealized gain (loss) on cash flow hedges in accumulated other comprehensive income (loss). Refer to Note 13-Stockholders’ Equity for amounts reclassified from accumulated other comprehensive income into earnings.</w:t>
      </w:r>
    </w:p>
    <w:p>
      <w:pPr>
        <w:ind w:left="820" w:hanging="326"/>
        <w:spacing w:after="0" w:line="187" w:lineRule="auto"/>
        <w:tabs>
          <w:tab w:leader="none" w:pos="82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Classified as a net investment hedge within currency translation adjustment in accumulated other comprehensive income (loss).</w:t>
      </w:r>
    </w:p>
    <w:p>
      <w:pPr>
        <w:ind w:left="820" w:hanging="326"/>
        <w:spacing w:after="0" w:line="187" w:lineRule="auto"/>
        <w:tabs>
          <w:tab w:leader="none" w:pos="82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ind w:left="820" w:right="220" w:hanging="326"/>
        <w:spacing w:after="0" w:line="211" w:lineRule="auto"/>
        <w:tabs>
          <w:tab w:leader="none" w:pos="82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March 31, 2019, included a $4 million loss in interest expense and a $5 million gain in operating expense. For the three months ended March 31, 2018, included a $13 million loss in interest expense and a $4 million gain in operating expense.</w:t>
      </w:r>
    </w:p>
    <w:p>
      <w:pPr>
        <w:ind w:left="820" w:hanging="326"/>
        <w:spacing w:after="0" w:line="204" w:lineRule="auto"/>
        <w:tabs>
          <w:tab w:leader="none" w:pos="82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Included in operating expense.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were as follows:</w:t>
      </w:r>
    </w:p>
    <w:p>
      <w:pPr>
        <w:spacing w:after="0" w:line="201" w:lineRule="exact"/>
        <w:rPr>
          <w:sz w:val="20"/>
          <w:szCs w:val="20"/>
          <w:color w:val="auto"/>
        </w:rPr>
      </w:pPr>
    </w:p>
    <w:tbl>
      <w:tblPr>
        <w:tblLayout w:type="fixed"/>
        <w:tblInd w:w="500" w:type="dxa"/>
        <w:tblCellMar>
          <w:top w:w="0" w:type="dxa"/>
          <w:left w:w="0" w:type="dxa"/>
          <w:bottom w:w="0" w:type="dxa"/>
          <w:right w:w="0" w:type="dxa"/>
        </w:tblCellMar>
      </w:tblPr>
      <w:tr>
        <w:trPr>
          <w:trHeight w:val="232"/>
        </w:trPr>
        <w:tc>
          <w:tcPr>
            <w:tcW w:w="4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As of March 31, 2019</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 2018</w:t>
            </w:r>
          </w:p>
        </w:tc>
      </w:tr>
      <w:tr>
        <w:trPr>
          <w:trHeight w:val="193"/>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Estimated</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Estimated</w:t>
            </w:r>
          </w:p>
        </w:tc>
      </w:tr>
      <w:tr>
        <w:trPr>
          <w:trHeight w:val="189"/>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Fair</w:t>
            </w:r>
          </w:p>
        </w:tc>
      </w:tr>
      <w:tr>
        <w:trPr>
          <w:trHeight w:val="230"/>
        </w:trPr>
        <w:tc>
          <w:tcPr>
            <w:tcW w:w="4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Value</w:t>
            </w:r>
          </w:p>
        </w:tc>
        <w:tc>
          <w:tcPr>
            <w:tcW w:w="26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63"/>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Corporate debt</w:t>
            </w:r>
          </w:p>
        </w:tc>
        <w:tc>
          <w:tcPr>
            <w:tcW w:w="2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62"/>
        </w:trPr>
        <w:tc>
          <w:tcPr>
            <w:tcW w:w="4240" w:type="dxa"/>
            <w:vAlign w:val="bottom"/>
          </w:tcPr>
          <w:p>
            <w:pPr>
              <w:ind w:left="120"/>
              <w:spacing w:after="0"/>
              <w:rPr>
                <w:sz w:val="20"/>
                <w:szCs w:val="20"/>
                <w:color w:val="auto"/>
              </w:rPr>
            </w:pPr>
            <w:r>
              <w:rPr>
                <w:rFonts w:ascii="Arial" w:cs="Arial" w:eastAsia="Arial" w:hAnsi="Arial"/>
                <w:sz w:val="16"/>
                <w:szCs w:val="16"/>
                <w:color w:val="auto"/>
              </w:rPr>
              <w:t>Short-term debt and current portion of long-term debt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70"/>
        </w:trPr>
        <w:tc>
          <w:tcPr>
            <w:tcW w:w="4240" w:type="dxa"/>
            <w:vAlign w:val="bottom"/>
          </w:tcPr>
          <w:p>
            <w:pPr>
              <w:ind w:left="12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3,501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3,528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3,462</w:t>
            </w:r>
          </w:p>
        </w:tc>
      </w:tr>
      <w:tr>
        <w:trPr>
          <w:trHeight w:val="508"/>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Debt under vehicle programs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6"/>
        </w:trPr>
        <w:tc>
          <w:tcPr>
            <w:tcW w:w="4240" w:type="dxa"/>
            <w:vAlign w:val="bottom"/>
          </w:tcPr>
          <w:p>
            <w:pPr>
              <w:ind w:left="120"/>
              <w:spacing w:after="0"/>
              <w:rPr>
                <w:sz w:val="20"/>
                <w:szCs w:val="20"/>
                <w:color w:val="auto"/>
              </w:rPr>
            </w:pPr>
            <w:r>
              <w:rPr>
                <w:rFonts w:ascii="Arial" w:cs="Arial" w:eastAsia="Arial" w:hAnsi="Arial"/>
                <w:sz w:val="16"/>
                <w:szCs w:val="16"/>
                <w:color w:val="auto"/>
              </w:rPr>
              <w:t>Vehicle-backed debt due to Avis Budget Rental Car</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9"/>
        </w:trPr>
        <w:tc>
          <w:tcPr>
            <w:tcW w:w="4240" w:type="dxa"/>
            <w:vAlign w:val="bottom"/>
          </w:tcPr>
          <w:p>
            <w:pPr>
              <w:ind w:left="300"/>
              <w:spacing w:after="0"/>
              <w:rPr>
                <w:sz w:val="20"/>
                <w:szCs w:val="20"/>
                <w:color w:val="auto"/>
              </w:rPr>
            </w:pPr>
            <w:r>
              <w:rPr>
                <w:rFonts w:ascii="Arial" w:cs="Arial" w:eastAsia="Arial" w:hAnsi="Arial"/>
                <w:sz w:val="16"/>
                <w:szCs w:val="16"/>
                <w:color w:val="auto"/>
              </w:rPr>
              <w:t>Funding</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8,540</w:t>
            </w:r>
          </w:p>
        </w:tc>
        <w:tc>
          <w:tcPr>
            <w:tcW w:w="12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8,607</w:t>
            </w:r>
          </w:p>
        </w:tc>
        <w:tc>
          <w:tcPr>
            <w:tcW w:w="10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7,358</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7,383</w:t>
            </w:r>
          </w:p>
        </w:tc>
      </w:tr>
      <w:tr>
        <w:trPr>
          <w:trHeight w:val="270"/>
        </w:trPr>
        <w:tc>
          <w:tcPr>
            <w:tcW w:w="4240" w:type="dxa"/>
            <w:vAlign w:val="bottom"/>
          </w:tcPr>
          <w:p>
            <w:pPr>
              <w:ind w:left="120"/>
              <w:spacing w:after="0"/>
              <w:rPr>
                <w:sz w:val="20"/>
                <w:szCs w:val="20"/>
                <w:color w:val="auto"/>
              </w:rPr>
            </w:pPr>
            <w:r>
              <w:rPr>
                <w:rFonts w:ascii="Arial" w:cs="Arial" w:eastAsia="Arial" w:hAnsi="Arial"/>
                <w:sz w:val="16"/>
                <w:szCs w:val="16"/>
                <w:color w:val="auto"/>
              </w:rPr>
              <w:t>Vehicle-backed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2,663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2,677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2,871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2,881</w:t>
            </w:r>
          </w:p>
        </w:tc>
      </w:tr>
      <w:tr>
        <w:trPr>
          <w:trHeight w:val="263"/>
        </w:trPr>
        <w:tc>
          <w:tcPr>
            <w:tcW w:w="4240" w:type="dxa"/>
            <w:vAlign w:val="bottom"/>
          </w:tcPr>
          <w:p>
            <w:pPr>
              <w:ind w:left="12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9"/>
        </w:trPr>
        <w:tc>
          <w:tcPr>
            <w:tcW w:w="4240" w:type="dxa"/>
            <w:vAlign w:val="bottom"/>
          </w:tcPr>
          <w:p>
            <w:pPr>
              <w:spacing w:after="0"/>
              <w:rPr>
                <w:sz w:val="20"/>
                <w:szCs w:val="20"/>
                <w:color w:val="auto"/>
              </w:rPr>
            </w:pPr>
            <w:r>
              <w:rPr>
                <w:rFonts w:ascii="Arial" w:cs="Arial" w:eastAsia="Arial" w:hAnsi="Arial"/>
                <w:sz w:val="18"/>
                <w:szCs w:val="18"/>
                <w:color w:val="auto"/>
              </w:rPr>
              <w:t>__________</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ind w:left="820" w:hanging="326"/>
        <w:spacing w:after="0" w:line="210" w:lineRule="auto"/>
        <w:tabs>
          <w:tab w:leader="none" w:pos="820" w:val="left"/>
        </w:tabs>
        <w:numPr>
          <w:ilvl w:val="1"/>
          <w:numId w:val="54"/>
        </w:numPr>
        <w:rPr>
          <w:rFonts w:ascii="Arial" w:cs="Arial" w:eastAsia="Arial" w:hAnsi="Arial"/>
          <w:sz w:val="18"/>
          <w:szCs w:val="18"/>
          <w:color w:val="auto"/>
          <w:vertAlign w:val="superscript"/>
        </w:rPr>
      </w:pPr>
      <w:r>
        <w:rPr>
          <w:rFonts w:ascii="Arial" w:cs="Arial" w:eastAsia="Arial" w:hAnsi="Arial"/>
          <w:sz w:val="14"/>
          <w:szCs w:val="14"/>
          <w:color w:val="auto"/>
        </w:rPr>
        <w:t>Derivatives in a liability position.</w:t>
      </w:r>
    </w:p>
    <w:p>
      <w:pPr>
        <w:spacing w:after="0" w:line="118"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7" w:lineRule="exact"/>
        <w:rPr>
          <w:rFonts w:ascii="Arial" w:cs="Arial" w:eastAsia="Arial" w:hAnsi="Arial"/>
          <w:sz w:val="18"/>
          <w:szCs w:val="18"/>
          <w:b w:val="1"/>
          <w:bCs w:val="1"/>
          <w:color w:val="auto"/>
        </w:rPr>
      </w:pPr>
    </w:p>
    <w:p>
      <w:pPr>
        <w:ind w:left="50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chief operating decision-maker assesses performance and allocates resources based upon the separate financial information from each of the Company’s operating segments. In identifying its reportable segments, the Company considered the nature of services provided, the geographical areas in which the segments operated and other relevant factors. The Company aggregates certain of its operating segments into its reportable segments.</w:t>
      </w:r>
    </w:p>
    <w:p>
      <w:pPr>
        <w:spacing w:after="0" w:line="169" w:lineRule="exact"/>
        <w:rPr>
          <w:rFonts w:ascii="Arial" w:cs="Arial" w:eastAsia="Arial" w:hAnsi="Arial"/>
          <w:sz w:val="18"/>
          <w:szCs w:val="18"/>
          <w:b w:val="1"/>
          <w:bCs w:val="1"/>
          <w:color w:val="auto"/>
        </w:rPr>
      </w:pPr>
    </w:p>
    <w:p>
      <w:pPr>
        <w:ind w:left="50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operating results of each of its reportable segments based upon revenues and “Adjusted EBITDA,” which the Company defines as income (loss)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legal matters, non-operational charges related to shareholder activist activity and income taxes. Net charges for unprecedented personal-injury legal matters are recorded</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15"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500" w:right="160"/>
        <w:spacing w:after="0" w:line="264" w:lineRule="auto"/>
        <w:rPr>
          <w:sz w:val="20"/>
          <w:szCs w:val="20"/>
          <w:color w:val="auto"/>
        </w:rPr>
      </w:pPr>
      <w:r>
        <w:rPr>
          <w:rFonts w:ascii="Arial" w:cs="Arial" w:eastAsia="Arial" w:hAnsi="Arial"/>
          <w:sz w:val="18"/>
          <w:szCs w:val="18"/>
          <w:color w:val="auto"/>
        </w:rPr>
        <w:t>within operating expenses in the Company’s Consolidated Condensed Statement of Comprehensive Income. Non-operational charges related to shareholder activist activity include third party advisory, legal and other professional service fees and are recorded within selling, general and administrative expenses in the Company’s Consolidated Condensed Statement of Comprehensive Income. The Company’s presentation of Adjusted EBITDA may not be comparable to similarly-titled measures used by other companies.</w:t>
      </w:r>
    </w:p>
    <w:p>
      <w:pPr>
        <w:spacing w:after="0" w:line="127" w:lineRule="exact"/>
        <w:rPr>
          <w:sz w:val="20"/>
          <w:szCs w:val="20"/>
          <w:color w:val="auto"/>
        </w:rPr>
      </w:pPr>
    </w:p>
    <w:tbl>
      <w:tblPr>
        <w:tblLayout w:type="fixed"/>
        <w:tblInd w:w="520" w:type="dxa"/>
        <w:tblCellMar>
          <w:top w:w="0" w:type="dxa"/>
          <w:left w:w="0" w:type="dxa"/>
          <w:bottom w:w="0" w:type="dxa"/>
          <w:right w:w="0" w:type="dxa"/>
        </w:tblCellMar>
      </w:tblPr>
      <w:tr>
        <w:trPr>
          <w:trHeight w:val="254"/>
        </w:trPr>
        <w:tc>
          <w:tcPr>
            <w:tcW w:w="45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rPr>
              <w:t>Three Months Ended March 31,</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r>
      <w:tr>
        <w:trPr>
          <w:trHeight w:val="264"/>
        </w:trPr>
        <w:tc>
          <w:tcPr>
            <w:tcW w:w="45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120" w:type="dxa"/>
            <w:vAlign w:val="bottom"/>
            <w:tcBorders>
              <w:bottom w:val="single" w:sz="8" w:color="auto"/>
            </w:tcBorders>
          </w:tcPr>
          <w:p>
            <w:pPr>
              <w:spacing w:after="0"/>
              <w:rPr>
                <w:sz w:val="22"/>
                <w:szCs w:val="22"/>
                <w:color w:val="auto"/>
              </w:rPr>
            </w:pPr>
          </w:p>
        </w:tc>
      </w:tr>
      <w:tr>
        <w:trPr>
          <w:trHeight w:val="199"/>
        </w:trPr>
        <w:tc>
          <w:tcPr>
            <w:tcW w:w="4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30"/>
              <w:spacing w:after="0" w:line="199" w:lineRule="exact"/>
              <w:rPr>
                <w:sz w:val="20"/>
                <w:szCs w:val="20"/>
                <w:color w:val="auto"/>
              </w:rPr>
            </w:pPr>
            <w:r>
              <w:rPr>
                <w:rFonts w:ascii="Arial" w:cs="Arial" w:eastAsia="Arial" w:hAnsi="Arial"/>
                <w:sz w:val="18"/>
                <w:szCs w:val="18"/>
                <w:b w:val="1"/>
                <w:bCs w:val="1"/>
                <w:color w:val="auto"/>
                <w:w w:val="98"/>
              </w:rPr>
              <w:t>Adjusted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50"/>
              <w:spacing w:after="0" w:line="199" w:lineRule="exact"/>
              <w:rPr>
                <w:sz w:val="20"/>
                <w:szCs w:val="20"/>
                <w:color w:val="auto"/>
              </w:rPr>
            </w:pPr>
            <w:r>
              <w:rPr>
                <w:rFonts w:ascii="Arial" w:cs="Arial" w:eastAsia="Arial" w:hAnsi="Arial"/>
                <w:sz w:val="18"/>
                <w:szCs w:val="18"/>
                <w:b w:val="1"/>
                <w:bCs w:val="1"/>
                <w:color w:val="auto"/>
                <w:w w:val="98"/>
              </w:rPr>
              <w:t>Adjusted</w:t>
            </w:r>
          </w:p>
        </w:tc>
      </w:tr>
      <w:tr>
        <w:trPr>
          <w:trHeight w:val="253"/>
        </w:trPr>
        <w:tc>
          <w:tcPr>
            <w:tcW w:w="45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rPr>
              <w:t>EBITDA</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rPr>
              <w:t>EBITDA</w:t>
            </w:r>
          </w:p>
        </w:tc>
      </w:tr>
      <w:tr>
        <w:trPr>
          <w:trHeight w:val="242"/>
        </w:trPr>
        <w:tc>
          <w:tcPr>
            <w:tcW w:w="4520" w:type="dxa"/>
            <w:vAlign w:val="bottom"/>
          </w:tcPr>
          <w:p>
            <w:pPr>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1,327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80"/>
        </w:trPr>
        <w:tc>
          <w:tcPr>
            <w:tcW w:w="4520" w:type="dxa"/>
            <w:vAlign w:val="bottom"/>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color w:val="auto"/>
                <w:vertAlign w:val="superscript"/>
              </w:rPr>
              <w:t>(a)</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4520" w:type="dxa"/>
            <w:vAlign w:val="bottom"/>
          </w:tcPr>
          <w:p>
            <w:pPr>
              <w:ind w:left="400"/>
              <w:spacing w:after="0"/>
              <w:rPr>
                <w:sz w:val="20"/>
                <w:szCs w:val="20"/>
                <w:color w:val="auto"/>
              </w:rPr>
            </w:pPr>
            <w:r>
              <w:rPr>
                <w:rFonts w:ascii="Arial" w:cs="Arial" w:eastAsia="Arial" w:hAnsi="Arial"/>
                <w:sz w:val="18"/>
                <w:szCs w:val="18"/>
                <w:color w:val="auto"/>
              </w:rPr>
              <w:t>Total Company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45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79"/>
        </w:trPr>
        <w:tc>
          <w:tcPr>
            <w:tcW w:w="6000" w:type="dxa"/>
            <w:vAlign w:val="bottom"/>
            <w:gridSpan w:val="4"/>
          </w:tcPr>
          <w:p>
            <w:pPr>
              <w:spacing w:after="0"/>
              <w:rPr>
                <w:sz w:val="20"/>
                <w:szCs w:val="20"/>
                <w:color w:val="auto"/>
              </w:rPr>
            </w:pPr>
            <w:r>
              <w:rPr>
                <w:rFonts w:ascii="Arial" w:cs="Arial" w:eastAsia="Arial" w:hAnsi="Arial"/>
                <w:sz w:val="18"/>
                <w:szCs w:val="18"/>
                <w:b w:val="1"/>
                <w:bCs w:val="1"/>
                <w:color w:val="auto"/>
              </w:rPr>
              <w:t>Reconciliation of Adjusted EBITDA to loss before income taxes</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49"/>
        </w:trPr>
        <w:tc>
          <w:tcPr>
            <w:tcW w:w="4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1270</wp:posOffset>
            </wp:positionV>
            <wp:extent cx="8661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1270</wp:posOffset>
            </wp:positionV>
            <wp:extent cx="8661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ectPr>
          <w:pgSz w:w="11900" w:h="16838" w:orient="portrait"/>
          <w:cols w:equalWidth="0" w:num="1">
            <w:col w:w="11340"/>
          </w:cols>
          <w:pgMar w:left="240" w:top="115" w:right="319" w:bottom="1440" w:gutter="0" w:footer="0" w:header="0"/>
        </w:sectPr>
      </w:pPr>
    </w:p>
    <w:p>
      <w:pPr>
        <w:spacing w:after="0" w:line="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Adjusted EBITDA</w:t>
      </w:r>
    </w:p>
    <w:p>
      <w:pPr>
        <w:spacing w:after="0" w:line="63" w:lineRule="exact"/>
        <w:rPr>
          <w:sz w:val="20"/>
          <w:szCs w:val="20"/>
          <w:color w:val="auto"/>
        </w:rPr>
      </w:pPr>
    </w:p>
    <w:p>
      <w:pPr>
        <w:ind w:left="520"/>
        <w:spacing w:after="0"/>
        <w:tabs>
          <w:tab w:leader="none" w:pos="1300" w:val="left"/>
        </w:tabs>
        <w:rPr>
          <w:sz w:val="20"/>
          <w:szCs w:val="20"/>
          <w:color w:val="auto"/>
        </w:rPr>
      </w:pPr>
      <w:r>
        <w:rPr>
          <w:rFonts w:ascii="Arial" w:cs="Arial" w:eastAsia="Arial" w:hAnsi="Arial"/>
          <w:sz w:val="17"/>
          <w:szCs w:val="17"/>
          <w:color w:val="auto"/>
        </w:rPr>
        <w:t>Less:</w:t>
        <w:tab/>
        <w:t>Non-vehicle related depreciation and amortization</w:t>
      </w:r>
    </w:p>
    <w:p>
      <w:pPr>
        <w:spacing w:after="0" w:line="7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Interest expense related to corporate debt, net:</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Early extinguishment of debt</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Restructuring and other related charges</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Transaction-related costs, net</w:t>
      </w:r>
    </w:p>
    <w:p>
      <w:pPr>
        <w:spacing w:after="0" w:line="5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Non-operational charges related to</w:t>
      </w:r>
    </w:p>
    <w:p>
      <w:pPr>
        <w:spacing w:after="0" w:line="1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shareholder activist activity</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Loss before income taxes</w:t>
      </w:r>
    </w:p>
    <w:p>
      <w:pPr>
        <w:spacing w:after="0" w:line="20" w:lineRule="exact"/>
        <w:rPr>
          <w:sz w:val="20"/>
          <w:szCs w:val="20"/>
          <w:color w:val="auto"/>
        </w:rPr>
      </w:pPr>
      <w:r>
        <w:rPr>
          <w:sz w:val="20"/>
          <w:szCs w:val="20"/>
          <w:color w:val="auto"/>
        </w:rPr>
        <w:br w:type="column"/>
      </w:r>
    </w:p>
    <w:p>
      <w:pPr>
        <w:spacing w:after="0"/>
        <w:tabs>
          <w:tab w:leader="none" w:pos="1060" w:val="left"/>
          <w:tab w:leader="none" w:pos="2920" w:val="left"/>
          <w:tab w:leader="none" w:pos="40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2</w:t>
      </w:r>
    </w:p>
    <w:p>
      <w:pPr>
        <w:spacing w:after="0" w:line="63" w:lineRule="exact"/>
        <w:rPr>
          <w:sz w:val="20"/>
          <w:szCs w:val="20"/>
          <w:color w:val="auto"/>
        </w:rPr>
      </w:pPr>
    </w:p>
    <w:p>
      <w:pPr>
        <w:ind w:left="1040"/>
        <w:spacing w:after="0"/>
        <w:tabs>
          <w:tab w:leader="none" w:pos="398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color w:val="auto"/>
        </w:rPr>
        <w:t>61</w:t>
      </w:r>
    </w:p>
    <w:p>
      <w:pPr>
        <w:spacing w:after="0" w:line="333" w:lineRule="exact"/>
        <w:rPr>
          <w:sz w:val="20"/>
          <w:szCs w:val="20"/>
          <w:color w:val="auto"/>
        </w:rPr>
      </w:pPr>
    </w:p>
    <w:p>
      <w:pPr>
        <w:ind w:left="1040"/>
        <w:spacing w:after="0"/>
        <w:tabs>
          <w:tab w:leader="none" w:pos="39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46</w:t>
      </w:r>
    </w:p>
    <w:p>
      <w:pPr>
        <w:spacing w:after="0" w:line="63" w:lineRule="exact"/>
        <w:rPr>
          <w:sz w:val="20"/>
          <w:szCs w:val="20"/>
          <w:color w:val="auto"/>
        </w:rPr>
      </w:pPr>
    </w:p>
    <w:p>
      <w:pPr>
        <w:ind w:left="1060"/>
        <w:spacing w:after="0"/>
        <w:tabs>
          <w:tab w:leader="none" w:pos="40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w:t>
      </w:r>
    </w:p>
    <w:p>
      <w:pPr>
        <w:spacing w:after="0" w:line="63" w:lineRule="exact"/>
        <w:rPr>
          <w:sz w:val="20"/>
          <w:szCs w:val="20"/>
          <w:color w:val="auto"/>
        </w:rPr>
      </w:pPr>
    </w:p>
    <w:p>
      <w:pPr>
        <w:ind w:left="1040"/>
        <w:spacing w:after="0"/>
        <w:tabs>
          <w:tab w:leader="none" w:pos="40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6</w:t>
      </w:r>
    </w:p>
    <w:p>
      <w:pPr>
        <w:spacing w:after="0" w:line="63" w:lineRule="exact"/>
        <w:rPr>
          <w:sz w:val="20"/>
          <w:szCs w:val="20"/>
          <w:color w:val="auto"/>
        </w:rPr>
      </w:pPr>
    </w:p>
    <w:p>
      <w:pPr>
        <w:ind w:left="1140"/>
        <w:spacing w:after="0"/>
        <w:tabs>
          <w:tab w:leader="none" w:pos="408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4</w:t>
      </w:r>
    </w:p>
    <w:p>
      <w:pPr>
        <w:spacing w:after="0" w:line="252" w:lineRule="exact"/>
        <w:rPr>
          <w:sz w:val="20"/>
          <w:szCs w:val="20"/>
          <w:color w:val="auto"/>
        </w:rPr>
      </w:pPr>
    </w:p>
    <w:p>
      <w:pPr>
        <w:ind w:left="1060"/>
        <w:spacing w:after="0"/>
        <w:tabs>
          <w:tab w:leader="none" w:pos="40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1855470</wp:posOffset>
            </wp:positionH>
            <wp:positionV relativeFrom="paragraph">
              <wp:posOffset>28575</wp:posOffset>
            </wp:positionV>
            <wp:extent cx="8661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28575</wp:posOffset>
            </wp:positionV>
            <wp:extent cx="8661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43" w:lineRule="exact"/>
        <w:rPr>
          <w:sz w:val="20"/>
          <w:szCs w:val="20"/>
          <w:color w:val="auto"/>
        </w:rPr>
      </w:pPr>
    </w:p>
    <w:p>
      <w:pPr>
        <w:spacing w:after="0"/>
        <w:tabs>
          <w:tab w:leader="none" w:pos="860" w:val="left"/>
          <w:tab w:leader="none" w:pos="2920" w:val="left"/>
          <w:tab w:leader="none" w:pos="3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1855470</wp:posOffset>
            </wp:positionH>
            <wp:positionV relativeFrom="paragraph">
              <wp:posOffset>28575</wp:posOffset>
            </wp:positionV>
            <wp:extent cx="8661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45720</wp:posOffset>
            </wp:positionV>
            <wp:extent cx="8661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28575</wp:posOffset>
            </wp:positionV>
            <wp:extent cx="8661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45720</wp:posOffset>
            </wp:positionV>
            <wp:extent cx="8661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5820" w:space="720"/>
            <w:col w:w="4800"/>
          </w:cols>
          <w:pgMar w:left="240" w:top="115" w:right="31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26" w:lineRule="auto"/>
        <w:tabs>
          <w:tab w:leader="none" w:pos="82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spacing w:after="0" w:line="121" w:lineRule="exact"/>
        <w:rPr>
          <w:sz w:val="20"/>
          <w:szCs w:val="20"/>
          <w:color w:val="auto"/>
        </w:rPr>
      </w:pPr>
    </w:p>
    <w:p>
      <w:pPr>
        <w:ind w:left="500" w:right="60"/>
        <w:spacing w:after="0" w:line="264" w:lineRule="auto"/>
        <w:rPr>
          <w:sz w:val="20"/>
          <w:szCs w:val="20"/>
          <w:color w:val="auto"/>
        </w:rPr>
      </w:pPr>
      <w:r>
        <w:rPr>
          <w:rFonts w:ascii="Arial" w:cs="Arial" w:eastAsia="Arial" w:hAnsi="Arial"/>
          <w:sz w:val="18"/>
          <w:szCs w:val="18"/>
          <w:color w:val="auto"/>
        </w:rPr>
        <w:t>As of March 31, 2019 and December 31, 2018, Americas’ segment assets exclusive of assets under vehicle programs were approximately $5.8 billion and $3.8 billion, respectively, and International segment assets exclusive of assets under vehicle programs were approximately $3.0 billion and $ 2.5 billion, respectively. The increases in assets exclusive of assets under vehicle programs is due to the adoption of ASU 2016-02 (see Note 1-Basis of Presentation).</w:t>
      </w:r>
    </w:p>
    <w:p>
      <w:pPr>
        <w:spacing w:after="0" w:line="170" w:lineRule="exact"/>
        <w:rPr>
          <w:sz w:val="20"/>
          <w:szCs w:val="20"/>
          <w:color w:val="auto"/>
        </w:rPr>
      </w:pPr>
    </w:p>
    <w:p>
      <w:pPr>
        <w:jc w:val="both"/>
        <w:ind w:left="500" w:right="380"/>
        <w:spacing w:after="0" w:line="271" w:lineRule="auto"/>
        <w:rPr>
          <w:sz w:val="20"/>
          <w:szCs w:val="20"/>
          <w:color w:val="auto"/>
        </w:rPr>
      </w:pPr>
      <w:r>
        <w:rPr>
          <w:rFonts w:ascii="Arial" w:cs="Arial" w:eastAsia="Arial" w:hAnsi="Arial"/>
          <w:sz w:val="18"/>
          <w:szCs w:val="18"/>
          <w:color w:val="auto"/>
        </w:rPr>
        <w:t>As of March 31, 2019 and December 31, 2018, Americas’ assets under vehicle programs were approximately $11.0 billion and $9.7 billion, due to seasonality. Since December 31, 2018, there have been no significant changes in International segment assets under vehicle programs.</w:t>
      </w:r>
    </w:p>
    <w:p>
      <w:pPr>
        <w:spacing w:after="0" w:line="161"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and Non-Guarantor Consolidating Condensed Financial Statements</w:t>
      </w:r>
    </w:p>
    <w:p>
      <w:pPr>
        <w:spacing w:after="0" w:line="227" w:lineRule="exact"/>
        <w:rPr>
          <w:rFonts w:ascii="Arial" w:cs="Arial" w:eastAsia="Arial" w:hAnsi="Arial"/>
          <w:sz w:val="18"/>
          <w:szCs w:val="18"/>
          <w:b w:val="1"/>
          <w:bCs w:val="1"/>
          <w:color w:val="auto"/>
        </w:rPr>
      </w:pPr>
    </w:p>
    <w:p>
      <w:pPr>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following consolidating financial information presents Consolidating Condensed Statements of Comprehensive Income for the three months ended March 31, 2019 and 2018, Consolidating Condensed Balance Sheets as of March 31, 2019 and December 31, 2018, and Consolidating Condensed Statements of Cash Flows for the three months ended March 31, 2019 and 2018 for: (i) Avis Budget Group, Inc. (the “Parent”); (ii) ABCR and Avis Budget Finance, Inc. (the “Subsidiary Issuers”); (iii) the guarantor subsidiaries; (iv) the non-guarantor subsidiaries; (v) elimination entries necessary to consolidate the Parent with the Subsidiary Issuers, and the guarantor and non-guarantor subsidiaries; and (vi) the Company on a consolidated basis. The Subsidiary Issuers and the guarantor and non-guarantor subsidiaries are 100% owned by the Parent, either directly or indirectly. All guarantees are full and unconditional and joint and several. This financial information is being presented in relation to the Company’s guarantee of the payment of principal, premium (if any) and interest on the notes issued by the Subsidiary Issuers. See Note 10 - Long-term Corporate Debt and Borrowing Arrangements for additional description of these guaranteed notes. The Senior Notes are guaranteed by the Parent and certain subsidiaries.</w:t>
      </w:r>
    </w:p>
    <w:p>
      <w:pPr>
        <w:spacing w:after="0" w:line="177" w:lineRule="exact"/>
        <w:rPr>
          <w:rFonts w:ascii="Arial" w:cs="Arial" w:eastAsia="Arial" w:hAnsi="Arial"/>
          <w:sz w:val="18"/>
          <w:szCs w:val="18"/>
          <w:b w:val="1"/>
          <w:bCs w:val="1"/>
          <w:color w:val="auto"/>
        </w:rPr>
      </w:pPr>
    </w:p>
    <w:p>
      <w:pPr>
        <w:ind w:left="500" w:right="40"/>
        <w:spacing w:after="0" w:line="292" w:lineRule="auto"/>
        <w:rPr>
          <w:rFonts w:ascii="Arial" w:cs="Arial" w:eastAsia="Arial" w:hAnsi="Arial"/>
          <w:sz w:val="18"/>
          <w:szCs w:val="18"/>
          <w:b w:val="1"/>
          <w:bCs w:val="1"/>
          <w:color w:val="auto"/>
        </w:rPr>
      </w:pPr>
      <w:r>
        <w:rPr>
          <w:rFonts w:ascii="Arial" w:cs="Arial" w:eastAsia="Arial" w:hAnsi="Arial"/>
          <w:sz w:val="18"/>
          <w:szCs w:val="18"/>
          <w:color w:val="auto"/>
        </w:rPr>
        <w:t>Investments in subsidiaries are accounted for using the equity method of accounting for purposes of the consolidating presentation. The principal elimination entries relate to investments in subsidiaries and</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115" w:right="31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500"/>
        <w:spacing w:after="0" w:line="292" w:lineRule="auto"/>
        <w:rPr>
          <w:sz w:val="20"/>
          <w:szCs w:val="20"/>
          <w:color w:val="auto"/>
        </w:rPr>
      </w:pPr>
      <w:r>
        <w:rPr>
          <w:rFonts w:ascii="Arial" w:cs="Arial" w:eastAsia="Arial" w:hAnsi="Arial"/>
          <w:sz w:val="18"/>
          <w:szCs w:val="18"/>
          <w:color w:val="auto"/>
        </w:rPr>
        <w:t>intercompany balances and transactions. For purposes of the accompanying Consolidating Condensed Statements of Comprehensive Income, certain expenses incurred by the Subsidiary Issuers are allocated to the guarantor and non-guarantor subsidiaries.</w:t>
      </w:r>
    </w:p>
    <w:p>
      <w:pPr>
        <w:spacing w:after="0" w:line="145" w:lineRule="exact"/>
        <w:rPr>
          <w:sz w:val="20"/>
          <w:szCs w:val="20"/>
          <w:color w:val="auto"/>
        </w:rPr>
      </w:pPr>
    </w:p>
    <w:p>
      <w:pPr>
        <w:jc w:val="both"/>
        <w:ind w:left="500" w:right="660"/>
        <w:spacing w:after="0" w:line="323" w:lineRule="auto"/>
        <w:rPr>
          <w:sz w:val="20"/>
          <w:szCs w:val="20"/>
          <w:color w:val="auto"/>
        </w:rPr>
      </w:pPr>
      <w:r>
        <w:rPr>
          <w:rFonts w:ascii="Arial" w:cs="Arial" w:eastAsia="Arial" w:hAnsi="Arial"/>
          <w:sz w:val="17"/>
          <w:szCs w:val="17"/>
          <w:color w:val="auto"/>
        </w:rPr>
        <w:t>The following table provides a reconciliation of the cash and cash equivalents, program and restricted cash reported within the Consolidating Condensed Balance Sheets to the amounts shown in the Consolidating Condensed Statements of Cash Flows.</w:t>
      </w:r>
    </w:p>
    <w:p>
      <w:pPr>
        <w:spacing w:after="0" w:line="188" w:lineRule="exact"/>
        <w:rPr>
          <w:sz w:val="20"/>
          <w:szCs w:val="20"/>
          <w:color w:val="auto"/>
        </w:rPr>
      </w:pPr>
    </w:p>
    <w:tbl>
      <w:tblPr>
        <w:tblLayout w:type="fixed"/>
        <w:tblInd w:w="520" w:type="dxa"/>
        <w:tblCellMar>
          <w:top w:w="0" w:type="dxa"/>
          <w:left w:w="0" w:type="dxa"/>
          <w:bottom w:w="0" w:type="dxa"/>
          <w:right w:w="0" w:type="dxa"/>
        </w:tblCellMar>
      </w:tblPr>
      <w:tr>
        <w:trPr>
          <w:trHeight w:val="254"/>
        </w:trPr>
        <w:tc>
          <w:tcPr>
            <w:tcW w:w="30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As of March 31,</w:t>
            </w: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0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3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line="199" w:lineRule="exact"/>
              <w:rPr>
                <w:sz w:val="20"/>
                <w:szCs w:val="20"/>
                <w:color w:val="auto"/>
              </w:rPr>
            </w:pPr>
            <w:r>
              <w:rPr>
                <w:rFonts w:ascii="Arial" w:cs="Arial" w:eastAsia="Arial" w:hAnsi="Arial"/>
                <w:sz w:val="18"/>
                <w:szCs w:val="18"/>
                <w:b w:val="1"/>
                <w:bCs w:val="1"/>
                <w:color w:val="auto"/>
                <w:w w:val="99"/>
              </w:rPr>
              <w:t>Subsidiary</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Issuers</w:t>
            </w:r>
          </w:p>
        </w:tc>
        <w:tc>
          <w:tcPr>
            <w:tcW w:w="1460" w:type="dxa"/>
            <w:vAlign w:val="bottom"/>
            <w:gridSpan w:val="3"/>
          </w:tcPr>
          <w:p>
            <w:pPr>
              <w:ind w:left="40"/>
              <w:spacing w:after="0"/>
              <w:rPr>
                <w:sz w:val="20"/>
                <w:szCs w:val="20"/>
                <w:color w:val="auto"/>
              </w:rPr>
            </w:pPr>
            <w:r>
              <w:rPr>
                <w:rFonts w:ascii="Arial" w:cs="Arial" w:eastAsia="Arial" w:hAnsi="Arial"/>
                <w:sz w:val="18"/>
                <w:szCs w:val="18"/>
                <w:b w:val="1"/>
                <w:bCs w:val="1"/>
                <w:color w:val="auto"/>
              </w:rPr>
              <w:t>Non-Guarantor</w:t>
            </w:r>
          </w:p>
        </w:tc>
        <w:tc>
          <w:tcPr>
            <w:tcW w:w="300" w:type="dxa"/>
            <w:vAlign w:val="bottom"/>
          </w:tcPr>
          <w:p>
            <w:pPr>
              <w:spacing w:after="0"/>
              <w:rPr>
                <w:sz w:val="21"/>
                <w:szCs w:val="21"/>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480" w:type="dxa"/>
            <w:vAlign w:val="bottom"/>
            <w:gridSpan w:val="3"/>
          </w:tcPr>
          <w:p>
            <w:pPr>
              <w:ind w:left="40"/>
              <w:spacing w:after="0"/>
              <w:rPr>
                <w:sz w:val="20"/>
                <w:szCs w:val="20"/>
                <w:color w:val="auto"/>
              </w:rPr>
            </w:pPr>
            <w:r>
              <w:rPr>
                <w:rFonts w:ascii="Arial" w:cs="Arial" w:eastAsia="Arial" w:hAnsi="Arial"/>
                <w:sz w:val="18"/>
                <w:szCs w:val="18"/>
                <w:b w:val="1"/>
                <w:bCs w:val="1"/>
                <w:color w:val="auto"/>
              </w:rPr>
              <w:t>Non-Guarantor</w:t>
            </w:r>
          </w:p>
        </w:tc>
        <w:tc>
          <w:tcPr>
            <w:tcW w:w="300" w:type="dxa"/>
            <w:vAlign w:val="bottom"/>
          </w:tcPr>
          <w:p>
            <w:pPr>
              <w:spacing w:after="0"/>
              <w:rPr>
                <w:sz w:val="21"/>
                <w:szCs w:val="21"/>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2"/>
        </w:trPr>
        <w:tc>
          <w:tcPr>
            <w:tcW w:w="30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Program cash</w:t>
            </w:r>
          </w:p>
        </w:tc>
        <w:tc>
          <w:tcPr>
            <w:tcW w:w="18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80"/>
        </w:trPr>
        <w:tc>
          <w:tcPr>
            <w:tcW w:w="3080" w:type="dxa"/>
            <w:vAlign w:val="bottom"/>
          </w:tcPr>
          <w:p>
            <w:pPr>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21"/>
                <w:szCs w:val="21"/>
                <w:color w:val="auto"/>
                <w:vertAlign w:val="superscript"/>
              </w:rPr>
              <w:t>(a)</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7"/>
        </w:trPr>
        <w:tc>
          <w:tcPr>
            <w:tcW w:w="3080" w:type="dxa"/>
            <w:vAlign w:val="bottom"/>
          </w:tcPr>
          <w:p>
            <w:pPr>
              <w:spacing w:after="0" w:line="187" w:lineRule="exact"/>
              <w:rPr>
                <w:sz w:val="20"/>
                <w:szCs w:val="20"/>
                <w:color w:val="auto"/>
              </w:rPr>
            </w:pPr>
            <w:r>
              <w:rPr>
                <w:rFonts w:ascii="Arial" w:cs="Arial" w:eastAsia="Arial" w:hAnsi="Arial"/>
                <w:sz w:val="18"/>
                <w:szCs w:val="18"/>
                <w:color w:val="auto"/>
              </w:rPr>
              <w:t>Total cash and cash equivalents,</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6"/>
                <w:szCs w:val="16"/>
                <w:color w:val="auto"/>
              </w:rPr>
            </w:pPr>
          </w:p>
        </w:tc>
        <w:tc>
          <w:tcPr>
            <w:tcW w:w="3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6"/>
                <w:szCs w:val="16"/>
                <w:color w:val="auto"/>
              </w:rPr>
            </w:pPr>
          </w:p>
        </w:tc>
        <w:tc>
          <w:tcPr>
            <w:tcW w:w="3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6"/>
                <w:szCs w:val="16"/>
                <w:color w:val="auto"/>
              </w:rPr>
            </w:pPr>
          </w:p>
        </w:tc>
        <w:tc>
          <w:tcPr>
            <w:tcW w:w="56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16"/>
                <w:szCs w:val="16"/>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43"/>
        </w:trPr>
        <w:tc>
          <w:tcPr>
            <w:tcW w:w="3080" w:type="dxa"/>
            <w:vAlign w:val="bottom"/>
          </w:tcPr>
          <w:p>
            <w:pPr>
              <w:ind w:left="160"/>
              <w:spacing w:after="0"/>
              <w:rPr>
                <w:sz w:val="20"/>
                <w:szCs w:val="20"/>
                <w:color w:val="auto"/>
              </w:rPr>
            </w:pPr>
            <w:r>
              <w:rPr>
                <w:rFonts w:ascii="Arial" w:cs="Arial" w:eastAsia="Arial" w:hAnsi="Arial"/>
                <w:sz w:val="18"/>
                <w:szCs w:val="18"/>
                <w:color w:val="auto"/>
              </w:rPr>
              <w:t>program and restricted cash</w:t>
            </w:r>
          </w:p>
        </w:tc>
        <w:tc>
          <w:tcPr>
            <w:tcW w:w="18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-1905</wp:posOffset>
            </wp:positionV>
            <wp:extent cx="45878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587875" cy="889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6"/>
          <w:szCs w:val="16"/>
          <w:color w:val="auto"/>
        </w:rPr>
        <w:t>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-113030</wp:posOffset>
            </wp:positionV>
            <wp:extent cx="45878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87875" cy="8890"/>
                    </a:xfrm>
                    <a:prstGeom prst="rect">
                      <a:avLst/>
                    </a:prstGeom>
                    <a:noFill/>
                  </pic:spPr>
                </pic:pic>
              </a:graphicData>
            </a:graphic>
          </wp:anchor>
        </w:drawing>
      </w:r>
    </w:p>
    <w:p>
      <w:pPr>
        <w:ind w:left="820" w:hanging="326"/>
        <w:spacing w:after="0" w:line="236" w:lineRule="auto"/>
        <w:tabs>
          <w:tab w:leader="none" w:pos="820"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Included within other current assets.</w:t>
      </w:r>
    </w:p>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240" w:top="115" w:right="4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Comprehensive Income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2019</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Issuers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1,188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1,304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(572)</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1,920</w:t>
            </w:r>
          </w:p>
        </w:tc>
        <w:tc>
          <w:tcPr>
            <w:tcW w:w="0" w:type="dxa"/>
            <w:vAlign w:val="bottom"/>
          </w:tcPr>
          <w:p>
            <w:pPr>
              <w:spacing w:after="0"/>
              <w:rPr>
                <w:sz w:val="1"/>
                <w:szCs w:val="1"/>
                <w:color w:val="auto"/>
              </w:rPr>
            </w:pPr>
          </w:p>
        </w:tc>
      </w:tr>
      <w:tr>
        <w:trPr>
          <w:trHeight w:val="493"/>
        </w:trPr>
        <w:tc>
          <w:tcPr>
            <w:tcW w:w="346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6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88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1,071</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880" w:type="dxa"/>
            <w:vAlign w:val="bottom"/>
          </w:tcPr>
          <w:p>
            <w:pPr>
              <w:spacing w:after="0"/>
              <w:rPr>
                <w:sz w:val="23"/>
                <w:szCs w:val="23"/>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Intercompany interest expense (income)</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Early extinguishment of debt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Restructuring and other related charges</w:t>
            </w:r>
          </w:p>
        </w:tc>
        <w:tc>
          <w:tcPr>
            <w:tcW w:w="880" w:type="dxa"/>
            <w:vAlign w:val="bottom"/>
          </w:tcPr>
          <w:p>
            <w:pPr>
              <w:spacing w:after="0"/>
              <w:rPr>
                <w:sz w:val="23"/>
                <w:szCs w:val="23"/>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4"/>
        </w:trPr>
        <w:tc>
          <w:tcPr>
            <w:tcW w:w="346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48"/>
        </w:trPr>
        <w:tc>
          <w:tcPr>
            <w:tcW w:w="3460" w:type="dxa"/>
            <w:vAlign w:val="bottom"/>
          </w:tcPr>
          <w:p>
            <w:pPr>
              <w:spacing w:after="0"/>
              <w:rPr>
                <w:sz w:val="20"/>
                <w:szCs w:val="20"/>
                <w:color w:val="auto"/>
              </w:rPr>
            </w:pPr>
            <w:r>
              <w:rPr>
                <w:rFonts w:ascii="Arial" w:cs="Arial" w:eastAsia="Arial" w:hAnsi="Arial"/>
                <w:sz w:val="14"/>
                <w:szCs w:val="14"/>
                <w:color w:val="auto"/>
              </w:rPr>
              <w:t>Total expenses</w:t>
            </w:r>
          </w:p>
        </w:tc>
        <w:tc>
          <w:tcPr>
            <w:tcW w:w="8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1,429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1,166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(572)</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2,056</w:t>
            </w:r>
          </w:p>
        </w:tc>
        <w:tc>
          <w:tcPr>
            <w:tcW w:w="0" w:type="dxa"/>
            <w:vAlign w:val="bottom"/>
          </w:tcPr>
          <w:p>
            <w:pPr>
              <w:spacing w:after="0"/>
              <w:rPr>
                <w:sz w:val="1"/>
                <w:szCs w:val="1"/>
                <w:color w:val="auto"/>
              </w:rPr>
            </w:pPr>
          </w:p>
        </w:tc>
      </w:tr>
      <w:tr>
        <w:trPr>
          <w:trHeight w:val="160"/>
        </w:trPr>
        <w:tc>
          <w:tcPr>
            <w:tcW w:w="346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46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64"/>
        </w:trPr>
        <w:tc>
          <w:tcPr>
            <w:tcW w:w="346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74"/>
        </w:trPr>
        <w:tc>
          <w:tcPr>
            <w:tcW w:w="3460" w:type="dxa"/>
            <w:vAlign w:val="bottom"/>
          </w:tcPr>
          <w:p>
            <w:pPr>
              <w:spacing w:after="0"/>
              <w:rPr>
                <w:sz w:val="20"/>
                <w:szCs w:val="20"/>
                <w:color w:val="auto"/>
              </w:rPr>
            </w:pPr>
            <w:r>
              <w:rPr>
                <w:rFonts w:ascii="Arial" w:cs="Arial" w:eastAsia="Arial" w:hAnsi="Arial"/>
                <w:sz w:val="14"/>
                <w:szCs w:val="14"/>
                <w:color w:val="auto"/>
              </w:rPr>
              <w:t>Equity in earnings (loss) of subsidiaries</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346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88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 (loss)</w:t>
            </w: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460" w:type="dxa"/>
            <w:vAlign w:val="bottom"/>
            <w:vMerge w:val="continue"/>
          </w:tcPr>
          <w:p>
            <w:pPr>
              <w:spacing w:after="0"/>
              <w:rPr>
                <w:sz w:val="24"/>
                <w:szCs w:val="24"/>
                <w:color w:val="auto"/>
              </w:rPr>
            </w:pPr>
          </w:p>
        </w:tc>
        <w:tc>
          <w:tcPr>
            <w:tcW w:w="8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00"/>
          </w:cols>
          <w:pgMar w:left="240" w:top="115" w:right="25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2018</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Issuers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1,184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1,359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(575)</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1,968</w:t>
            </w:r>
          </w:p>
        </w:tc>
        <w:tc>
          <w:tcPr>
            <w:tcW w:w="0" w:type="dxa"/>
            <w:vAlign w:val="bottom"/>
          </w:tcPr>
          <w:p>
            <w:pPr>
              <w:spacing w:after="0"/>
              <w:rPr>
                <w:sz w:val="1"/>
                <w:szCs w:val="1"/>
                <w:color w:val="auto"/>
              </w:rPr>
            </w:pPr>
          </w:p>
        </w:tc>
      </w:tr>
      <w:tr>
        <w:trPr>
          <w:trHeight w:val="493"/>
        </w:trPr>
        <w:tc>
          <w:tcPr>
            <w:tcW w:w="346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6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880" w:type="dxa"/>
            <w:vAlign w:val="bottom"/>
          </w:tcPr>
          <w:p>
            <w:pPr>
              <w:spacing w:after="0"/>
              <w:rPr>
                <w:sz w:val="22"/>
                <w:szCs w:val="22"/>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880" w:type="dxa"/>
            <w:vAlign w:val="bottom"/>
          </w:tcPr>
          <w:p>
            <w:pPr>
              <w:spacing w:after="0"/>
              <w:rPr>
                <w:sz w:val="23"/>
                <w:szCs w:val="23"/>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Intercompany interest expense (income)</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Early extinguishment of debt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Restructuring and other related charges</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4"/>
        </w:trPr>
        <w:tc>
          <w:tcPr>
            <w:tcW w:w="346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48"/>
        </w:trPr>
        <w:tc>
          <w:tcPr>
            <w:tcW w:w="3460" w:type="dxa"/>
            <w:vAlign w:val="bottom"/>
          </w:tcPr>
          <w:p>
            <w:pPr>
              <w:spacing w:after="0"/>
              <w:rPr>
                <w:sz w:val="20"/>
                <w:szCs w:val="20"/>
                <w:color w:val="auto"/>
              </w:rPr>
            </w:pPr>
            <w:r>
              <w:rPr>
                <w:rFonts w:ascii="Arial" w:cs="Arial" w:eastAsia="Arial" w:hAnsi="Arial"/>
                <w:sz w:val="14"/>
                <w:szCs w:val="14"/>
                <w:color w:val="auto"/>
              </w:rPr>
              <w:t>Total expenses</w:t>
            </w:r>
          </w:p>
        </w:tc>
        <w:tc>
          <w:tcPr>
            <w:tcW w:w="8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1,410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1,173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2,097</w:t>
            </w:r>
          </w:p>
        </w:tc>
        <w:tc>
          <w:tcPr>
            <w:tcW w:w="0" w:type="dxa"/>
            <w:vAlign w:val="bottom"/>
          </w:tcPr>
          <w:p>
            <w:pPr>
              <w:spacing w:after="0"/>
              <w:rPr>
                <w:sz w:val="1"/>
                <w:szCs w:val="1"/>
                <w:color w:val="auto"/>
              </w:rPr>
            </w:pPr>
          </w:p>
        </w:tc>
      </w:tr>
      <w:tr>
        <w:trPr>
          <w:trHeight w:val="160"/>
        </w:trPr>
        <w:tc>
          <w:tcPr>
            <w:tcW w:w="346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46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64"/>
        </w:trPr>
        <w:tc>
          <w:tcPr>
            <w:tcW w:w="346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74"/>
        </w:trPr>
        <w:tc>
          <w:tcPr>
            <w:tcW w:w="3460" w:type="dxa"/>
            <w:vAlign w:val="bottom"/>
          </w:tcPr>
          <w:p>
            <w:pPr>
              <w:spacing w:after="0"/>
              <w:rPr>
                <w:sz w:val="20"/>
                <w:szCs w:val="20"/>
                <w:color w:val="auto"/>
              </w:rPr>
            </w:pPr>
            <w:r>
              <w:rPr>
                <w:rFonts w:ascii="Arial" w:cs="Arial" w:eastAsia="Arial" w:hAnsi="Arial"/>
                <w:sz w:val="14"/>
                <w:szCs w:val="14"/>
                <w:color w:val="auto"/>
              </w:rPr>
              <w:t>Equity in earnings (loss) of subsidiaries</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346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88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 (loss)</w:t>
            </w: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3460" w:type="dxa"/>
            <w:vAlign w:val="bottom"/>
            <w:vMerge w:val="continue"/>
          </w:tcPr>
          <w:p>
            <w:pPr>
              <w:spacing w:after="0"/>
              <w:rPr>
                <w:sz w:val="24"/>
                <w:szCs w:val="24"/>
                <w:color w:val="auto"/>
              </w:rPr>
            </w:pPr>
          </w:p>
        </w:tc>
        <w:tc>
          <w:tcPr>
            <w:tcW w:w="8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00"/>
          </w:cols>
          <w:pgMar w:left="240" w:top="115" w:right="25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Balance Sheets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540</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274"/>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w:t>
            </w:r>
          </w:p>
        </w:tc>
        <w:tc>
          <w:tcPr>
            <w:tcW w:w="0" w:type="dxa"/>
            <w:vAlign w:val="bottom"/>
          </w:tcPr>
          <w:p>
            <w:pPr>
              <w:spacing w:after="0"/>
              <w:rPr>
                <w:sz w:val="1"/>
                <w:szCs w:val="1"/>
                <w:color w:val="auto"/>
              </w:rPr>
            </w:pPr>
          </w:p>
        </w:tc>
      </w:tr>
      <w:tr>
        <w:trPr>
          <w:trHeight w:val="246"/>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2,137</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2,506</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1,095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1,389</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1,086</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(4,111)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2"/>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4,722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(8,684)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7,355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8,990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4,991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(12,795)</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8,922</w:t>
            </w:r>
          </w:p>
        </w:tc>
        <w:tc>
          <w:tcPr>
            <w:tcW w:w="0" w:type="dxa"/>
            <w:vAlign w:val="bottom"/>
          </w:tcPr>
          <w:p>
            <w:pPr>
              <w:spacing w:after="0"/>
              <w:rPr>
                <w:sz w:val="1"/>
                <w:szCs w:val="1"/>
                <w:color w:val="auto"/>
              </w:rPr>
            </w:pPr>
          </w:p>
        </w:tc>
      </w:tr>
      <w:tr>
        <w:trPr>
          <w:trHeight w:val="492"/>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12,473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12,585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627</w:t>
            </w:r>
          </w:p>
        </w:tc>
        <w:tc>
          <w:tcPr>
            <w:tcW w:w="0" w:type="dxa"/>
            <w:vAlign w:val="bottom"/>
          </w:tcPr>
          <w:p>
            <w:pPr>
              <w:spacing w:after="0"/>
              <w:rPr>
                <w:sz w:val="1"/>
                <w:szCs w:val="1"/>
                <w:color w:val="auto"/>
              </w:rPr>
            </w:pPr>
          </w:p>
        </w:tc>
      </w:tr>
      <w:tr>
        <w:trPr>
          <w:trHeight w:val="184"/>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637</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13,785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13,980</w:t>
            </w:r>
          </w:p>
        </w:tc>
        <w:tc>
          <w:tcPr>
            <w:tcW w:w="0" w:type="dxa"/>
            <w:vAlign w:val="bottom"/>
          </w:tcPr>
          <w:p>
            <w:pPr>
              <w:spacing w:after="0"/>
              <w:rPr>
                <w:sz w:val="1"/>
                <w:szCs w:val="1"/>
                <w:color w:val="auto"/>
              </w:rPr>
            </w:pPr>
          </w:p>
        </w:tc>
      </w:tr>
      <w:tr>
        <w:trPr>
          <w:trHeight w:val="241"/>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7,416</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9,124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18,776</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(12,795)</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22,902</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850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1,061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2,235</w:t>
            </w:r>
          </w:p>
        </w:tc>
        <w:tc>
          <w:tcPr>
            <w:tcW w:w="0" w:type="dxa"/>
            <w:vAlign w:val="bottom"/>
          </w:tcPr>
          <w:p>
            <w:pPr>
              <w:spacing w:after="0"/>
              <w:rPr>
                <w:sz w:val="1"/>
                <w:szCs w:val="1"/>
                <w:color w:val="auto"/>
              </w:rPr>
            </w:pPr>
          </w:p>
        </w:tc>
      </w:tr>
      <w:tr>
        <w:trPr>
          <w:trHeight w:val="184"/>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46"/>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2,258</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2,498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3,501</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Long-term operating lease liabilities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629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2,046</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739</w:t>
            </w:r>
          </w:p>
        </w:tc>
        <w:tc>
          <w:tcPr>
            <w:tcW w:w="0" w:type="dxa"/>
            <w:vAlign w:val="bottom"/>
          </w:tcPr>
          <w:p>
            <w:pPr>
              <w:spacing w:after="0"/>
              <w:rPr>
                <w:sz w:val="1"/>
                <w:szCs w:val="1"/>
                <w:color w:val="auto"/>
              </w:rPr>
            </w:pPr>
          </w:p>
        </w:tc>
      </w:tr>
      <w:tr>
        <w:trPr>
          <w:trHeight w:val="272"/>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3,700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(4,111)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7,243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2,467</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2,888</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(4,111)</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8,544</w:t>
            </w:r>
          </w:p>
        </w:tc>
        <w:tc>
          <w:tcPr>
            <w:tcW w:w="0" w:type="dxa"/>
            <w:vAlign w:val="bottom"/>
          </w:tcPr>
          <w:p>
            <w:pPr>
              <w:spacing w:after="0"/>
              <w:rPr>
                <w:sz w:val="1"/>
                <w:szCs w:val="1"/>
                <w:color w:val="auto"/>
              </w:rPr>
            </w:pPr>
          </w:p>
        </w:tc>
      </w:tr>
      <w:tr>
        <w:trPr>
          <w:trHeight w:val="492"/>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2,665</w:t>
            </w:r>
          </w:p>
        </w:tc>
        <w:tc>
          <w:tcPr>
            <w:tcW w:w="0" w:type="dxa"/>
            <w:vAlign w:val="bottom"/>
          </w:tcPr>
          <w:p>
            <w:pPr>
              <w:spacing w:after="0"/>
              <w:rPr>
                <w:sz w:val="1"/>
                <w:szCs w:val="1"/>
                <w:color w:val="auto"/>
              </w:rPr>
            </w:pPr>
          </w:p>
        </w:tc>
      </w:tr>
      <w:tr>
        <w:trPr>
          <w:trHeight w:val="184"/>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8,540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8,540</w:t>
            </w:r>
          </w:p>
        </w:tc>
        <w:tc>
          <w:tcPr>
            <w:tcW w:w="0" w:type="dxa"/>
            <w:vAlign w:val="bottom"/>
          </w:tcPr>
          <w:p>
            <w:pPr>
              <w:spacing w:after="0"/>
              <w:rPr>
                <w:sz w:val="1"/>
                <w:szCs w:val="1"/>
                <w:color w:val="auto"/>
              </w:rPr>
            </w:pPr>
          </w:p>
        </w:tc>
      </w:tr>
      <w:tr>
        <w:trPr>
          <w:trHeight w:val="270"/>
        </w:trPr>
        <w:tc>
          <w:tcPr>
            <w:tcW w:w="3540" w:type="dxa"/>
            <w:vAlign w:val="bottom"/>
          </w:tcPr>
          <w:p>
            <w:pPr>
              <w:ind w:left="16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1,995</w:t>
            </w:r>
          </w:p>
        </w:tc>
        <w:tc>
          <w:tcPr>
            <w:tcW w:w="0" w:type="dxa"/>
            <w:vAlign w:val="bottom"/>
          </w:tcPr>
          <w:p>
            <w:pPr>
              <w:spacing w:after="0"/>
              <w:rPr>
                <w:sz w:val="1"/>
                <w:szCs w:val="1"/>
                <w:color w:val="auto"/>
              </w:rPr>
            </w:pPr>
          </w:p>
        </w:tc>
      </w:tr>
      <w:tr>
        <w:trPr>
          <w:trHeight w:val="274"/>
        </w:trPr>
        <w:tc>
          <w:tcPr>
            <w:tcW w:w="3540" w:type="dxa"/>
            <w:vAlign w:val="bottom"/>
          </w:tcPr>
          <w:p>
            <w:pPr>
              <w:ind w:left="16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748</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12,074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14,034</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4,722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3,814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(8,684)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241"/>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7,416</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9,124</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18,776</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(12,795)</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22,902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6" w:right="259" w:bottom="1440" w:gutter="0" w:footer="0" w:header="0"/>
        </w:sectPr>
      </w:pP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00"/>
          </w:cols>
          <w:pgMar w:left="240" w:top="116" w:right="25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955</w:t>
            </w:r>
          </w:p>
        </w:tc>
        <w:tc>
          <w:tcPr>
            <w:tcW w:w="0" w:type="dxa"/>
            <w:vAlign w:val="bottom"/>
          </w:tcPr>
          <w:p>
            <w:pPr>
              <w:spacing w:after="0"/>
              <w:rPr>
                <w:sz w:val="1"/>
                <w:szCs w:val="1"/>
                <w:color w:val="auto"/>
              </w:rPr>
            </w:pPr>
          </w:p>
        </w:tc>
      </w:tr>
      <w:tr>
        <w:trPr>
          <w:trHeight w:val="274"/>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246"/>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2,174</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736</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1,301</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(3,929)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2"/>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4,786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(8,884)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6,593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7,800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4,319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(12,813)</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6,370</w:t>
            </w:r>
          </w:p>
        </w:tc>
        <w:tc>
          <w:tcPr>
            <w:tcW w:w="0" w:type="dxa"/>
            <w:vAlign w:val="bottom"/>
          </w:tcPr>
          <w:p>
            <w:pPr>
              <w:spacing w:after="0"/>
              <w:rPr>
                <w:sz w:val="1"/>
                <w:szCs w:val="1"/>
                <w:color w:val="auto"/>
              </w:rPr>
            </w:pPr>
          </w:p>
        </w:tc>
      </w:tr>
      <w:tr>
        <w:trPr>
          <w:trHeight w:val="492"/>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11,365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11,474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184"/>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12,668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12,779</w:t>
            </w:r>
          </w:p>
        </w:tc>
        <w:tc>
          <w:tcPr>
            <w:tcW w:w="0" w:type="dxa"/>
            <w:vAlign w:val="bottom"/>
          </w:tcPr>
          <w:p>
            <w:pPr>
              <w:spacing w:after="0"/>
              <w:rPr>
                <w:sz w:val="1"/>
                <w:szCs w:val="1"/>
                <w:color w:val="auto"/>
              </w:rPr>
            </w:pPr>
          </w:p>
        </w:tc>
      </w:tr>
      <w:tr>
        <w:trPr>
          <w:trHeight w:val="241"/>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471</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6,650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7,854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16,987</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(12,813)</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19,149</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849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1,693</w:t>
            </w:r>
          </w:p>
        </w:tc>
        <w:tc>
          <w:tcPr>
            <w:tcW w:w="0" w:type="dxa"/>
            <w:vAlign w:val="bottom"/>
          </w:tcPr>
          <w:p>
            <w:pPr>
              <w:spacing w:after="0"/>
              <w:rPr>
                <w:sz w:val="1"/>
                <w:szCs w:val="1"/>
                <w:color w:val="auto"/>
              </w:rPr>
            </w:pPr>
          </w:p>
        </w:tc>
      </w:tr>
      <w:tr>
        <w:trPr>
          <w:trHeight w:val="184"/>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46"/>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1,716</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2,501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3,528</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767</w:t>
            </w:r>
          </w:p>
        </w:tc>
        <w:tc>
          <w:tcPr>
            <w:tcW w:w="0" w:type="dxa"/>
            <w:vAlign w:val="bottom"/>
          </w:tcPr>
          <w:p>
            <w:pPr>
              <w:spacing w:after="0"/>
              <w:rPr>
                <w:sz w:val="1"/>
                <w:szCs w:val="1"/>
                <w:color w:val="auto"/>
              </w:rPr>
            </w:pPr>
          </w:p>
        </w:tc>
      </w:tr>
      <w:tr>
        <w:trPr>
          <w:trHeight w:val="272"/>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3,524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(3,929)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6,376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2,258</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6,011</w:t>
            </w:r>
          </w:p>
        </w:tc>
        <w:tc>
          <w:tcPr>
            <w:tcW w:w="0" w:type="dxa"/>
            <w:vAlign w:val="bottom"/>
          </w:tcPr>
          <w:p>
            <w:pPr>
              <w:spacing w:after="0"/>
              <w:rPr>
                <w:sz w:val="1"/>
                <w:szCs w:val="1"/>
                <w:color w:val="auto"/>
              </w:rPr>
            </w:pPr>
          </w:p>
        </w:tc>
      </w:tr>
      <w:tr>
        <w:trPr>
          <w:trHeight w:val="492"/>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2,874</w:t>
            </w:r>
          </w:p>
        </w:tc>
        <w:tc>
          <w:tcPr>
            <w:tcW w:w="0" w:type="dxa"/>
            <w:vAlign w:val="bottom"/>
          </w:tcPr>
          <w:p>
            <w:pPr>
              <w:spacing w:after="0"/>
              <w:rPr>
                <w:sz w:val="1"/>
                <w:szCs w:val="1"/>
                <w:color w:val="auto"/>
              </w:rPr>
            </w:pPr>
          </w:p>
        </w:tc>
      </w:tr>
      <w:tr>
        <w:trPr>
          <w:trHeight w:val="184"/>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7,358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7,358</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1,961</w:t>
            </w:r>
          </w:p>
        </w:tc>
        <w:tc>
          <w:tcPr>
            <w:tcW w:w="0" w:type="dxa"/>
            <w:vAlign w:val="bottom"/>
          </w:tcPr>
          <w:p>
            <w:pPr>
              <w:spacing w:after="0"/>
              <w:rPr>
                <w:sz w:val="1"/>
                <w:szCs w:val="1"/>
                <w:color w:val="auto"/>
              </w:rPr>
            </w:pPr>
          </w:p>
        </w:tc>
      </w:tr>
      <w:tr>
        <w:trPr>
          <w:trHeight w:val="274"/>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531</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10,877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12,724</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414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4,786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3,852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(8,884)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241"/>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6,650</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7,854</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16,987</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(12,813)</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19,149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5" w:right="25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00"/>
          </w:cols>
          <w:pgMar w:left="240" w:top="115" w:right="25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Cash Flows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2019</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3280" w:type="dxa"/>
            <w:vAlign w:val="bottom"/>
          </w:tcPr>
          <w:p>
            <w:pPr>
              <w:spacing w:after="0" w:line="156" w:lineRule="exact"/>
              <w:rPr>
                <w:sz w:val="20"/>
                <w:szCs w:val="20"/>
                <w:color w:val="auto"/>
              </w:rPr>
            </w:pPr>
            <w:r>
              <w:rPr>
                <w:rFonts w:ascii="Arial" w:cs="Arial" w:eastAsia="Arial" w:hAnsi="Arial"/>
                <w:sz w:val="14"/>
                <w:szCs w:val="14"/>
                <w:b w:val="1"/>
                <w:bCs w:val="1"/>
                <w:color w:val="auto"/>
              </w:rPr>
              <w:t>Net cash provided by (used in) operating</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439"/>
        </w:trPr>
        <w:tc>
          <w:tcPr>
            <w:tcW w:w="32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2"/>
                <w:szCs w:val="22"/>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56"/>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433"/>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(4,375)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(4,376)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3,083</w:t>
            </w:r>
          </w:p>
        </w:tc>
        <w:tc>
          <w:tcPr>
            <w:tcW w:w="0" w:type="dxa"/>
            <w:vAlign w:val="bottom"/>
          </w:tcPr>
          <w:p>
            <w:pPr>
              <w:spacing w:after="0"/>
              <w:rPr>
                <w:sz w:val="1"/>
                <w:szCs w:val="1"/>
                <w:color w:val="auto"/>
              </w:rPr>
            </w:pPr>
          </w:p>
        </w:tc>
      </w:tr>
      <w:tr>
        <w:trPr>
          <w:trHeight w:val="184"/>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debt securities of Avis Budget</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300"/>
              <w:spacing w:after="0"/>
              <w:rPr>
                <w:sz w:val="20"/>
                <w:szCs w:val="20"/>
                <w:color w:val="auto"/>
              </w:rPr>
            </w:pPr>
            <w:r>
              <w:rPr>
                <w:rFonts w:ascii="Arial" w:cs="Arial" w:eastAsia="Arial" w:hAnsi="Arial"/>
                <w:sz w:val="14"/>
                <w:szCs w:val="14"/>
                <w:color w:val="auto"/>
              </w:rPr>
              <w:t>Rental Car Funding (AESOP) LLC—related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280" w:type="dxa"/>
            <w:vAlign w:val="bottom"/>
          </w:tcPr>
          <w:p>
            <w:pPr>
              <w:ind w:left="300"/>
              <w:spacing w:after="0"/>
              <w:rPr>
                <w:sz w:val="20"/>
                <w:szCs w:val="20"/>
                <w:color w:val="auto"/>
              </w:rPr>
            </w:pPr>
            <w:r>
              <w:rPr>
                <w:rFonts w:ascii="Arial" w:cs="Arial" w:eastAsia="Arial" w:hAnsi="Arial"/>
                <w:sz w:val="14"/>
                <w:szCs w:val="14"/>
                <w:color w:val="auto"/>
              </w:rPr>
              <w:t>party</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48"/>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(1,371)</w:t>
            </w:r>
          </w:p>
        </w:tc>
        <w:tc>
          <w:tcPr>
            <w:tcW w:w="0" w:type="dxa"/>
            <w:vAlign w:val="bottom"/>
          </w:tcPr>
          <w:p>
            <w:pPr>
              <w:spacing w:after="0"/>
              <w:rPr>
                <w:sz w:val="1"/>
                <w:szCs w:val="1"/>
                <w:color w:val="auto"/>
              </w:rPr>
            </w:pPr>
          </w:p>
        </w:tc>
      </w:tr>
      <w:tr>
        <w:trPr>
          <w:trHeight w:val="16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(1,434)</w:t>
            </w:r>
          </w:p>
        </w:tc>
        <w:tc>
          <w:tcPr>
            <w:tcW w:w="0" w:type="dxa"/>
            <w:vAlign w:val="bottom"/>
          </w:tcPr>
          <w:p>
            <w:pPr>
              <w:spacing w:after="0"/>
              <w:rPr>
                <w:sz w:val="1"/>
                <w:szCs w:val="1"/>
                <w:color w:val="auto"/>
              </w:rPr>
            </w:pPr>
          </w:p>
        </w:tc>
      </w:tr>
      <w:tr>
        <w:trPr>
          <w:trHeight w:val="439"/>
        </w:trPr>
        <w:tc>
          <w:tcPr>
            <w:tcW w:w="3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22"/>
                <w:szCs w:val="22"/>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56"/>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433"/>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5,989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5,989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(5,034)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(5,038)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ind w:left="8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946</w:t>
            </w:r>
          </w:p>
        </w:tc>
        <w:tc>
          <w:tcPr>
            <w:tcW w:w="0" w:type="dxa"/>
            <w:vAlign w:val="bottom"/>
          </w:tcPr>
          <w:p>
            <w:pPr>
              <w:spacing w:after="0"/>
              <w:rPr>
                <w:sz w:val="1"/>
                <w:szCs w:val="1"/>
                <w:color w:val="auto"/>
              </w:rPr>
            </w:pPr>
          </w:p>
        </w:tc>
      </w:tr>
      <w:tr>
        <w:trPr>
          <w:trHeight w:val="16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937</w:t>
            </w:r>
          </w:p>
        </w:tc>
        <w:tc>
          <w:tcPr>
            <w:tcW w:w="0" w:type="dxa"/>
            <w:vAlign w:val="bottom"/>
          </w:tcPr>
          <w:p>
            <w:pPr>
              <w:spacing w:after="0"/>
              <w:rPr>
                <w:sz w:val="1"/>
                <w:szCs w:val="1"/>
                <w:color w:val="auto"/>
              </w:rPr>
            </w:pPr>
          </w:p>
        </w:tc>
      </w:tr>
      <w:tr>
        <w:trPr>
          <w:trHeight w:val="401"/>
        </w:trPr>
        <w:tc>
          <w:tcPr>
            <w:tcW w:w="328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color w:val="auto"/>
              </w:rPr>
              <w:t>cash equivalents, program and restricted cash</w:t>
            </w:r>
          </w:p>
        </w:tc>
        <w:tc>
          <w:tcPr>
            <w:tcW w:w="2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405"/>
        </w:trPr>
        <w:tc>
          <w:tcPr>
            <w:tcW w:w="3280" w:type="dxa"/>
            <w:vAlign w:val="bottom"/>
          </w:tcPr>
          <w:p>
            <w:pPr>
              <w:spacing w:after="0"/>
              <w:rPr>
                <w:sz w:val="20"/>
                <w:szCs w:val="20"/>
                <w:color w:val="auto"/>
              </w:rPr>
            </w:pPr>
            <w:r>
              <w:rPr>
                <w:rFonts w:ascii="Arial" w:cs="Arial" w:eastAsia="Arial" w:hAnsi="Arial"/>
                <w:sz w:val="14"/>
                <w:szCs w:val="14"/>
                <w:color w:val="auto"/>
              </w:rPr>
              <w:t>Net increase (decrease) in cash and cash</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80" w:type="dxa"/>
            <w:vAlign w:val="bottom"/>
          </w:tcPr>
          <w:p>
            <w:pPr>
              <w:ind w:left="160"/>
              <w:spacing w:after="0"/>
              <w:rPr>
                <w:sz w:val="20"/>
                <w:szCs w:val="20"/>
                <w:color w:val="auto"/>
              </w:rPr>
            </w:pPr>
            <w:r>
              <w:rPr>
                <w:rFonts w:ascii="Arial" w:cs="Arial" w:eastAsia="Arial" w:hAnsi="Arial"/>
                <w:sz w:val="14"/>
                <w:szCs w:val="14"/>
                <w:color w:val="auto"/>
              </w:rPr>
              <w:t>equivalents, program and restricted cash</w:t>
            </w:r>
          </w:p>
        </w:tc>
        <w:tc>
          <w:tcPr>
            <w:tcW w:w="26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4"/>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program and</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color w:val="auto"/>
              </w:rPr>
              <w:t>restricted cash, beginning of period</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program and</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664</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189"/>
        </w:trPr>
        <w:tc>
          <w:tcPr>
            <w:tcW w:w="3280" w:type="dxa"/>
            <w:vAlign w:val="bottom"/>
          </w:tcPr>
          <w:p>
            <w:pPr>
              <w:ind w:left="160"/>
              <w:spacing w:after="0"/>
              <w:rPr>
                <w:sz w:val="20"/>
                <w:szCs w:val="20"/>
                <w:color w:val="auto"/>
              </w:rPr>
            </w:pPr>
            <w:r>
              <w:rPr>
                <w:rFonts w:ascii="Arial" w:cs="Arial" w:eastAsia="Arial" w:hAnsi="Arial"/>
                <w:sz w:val="14"/>
                <w:szCs w:val="14"/>
                <w:color w:val="auto"/>
              </w:rPr>
              <w:t>restricted cash, end of period</w:t>
            </w:r>
          </w:p>
        </w:tc>
        <w:tc>
          <w:tcPr>
            <w:tcW w:w="2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1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2018</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3280" w:type="dxa"/>
            <w:vAlign w:val="bottom"/>
          </w:tcPr>
          <w:p>
            <w:pPr>
              <w:spacing w:after="0" w:line="156" w:lineRule="exact"/>
              <w:rPr>
                <w:sz w:val="20"/>
                <w:szCs w:val="20"/>
                <w:color w:val="auto"/>
              </w:rPr>
            </w:pPr>
            <w:r>
              <w:rPr>
                <w:rFonts w:ascii="Arial" w:cs="Arial" w:eastAsia="Arial" w:hAnsi="Arial"/>
                <w:sz w:val="14"/>
                <w:szCs w:val="14"/>
                <w:b w:val="1"/>
                <w:bCs w:val="1"/>
                <w:color w:val="auto"/>
              </w:rPr>
              <w:t>Net cash provided by (used-in) operating</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439"/>
        </w:trPr>
        <w:tc>
          <w:tcPr>
            <w:tcW w:w="32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2"/>
                <w:szCs w:val="22"/>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56"/>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433"/>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(4,225)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(4,226)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2,565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2,572</w:t>
            </w: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(1,654)</w:t>
            </w:r>
          </w:p>
        </w:tc>
        <w:tc>
          <w:tcPr>
            <w:tcW w:w="0" w:type="dxa"/>
            <w:vAlign w:val="bottom"/>
          </w:tcPr>
          <w:p>
            <w:pPr>
              <w:spacing w:after="0"/>
              <w:rPr>
                <w:sz w:val="1"/>
                <w:szCs w:val="1"/>
                <w:color w:val="auto"/>
              </w:rPr>
            </w:pPr>
          </w:p>
        </w:tc>
      </w:tr>
      <w:tr>
        <w:trPr>
          <w:trHeight w:val="16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(1,736)</w:t>
            </w:r>
          </w:p>
        </w:tc>
        <w:tc>
          <w:tcPr>
            <w:tcW w:w="0" w:type="dxa"/>
            <w:vAlign w:val="bottom"/>
          </w:tcPr>
          <w:p>
            <w:pPr>
              <w:spacing w:after="0"/>
              <w:rPr>
                <w:sz w:val="1"/>
                <w:szCs w:val="1"/>
                <w:color w:val="auto"/>
              </w:rPr>
            </w:pPr>
          </w:p>
        </w:tc>
      </w:tr>
      <w:tr>
        <w:trPr>
          <w:trHeight w:val="439"/>
        </w:trPr>
        <w:tc>
          <w:tcPr>
            <w:tcW w:w="3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2"/>
                <w:szCs w:val="22"/>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56"/>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433"/>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5,100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5,100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(4,042)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(4,045)</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1,054</w:t>
            </w:r>
          </w:p>
        </w:tc>
        <w:tc>
          <w:tcPr>
            <w:tcW w:w="0" w:type="dxa"/>
            <w:vAlign w:val="bottom"/>
          </w:tcPr>
          <w:p>
            <w:pPr>
              <w:spacing w:after="0"/>
              <w:rPr>
                <w:sz w:val="1"/>
                <w:szCs w:val="1"/>
                <w:color w:val="auto"/>
              </w:rPr>
            </w:pPr>
          </w:p>
        </w:tc>
      </w:tr>
      <w:tr>
        <w:trPr>
          <w:trHeight w:val="16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1,024</w:t>
            </w:r>
          </w:p>
        </w:tc>
        <w:tc>
          <w:tcPr>
            <w:tcW w:w="0" w:type="dxa"/>
            <w:vAlign w:val="bottom"/>
          </w:tcPr>
          <w:p>
            <w:pPr>
              <w:spacing w:after="0"/>
              <w:rPr>
                <w:sz w:val="1"/>
                <w:szCs w:val="1"/>
                <w:color w:val="auto"/>
              </w:rPr>
            </w:pPr>
          </w:p>
        </w:tc>
      </w:tr>
      <w:tr>
        <w:trPr>
          <w:trHeight w:val="401"/>
        </w:trPr>
        <w:tc>
          <w:tcPr>
            <w:tcW w:w="328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color w:val="auto"/>
              </w:rPr>
              <w:t>cash equivalents, program and restricted cash</w:t>
            </w:r>
          </w:p>
        </w:tc>
        <w:tc>
          <w:tcPr>
            <w:tcW w:w="2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405"/>
        </w:trPr>
        <w:tc>
          <w:tcPr>
            <w:tcW w:w="3280" w:type="dxa"/>
            <w:vAlign w:val="bottom"/>
          </w:tcPr>
          <w:p>
            <w:pPr>
              <w:spacing w:after="0"/>
              <w:rPr>
                <w:sz w:val="20"/>
                <w:szCs w:val="20"/>
                <w:color w:val="auto"/>
              </w:rPr>
            </w:pPr>
            <w:r>
              <w:rPr>
                <w:rFonts w:ascii="Arial" w:cs="Arial" w:eastAsia="Arial" w:hAnsi="Arial"/>
                <w:sz w:val="14"/>
                <w:szCs w:val="14"/>
                <w:color w:val="auto"/>
              </w:rPr>
              <w:t>Net increase (decrease) in cash and cash</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80" w:type="dxa"/>
            <w:vAlign w:val="bottom"/>
          </w:tcPr>
          <w:p>
            <w:pPr>
              <w:ind w:left="160"/>
              <w:spacing w:after="0"/>
              <w:rPr>
                <w:sz w:val="20"/>
                <w:szCs w:val="20"/>
                <w:color w:val="auto"/>
              </w:rPr>
            </w:pPr>
            <w:r>
              <w:rPr>
                <w:rFonts w:ascii="Arial" w:cs="Arial" w:eastAsia="Arial" w:hAnsi="Arial"/>
                <w:sz w:val="14"/>
                <w:szCs w:val="14"/>
                <w:color w:val="auto"/>
              </w:rPr>
              <w:t>equivalents, program and restricted cash</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84"/>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program and</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color w:val="auto"/>
              </w:rPr>
              <w:t>restricted cash, beginning of period</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program and</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189"/>
        </w:trPr>
        <w:tc>
          <w:tcPr>
            <w:tcW w:w="3280" w:type="dxa"/>
            <w:vAlign w:val="bottom"/>
          </w:tcPr>
          <w:p>
            <w:pPr>
              <w:ind w:left="160"/>
              <w:spacing w:after="0"/>
              <w:rPr>
                <w:sz w:val="20"/>
                <w:szCs w:val="20"/>
                <w:color w:val="auto"/>
              </w:rPr>
            </w:pPr>
            <w:r>
              <w:rPr>
                <w:rFonts w:ascii="Arial" w:cs="Arial" w:eastAsia="Arial" w:hAnsi="Arial"/>
                <w:sz w:val="14"/>
                <w:szCs w:val="14"/>
                <w:color w:val="auto"/>
              </w:rPr>
              <w:t>restricted cash, end of period</w:t>
            </w:r>
          </w:p>
        </w:tc>
        <w:tc>
          <w:tcPr>
            <w:tcW w:w="2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16"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hanging="492"/>
        <w:spacing w:after="0"/>
        <w:tabs>
          <w:tab w:leader="none" w:pos="5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7" w:lineRule="exact"/>
        <w:rPr>
          <w:rFonts w:ascii="Arial" w:cs="Arial" w:eastAsia="Arial" w:hAnsi="Arial"/>
          <w:sz w:val="18"/>
          <w:szCs w:val="18"/>
          <w:b w:val="1"/>
          <w:bCs w:val="1"/>
          <w:color w:val="auto"/>
        </w:rPr>
      </w:pPr>
    </w:p>
    <w:p>
      <w:pPr>
        <w:ind w:left="500"/>
        <w:spacing w:after="0" w:line="292" w:lineRule="auto"/>
        <w:rPr>
          <w:rFonts w:ascii="Arial" w:cs="Arial" w:eastAsia="Arial" w:hAnsi="Arial"/>
          <w:sz w:val="18"/>
          <w:szCs w:val="18"/>
          <w:b w:val="1"/>
          <w:bCs w:val="1"/>
          <w:color w:val="auto"/>
        </w:rPr>
      </w:pPr>
      <w:r>
        <w:rPr>
          <w:rFonts w:ascii="Arial" w:cs="Arial" w:eastAsia="Arial" w:hAnsi="Arial"/>
          <w:sz w:val="18"/>
          <w:szCs w:val="18"/>
          <w:color w:val="auto"/>
        </w:rPr>
        <w:t>In April 2019, the Company’s Avis Budget Rental Car Funding subsidiary issued approximately $650 million in asset-backed notes with an expected final payment date of September 2024 incurring interest at a weighted average rate of 3.44%.</w:t>
      </w:r>
    </w:p>
    <w:p>
      <w:pPr>
        <w:spacing w:after="0" w:line="144" w:lineRule="exact"/>
        <w:rPr>
          <w:rFonts w:ascii="Arial" w:cs="Arial" w:eastAsia="Arial" w:hAnsi="Arial"/>
          <w:sz w:val="18"/>
          <w:szCs w:val="18"/>
          <w:b w:val="1"/>
          <w:bCs w:val="1"/>
          <w:color w:val="auto"/>
        </w:rPr>
      </w:pPr>
    </w:p>
    <w:p>
      <w:pPr>
        <w:ind w:left="500" w:right="40"/>
        <w:spacing w:after="0" w:line="292" w:lineRule="auto"/>
        <w:rPr>
          <w:rFonts w:ascii="Arial" w:cs="Arial" w:eastAsia="Arial" w:hAnsi="Arial"/>
          <w:sz w:val="18"/>
          <w:szCs w:val="18"/>
          <w:b w:val="1"/>
          <w:bCs w:val="1"/>
          <w:color w:val="auto"/>
        </w:rPr>
      </w:pPr>
      <w:r>
        <w:rPr>
          <w:rFonts w:ascii="Arial" w:cs="Arial" w:eastAsia="Arial" w:hAnsi="Arial"/>
          <w:sz w:val="18"/>
          <w:szCs w:val="18"/>
          <w:color w:val="auto"/>
        </w:rPr>
        <w:t>In April 2019, the Company completed the sale of its 50% investment in Anji to Shanghai Automotive Industry Sales Company, Ltd. for $64 million, net of cross-border withholding taxes.</w:t>
      </w:r>
    </w:p>
    <w:p>
      <w:pPr>
        <w:spacing w:after="0" w:line="362" w:lineRule="exact"/>
        <w:rPr>
          <w:rFonts w:ascii="Arial" w:cs="Arial" w:eastAsia="Arial" w:hAnsi="Arial"/>
          <w:sz w:val="18"/>
          <w:szCs w:val="18"/>
          <w:b w:val="1"/>
          <w:bCs w:val="1"/>
          <w:color w:val="auto"/>
        </w:rPr>
      </w:pPr>
    </w:p>
    <w:p>
      <w:pPr>
        <w:ind w:left="5700"/>
        <w:spacing w:after="0"/>
        <w:rPr>
          <w:rFonts w:ascii="Arial" w:cs="Arial" w:eastAsia="Arial" w:hAnsi="Arial"/>
          <w:sz w:val="18"/>
          <w:szCs w:val="18"/>
          <w:b w:val="1"/>
          <w:bCs w:val="1"/>
          <w:color w:val="auto"/>
        </w:rPr>
      </w:pPr>
      <w:r>
        <w:rPr>
          <w:rFonts w:ascii="Arial" w:cs="Arial" w:eastAsia="Arial" w:hAnsi="Arial"/>
          <w:sz w:val="22"/>
          <w:szCs w:val="22"/>
          <w:color w:val="auto"/>
        </w:rPr>
        <w:t>* * * *</w:t>
      </w:r>
    </w:p>
    <w:p>
      <w:pPr>
        <w:spacing w:after="0" w:line="2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116" w:right="4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The following discussion should be read in conjunction with our Consolidated Condensed Financial Statements and accompanying Notes included in this Quarterly Report on Form 10-Q, and with our 2018 Form 10-K. Our actual results of operations may differ materially from those discussed in forward-looking statements as a result of various factors, including but not limited to those included in this Quarterly Report on Form 10-Q and those included in the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Operations,” “Risk Factors” and other portions of our 2018 Form 10-K. Unless otherwise noted, all dollar amounts in tables are in millions.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operate three of the most globally recognized brands in mobility solutions, Avis, Budget and Zipcar, together with several other regional brands well recognized in their respective markets. We are a leading vehicle rental operator in North America, Europe and Australasia with an average rental fleet of nearly 650,000 vehicles. We also license the use of our trademarks to licensees in the areas in which we do not operate directly. We and our licensees operate our brands in approximately 180 countries throughout the world.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We categorize our operations into two reportable business segments: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consisting primarily of our vehicle rental operations in North America, South America, Central America and the Caribbean, car sharing operations in certain of these markets, and licensees in the areas in which we do not operate directly; and </w:t>
      </w:r>
      <w:r>
        <w:rPr>
          <w:rFonts w:ascii="Arial" w:cs="Arial" w:eastAsia="Arial" w:hAnsi="Arial"/>
          <w:sz w:val="18"/>
          <w:szCs w:val="18"/>
          <w:i w:val="1"/>
          <w:iCs w:val="1"/>
          <w:color w:val="auto"/>
        </w:rPr>
        <w:t>International</w:t>
      </w:r>
      <w:r>
        <w:rPr>
          <w:rFonts w:ascii="Arial" w:cs="Arial" w:eastAsia="Arial" w:hAnsi="Arial"/>
          <w:sz w:val="18"/>
          <w:szCs w:val="18"/>
          <w:color w:val="auto"/>
        </w:rPr>
        <w:t>, consisting primarily of our vehicle rental operations in Europe, the Middle East, Africa, Asia and Australasia, car sharing operations in certain of these markets, and licensees in the areas in which we do not operate directly.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revenues are derived principally from vehicle rental operations and include:</w:t>
      </w:r>
    </w:p>
    <w:p>
      <w:pPr>
        <w:spacing w:after="0" w:line="171"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time &amp; mileage fees charged to our customers for vehicle rentals;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sales of loss damage waivers and insurance and other supplemental items in conjunction with vehicle rentals; and</w:t>
      </w:r>
    </w:p>
    <w:p>
      <w:pPr>
        <w:spacing w:after="0" w:line="171" w:lineRule="exact"/>
        <w:rPr>
          <w:rFonts w:ascii="Arial" w:cs="Arial" w:eastAsia="Arial" w:hAnsi="Arial"/>
          <w:sz w:val="18"/>
          <w:szCs w:val="18"/>
          <w:color w:val="auto"/>
        </w:rPr>
      </w:pPr>
    </w:p>
    <w:p>
      <w:pPr>
        <w:ind w:left="660" w:right="540" w:hanging="328"/>
        <w:spacing w:after="0" w:line="291" w:lineRule="auto"/>
        <w:tabs>
          <w:tab w:leader="none" w:pos="66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payments from our customers with respect to certain operating expenses we incur, including gasoline, vehicle licensing fees and concession fees, which provide the right to operate at airports and other locations.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receive revenue for royalties and associated fees from our licensees in conjunction with their vehicle rental transactions.</w:t>
      </w:r>
    </w:p>
    <w:p>
      <w:pPr>
        <w:spacing w:after="0" w:line="22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Our operating results are subject to variability due to seasonality, macroeconomic conditions and other factors. Car rental volumes tend to be associated with the travel industry, particularly airline passenger volumes, or enplanements, which in turn tend to reflect general economic conditions. Our operations are also seasonal, with the third quarter of the year historically having been our strongest due to the increased level of leisure travel during such quarter. We have a partially variable cost structure and routinely adjust the size, and therefore the cost, of our rental fleet in response to fluctuations in demand.</w:t>
      </w:r>
    </w:p>
    <w:p>
      <w:pPr>
        <w:spacing w:after="0" w:line="175"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Thus far in 2019, worldwide demand for mobility solutions has increased, and used-vehicle values in the U.S. have stabilized, counterbalanced by the incremental impact of rising interest rates, higher salaries, wages and related benefits. We expect such economic conditions to continue throughout 2019.</w:t>
      </w:r>
    </w:p>
    <w:p>
      <w:pPr>
        <w:spacing w:after="0" w:line="16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We pursue opportunities to enhance profitability and increase return on invested capital. Our strategies are intended to support and strengthen our brands, to grow our margins and earnings over time and to achieve growth and efficiency opportunities as mobility solutions continue to evolve.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16"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operate in a highly competitive industry and we expect to continue to face challenges and risks in managing our business. We seek to mitigate our exposure to risks in numerous ways, including delivering upon our core strategic initiatives and through continued optimization of fleet levels to match changes in demand for vehicle rentals, maintenance of liquidity to fund our fleet investment and operations, appropriate investments in technology, and adjustments in the size and the nature and terms of our relationships with vehicle manufacturers.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measure performance principally using the following key metrics: (i) rental days, which represent the total number of days (or portion thereof) a vehicle was rented, (ii) revenue per day, which represents revenues divided by rental days, (iii) vehicle utilization, which represents rental days divided by available rental days, available rental days is defined as average rental fleet times the number of days in the period, and</w:t>
      </w:r>
    </w:p>
    <w:p>
      <w:pPr>
        <w:ind w:right="60" w:firstLine="8"/>
        <w:spacing w:after="0" w:line="253" w:lineRule="auto"/>
        <w:tabs>
          <w:tab w:leader="none" w:pos="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per-unit fleet costs, which represent vehicle depreciation, lease charges and gain or loss on vehicle sales, divided by average rental fleet. Our rental days, revenue per day and vehicle utilization metrics are all calculated based on the actual rental of the vehicle during a 24-hour period. We believe that this methodology provides us with the most relevant metrics in order to manage the business. Our calculation may not be comparable to the calculation of similarly-titled metrics by other companies. We present currency exchange rate effects to provide a method of assessing how our business performed excluding the effects of foreign currency rate fluctuations. Currency exchange rate effects are calculated by translating the current-year results at the prior-period average exchange rate plus any related gains and losses on currency hedges.</w:t>
      </w:r>
    </w:p>
    <w:p>
      <w:pPr>
        <w:spacing w:after="0" w:line="17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revenues and “Adjusted EBITDA,” which we define as income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legal matters, non-operational charges related to shareholder activist activity and income taxes. Net charges for unprecedented personal-injury legal matters are recorded within operating expenses in our consolidated condensed statement of operations. Non-operational charges related to shareholder activist activity include third party advisory, legal and other professional service fees and are recorded within selling, general and administrative expenses in our consolidated results of operations. 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2019:</w:t>
      </w:r>
    </w:p>
    <w:p>
      <w:pPr>
        <w:spacing w:after="0" w:line="225" w:lineRule="exact"/>
        <w:rPr>
          <w:sz w:val="20"/>
          <w:szCs w:val="20"/>
          <w:color w:val="auto"/>
        </w:rPr>
      </w:pPr>
    </w:p>
    <w:p>
      <w:pPr>
        <w:ind w:left="660" w:right="40" w:hanging="328"/>
        <w:spacing w:after="0" w:line="292"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revenues totaled $1.9 billion and decreased 2% compared to the similar period in 2018 primarily due to a 3% negative impact from currency exchange rate movements.</w:t>
      </w:r>
    </w:p>
    <w:p>
      <w:pPr>
        <w:spacing w:after="0" w:line="144" w:lineRule="exact"/>
        <w:rPr>
          <w:rFonts w:ascii="Arial" w:cs="Arial" w:eastAsia="Arial" w:hAnsi="Arial"/>
          <w:sz w:val="18"/>
          <w:szCs w:val="18"/>
          <w:color w:val="auto"/>
        </w:rPr>
      </w:pPr>
    </w:p>
    <w:p>
      <w:pPr>
        <w:ind w:left="660" w:right="380" w:hanging="328"/>
        <w:spacing w:after="0" w:line="292"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net loss was $91 million and our Adjusted EBITDA was a loss of $1 million, representing a $3 million year-over-year decrease, driven by lower revenues.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6"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2019 vs. Three Months Ended March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condensed results of operations comprised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6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00" w:type="dxa"/>
            <w:vAlign w:val="bottom"/>
            <w:gridSpan w:val="5"/>
          </w:tcPr>
          <w:p>
            <w:pPr>
              <w:ind w:left="60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0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0"/>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1,968</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93"/>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00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2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600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2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3"/>
        </w:trPr>
        <w:tc>
          <w:tcPr>
            <w:tcW w:w="6000" w:type="dxa"/>
            <w:vAlign w:val="bottom"/>
          </w:tcPr>
          <w:p>
            <w:pPr>
              <w:ind w:left="240"/>
              <w:spacing w:after="0"/>
              <w:rPr>
                <w:sz w:val="20"/>
                <w:szCs w:val="20"/>
                <w:color w:val="auto"/>
              </w:rPr>
            </w:pPr>
            <w:r>
              <w:rPr>
                <w:rFonts w:ascii="Arial" w:cs="Arial" w:eastAsia="Arial" w:hAnsi="Arial"/>
                <w:sz w:val="18"/>
                <w:szCs w:val="18"/>
                <w:color w:val="auto"/>
              </w:rPr>
              <w:t>Transaction-related costs, net</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0"/>
        </w:trPr>
        <w:tc>
          <w:tcPr>
            <w:tcW w:w="60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2,097</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98"/>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7"/>
        </w:trPr>
        <w:tc>
          <w:tcPr>
            <w:tcW w:w="6000" w:type="dxa"/>
            <w:vAlign w:val="bottom"/>
          </w:tcPr>
          <w:p>
            <w:pPr>
              <w:ind w:left="40"/>
              <w:spacing w:after="0"/>
              <w:rPr>
                <w:sz w:val="20"/>
                <w:szCs w:val="20"/>
                <w:color w:val="auto"/>
              </w:rPr>
            </w:pPr>
            <w:r>
              <w:rPr>
                <w:rFonts w:ascii="Arial" w:cs="Arial" w:eastAsia="Arial" w:hAnsi="Arial"/>
                <w:sz w:val="18"/>
                <w:szCs w:val="18"/>
                <w:color w:val="auto"/>
              </w:rPr>
              <w:t>Benefit from income taxes</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84"/>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000" w:type="dxa"/>
            <w:vAlign w:val="bottom"/>
          </w:tcPr>
          <w:p>
            <w:pPr>
              <w:spacing w:after="0"/>
              <w:rPr>
                <w:sz w:val="20"/>
                <w:szCs w:val="20"/>
                <w:color w:val="auto"/>
              </w:rPr>
            </w:pPr>
            <w:r>
              <w:rPr>
                <w:rFonts w:ascii="Arial" w:cs="Arial" w:eastAsia="Arial" w:hAnsi="Arial"/>
                <w:sz w:val="14"/>
                <w:szCs w:val="14"/>
                <w:color w:val="auto"/>
              </w:rPr>
              <w:t>n/m Not meaningful.</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The first quarter is typically a seasonally slower and lower-margin period for our business and is not indicative of the full year. In addition, the shift in Easter from first quarter 2018 to second quarter 2019 negatively impacted our first quarter 2019 results.</w:t>
      </w:r>
    </w:p>
    <w:p>
      <w:pPr>
        <w:spacing w:after="0" w:line="145"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Revenues decreased during the three months ended March 31, 2019, compared to the similar period in 2018, primarily as a result of a $56 million negative impact from currency exchange rate movements. Total expenses decreased during the three months ended March 31, 2019, compared to the similar period in 2018, as a result of a $61 million favorable impact from currency exchange rate movements.</w:t>
      </w:r>
    </w:p>
    <w:p>
      <w:pPr>
        <w:spacing w:after="0" w:line="16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Operating expenses increased to 55.8% of revenue during the three months ended March 31, 2019 compared to 55.5% during the similar period in 2018. Vehicle depreciation and lease charges decreased to 25.3% of revenue during the three months ended March 31, 2019 compared to 26.2% during the similar period in 2018, primarily due to Americas’ lower per-unit fleet costs. Selling, general and administrative costs decreased to 14.8% of revenue during the three months ended March 31, 2019, compared to 15.1% during the similar period in 2018. Vehicle interest costs increased to 4.2% of revenue during the three months ended March 31, 2019 compared to 3.7% during the similar period in 2018, primarily due to higher interest rates.</w:t>
      </w:r>
    </w:p>
    <w:p>
      <w:pPr>
        <w:spacing w:after="0" w:line="178" w:lineRule="exact"/>
        <w:rPr>
          <w:sz w:val="20"/>
          <w:szCs w:val="20"/>
          <w:color w:val="auto"/>
        </w:rPr>
      </w:pPr>
    </w:p>
    <w:p>
      <w:pPr>
        <w:ind w:right="480"/>
        <w:spacing w:after="0" w:line="292" w:lineRule="auto"/>
        <w:rPr>
          <w:sz w:val="20"/>
          <w:szCs w:val="20"/>
          <w:color w:val="auto"/>
        </w:rPr>
      </w:pPr>
      <w:r>
        <w:rPr>
          <w:rFonts w:ascii="Arial" w:cs="Arial" w:eastAsia="Arial" w:hAnsi="Arial"/>
          <w:sz w:val="18"/>
          <w:szCs w:val="18"/>
          <w:color w:val="auto"/>
        </w:rPr>
        <w:t>Our effective tax rates were benefits of 33% in both the three months ended March 31, 2019 and 2018. As a result of these items, our net income decreased by $4 million compared to 2018.</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16"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loss to Adjusted EBITDA:</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50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1240" w:type="dxa"/>
            <w:vAlign w:val="bottom"/>
            <w:tcBorders>
              <w:bottom w:val="single" w:sz="8" w:color="auto"/>
            </w:tcBorders>
          </w:tcPr>
          <w:p>
            <w:pPr>
              <w:spacing w:after="0"/>
              <w:rPr>
                <w:sz w:val="22"/>
                <w:szCs w:val="22"/>
                <w:color w:val="auto"/>
              </w:rPr>
            </w:pPr>
          </w:p>
        </w:tc>
      </w:tr>
      <w:tr>
        <w:trPr>
          <w:trHeight w:val="199"/>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center"/>
              <w:ind w:right="380"/>
              <w:spacing w:after="0" w:line="199" w:lineRule="exact"/>
              <w:rPr>
                <w:sz w:val="20"/>
                <w:szCs w:val="20"/>
                <w:color w:val="auto"/>
              </w:rPr>
            </w:pPr>
            <w:r>
              <w:rPr>
                <w:rFonts w:ascii="Arial" w:cs="Arial" w:eastAsia="Arial" w:hAnsi="Arial"/>
                <w:sz w:val="18"/>
                <w:szCs w:val="18"/>
                <w:b w:val="1"/>
                <w:bCs w:val="1"/>
                <w:color w:val="auto"/>
                <w:w w:val="98"/>
              </w:rPr>
              <w:t>Adjusted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270"/>
              <w:spacing w:after="0" w:line="199" w:lineRule="exact"/>
              <w:rPr>
                <w:sz w:val="20"/>
                <w:szCs w:val="20"/>
                <w:color w:val="auto"/>
              </w:rPr>
            </w:pPr>
            <w:r>
              <w:rPr>
                <w:rFonts w:ascii="Arial" w:cs="Arial" w:eastAsia="Arial" w:hAnsi="Arial"/>
                <w:sz w:val="18"/>
                <w:szCs w:val="18"/>
                <w:b w:val="1"/>
                <w:bCs w:val="1"/>
                <w:color w:val="auto"/>
              </w:rPr>
              <w:t>Adjusted</w:t>
            </w:r>
          </w:p>
        </w:tc>
      </w:tr>
      <w:tr>
        <w:trPr>
          <w:trHeight w:val="253"/>
        </w:trPr>
        <w:tc>
          <w:tcPr>
            <w:tcW w:w="5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EBITDA</w:t>
            </w:r>
          </w:p>
        </w:tc>
        <w:tc>
          <w:tcPr>
            <w:tcW w:w="220" w:type="dxa"/>
            <w:vAlign w:val="bottom"/>
          </w:tcPr>
          <w:p>
            <w:pPr>
              <w:spacing w:after="0"/>
              <w:rPr>
                <w:sz w:val="21"/>
                <w:szCs w:val="21"/>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1"/>
                <w:szCs w:val="21"/>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EBITDA</w:t>
            </w:r>
          </w:p>
        </w:tc>
      </w:tr>
      <w:tr>
        <w:trPr>
          <w:trHeight w:val="242"/>
        </w:trPr>
        <w:tc>
          <w:tcPr>
            <w:tcW w:w="5080" w:type="dxa"/>
            <w:vAlign w:val="bottom"/>
          </w:tcPr>
          <w:p>
            <w:pPr>
              <w:spacing w:after="0"/>
              <w:rPr>
                <w:sz w:val="20"/>
                <w:szCs w:val="20"/>
                <w:color w:val="auto"/>
              </w:rPr>
            </w:pPr>
            <w:r>
              <w:rPr>
                <w:rFonts w:ascii="Arial" w:cs="Arial" w:eastAsia="Arial" w:hAnsi="Arial"/>
                <w:sz w:val="18"/>
                <w:szCs w:val="18"/>
                <w:color w:val="auto"/>
              </w:rPr>
              <w:t>Americas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r>
      <w:tr>
        <w:trPr>
          <w:trHeight w:val="270"/>
        </w:trPr>
        <w:tc>
          <w:tcPr>
            <w:tcW w:w="5080" w:type="dxa"/>
            <w:vAlign w:val="bottom"/>
          </w:tcPr>
          <w:p>
            <w:pPr>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80"/>
        </w:trPr>
        <w:tc>
          <w:tcPr>
            <w:tcW w:w="5080" w:type="dxa"/>
            <w:vAlign w:val="bottom"/>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color w:val="auto"/>
                <w:vertAlign w:val="superscript"/>
              </w:rPr>
              <w:t>(a)</w:t>
            </w:r>
          </w:p>
        </w:tc>
        <w:tc>
          <w:tcPr>
            <w:tcW w:w="22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5080" w:type="dxa"/>
            <w:vAlign w:val="bottom"/>
          </w:tcPr>
          <w:p>
            <w:pPr>
              <w:ind w:left="120"/>
              <w:spacing w:after="0"/>
              <w:rPr>
                <w:sz w:val="20"/>
                <w:szCs w:val="20"/>
                <w:color w:val="auto"/>
              </w:rPr>
            </w:pPr>
            <w:r>
              <w:rPr>
                <w:rFonts w:ascii="Arial" w:cs="Arial" w:eastAsia="Arial" w:hAnsi="Arial"/>
                <w:sz w:val="18"/>
                <w:szCs w:val="18"/>
                <w:color w:val="auto"/>
              </w:rPr>
              <w:t>Total Company</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Reconciliation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29845</wp:posOffset>
            </wp:positionV>
            <wp:extent cx="39789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loss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Benefit from income taxes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Loss before income taxes</w:t>
      </w:r>
    </w:p>
    <w:p>
      <w:pPr>
        <w:spacing w:after="0" w:line="293"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Add:</w:t>
      </w:r>
      <w:r>
        <w:rPr>
          <w:sz w:val="20"/>
          <w:szCs w:val="20"/>
          <w:color w:val="auto"/>
        </w:rPr>
        <w:tab/>
      </w:r>
      <w:r>
        <w:rPr>
          <w:rFonts w:ascii="Arial" w:cs="Arial" w:eastAsia="Arial" w:hAnsi="Arial"/>
          <w:sz w:val="17"/>
          <w:szCs w:val="17"/>
          <w:color w:val="auto"/>
        </w:rPr>
        <w:t>Non-vehicle related depreciation and amortization</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Interest expense related to corporate debt, net:</w:t>
      </w:r>
    </w:p>
    <w:p>
      <w:pPr>
        <w:spacing w:after="0" w:line="6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Early extinguishment of debt</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Restructuring and other related charges</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18"/>
          <w:szCs w:val="18"/>
          <w:color w:val="auto"/>
          <w:vertAlign w:val="superscript"/>
        </w:rPr>
        <w:t>(b)</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Non-operational charges related to shareholder activist activity </w:t>
      </w:r>
      <w:r>
        <w:rPr>
          <w:rFonts w:ascii="Arial" w:cs="Arial" w:eastAsia="Arial" w:hAnsi="Arial"/>
          <w:sz w:val="18"/>
          <w:szCs w:val="18"/>
          <w:color w:val="auto"/>
          <w:vertAlign w:val="superscript"/>
        </w:rPr>
        <w:t>(c)</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Adjusted EBITDA</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ind w:left="340" w:hanging="332"/>
        <w:spacing w:after="0" w:line="220" w:lineRule="auto"/>
        <w:tabs>
          <w:tab w:leader="none" w:pos="340"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40" w:hanging="332"/>
        <w:spacing w:after="0" w:line="187" w:lineRule="auto"/>
        <w:tabs>
          <w:tab w:leader="none" w:pos="340"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Primarily comprised of acquisition- and integration-related expenses.</w:t>
      </w:r>
    </w:p>
    <w:p>
      <w:pPr>
        <w:ind w:left="340" w:hanging="332"/>
        <w:spacing w:after="0" w:line="204" w:lineRule="auto"/>
        <w:tabs>
          <w:tab w:leader="none" w:pos="340"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Reported within selling, general and administrative expenses in our consolidated condensed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520"/>
        <w:spacing w:after="0"/>
        <w:tabs>
          <w:tab w:leader="none" w:pos="210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29845</wp:posOffset>
            </wp:positionV>
            <wp:extent cx="19551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45" w:lineRule="exact"/>
        <w:rPr>
          <w:sz w:val="20"/>
          <w:szCs w:val="20"/>
          <w:color w:val="auto"/>
        </w:rPr>
      </w:pPr>
    </w:p>
    <w:p>
      <w:pPr>
        <w:spacing w:after="0"/>
        <w:tabs>
          <w:tab w:leader="none" w:pos="1080" w:val="left"/>
          <w:tab w:leader="none" w:pos="2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(91)  $</w:t>
      </w:r>
      <w:r>
        <w:rPr>
          <w:sz w:val="20"/>
          <w:szCs w:val="20"/>
          <w:color w:val="auto"/>
        </w:rPr>
        <w:tab/>
      </w:r>
      <w:r>
        <w:rPr>
          <w:rFonts w:ascii="Arial" w:cs="Arial" w:eastAsia="Arial" w:hAnsi="Arial"/>
          <w:sz w:val="17"/>
          <w:szCs w:val="17"/>
          <w:color w:val="auto"/>
        </w:rPr>
        <w:t>(87)</w:t>
      </w:r>
    </w:p>
    <w:p>
      <w:pPr>
        <w:spacing w:after="0" w:line="63" w:lineRule="exact"/>
        <w:rPr>
          <w:sz w:val="20"/>
          <w:szCs w:val="20"/>
          <w:color w:val="auto"/>
        </w:rPr>
      </w:pPr>
    </w:p>
    <w:p>
      <w:pPr>
        <w:ind w:left="2680" w:hanging="1589"/>
        <w:spacing w:after="0"/>
        <w:tabs>
          <w:tab w:leader="none" w:pos="26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36195</wp:posOffset>
            </wp:positionV>
            <wp:extent cx="19551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5" w:lineRule="exact"/>
        <w:rPr>
          <w:sz w:val="20"/>
          <w:szCs w:val="20"/>
          <w:color w:val="auto"/>
        </w:rPr>
      </w:pPr>
    </w:p>
    <w:p>
      <w:pPr>
        <w:ind w:left="2580" w:hanging="1589"/>
        <w:spacing w:after="0"/>
        <w:tabs>
          <w:tab w:leader="none" w:pos="25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(129)</w:t>
      </w:r>
    </w:p>
    <w:p>
      <w:pPr>
        <w:spacing w:after="0" w:line="304" w:lineRule="exact"/>
        <w:rPr>
          <w:sz w:val="20"/>
          <w:szCs w:val="20"/>
          <w:color w:val="auto"/>
        </w:rPr>
      </w:pPr>
    </w:p>
    <w:p>
      <w:pPr>
        <w:ind w:left="1160"/>
        <w:spacing w:after="0"/>
        <w:tabs>
          <w:tab w:leader="none" w:pos="272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color w:val="auto"/>
        </w:rPr>
        <w:t>61</w:t>
      </w:r>
    </w:p>
    <w:p>
      <w:pPr>
        <w:spacing w:after="0" w:line="333" w:lineRule="exact"/>
        <w:rPr>
          <w:sz w:val="20"/>
          <w:szCs w:val="20"/>
          <w:color w:val="auto"/>
        </w:rPr>
      </w:pPr>
    </w:p>
    <w:p>
      <w:pPr>
        <w:ind w:left="1160"/>
        <w:spacing w:after="0"/>
        <w:tabs>
          <w:tab w:leader="none" w:pos="27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46</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5</w:t>
      </w:r>
    </w:p>
    <w:p>
      <w:pPr>
        <w:spacing w:after="0" w:line="63" w:lineRule="exact"/>
        <w:rPr>
          <w:sz w:val="20"/>
          <w:szCs w:val="20"/>
          <w:color w:val="auto"/>
        </w:rPr>
      </w:pPr>
    </w:p>
    <w:p>
      <w:pPr>
        <w:ind w:left="1160"/>
        <w:spacing w:after="0"/>
        <w:tabs>
          <w:tab w:leader="none" w:pos="28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6</w:t>
      </w:r>
    </w:p>
    <w:p>
      <w:pPr>
        <w:spacing w:after="0" w:line="63" w:lineRule="exact"/>
        <w:rPr>
          <w:sz w:val="20"/>
          <w:szCs w:val="20"/>
          <w:color w:val="auto"/>
        </w:rPr>
      </w:pPr>
    </w:p>
    <w:p>
      <w:pPr>
        <w:ind w:left="2840" w:hanging="1589"/>
        <w:spacing w:after="0"/>
        <w:tabs>
          <w:tab w:leader="none" w:pos="28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4</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28575</wp:posOffset>
            </wp:positionV>
            <wp:extent cx="19551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43" w:lineRule="exact"/>
        <w:rPr>
          <w:sz w:val="20"/>
          <w:szCs w:val="20"/>
          <w:color w:val="auto"/>
        </w:rPr>
      </w:pPr>
    </w:p>
    <w:p>
      <w:pPr>
        <w:spacing w:after="0"/>
        <w:tabs>
          <w:tab w:leader="none" w:pos="1180" w:val="left"/>
          <w:tab w:leader="none" w:pos="2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  $</w:t>
      </w:r>
      <w:r>
        <w:rPr>
          <w:sz w:val="20"/>
          <w:szCs w:val="20"/>
          <w:color w:val="auto"/>
        </w:rPr>
        <w:tab/>
      </w: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28575</wp:posOffset>
            </wp:positionV>
            <wp:extent cx="19551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55165" cy="26035"/>
                    </a:xfrm>
                    <a:prstGeom prst="rect">
                      <a:avLst/>
                    </a:prstGeom>
                    <a:noFill/>
                  </pic:spPr>
                </pic:pic>
              </a:graphicData>
            </a:graphic>
          </wp:anchor>
        </w:drawing>
      </w:r>
    </w:p>
    <w:p>
      <w:pPr>
        <w:spacing w:after="0" w:line="1290" w:lineRule="exact"/>
        <w:rPr>
          <w:sz w:val="20"/>
          <w:szCs w:val="20"/>
          <w:color w:val="auto"/>
        </w:rPr>
      </w:pPr>
    </w:p>
    <w:p>
      <w:pPr>
        <w:sectPr>
          <w:pgSz w:w="11900" w:h="16838" w:orient="portrait"/>
          <w:cols w:equalWidth="0" w:num="2">
            <w:col w:w="7620" w:space="720"/>
            <w:col w:w="3060"/>
          </w:cols>
          <w:pgMar w:left="240" w:top="116" w:right="259" w:bottom="144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74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2"/>
        </w:trPr>
        <w:tc>
          <w:tcPr>
            <w:tcW w:w="7480" w:type="dxa"/>
            <w:vAlign w:val="bottom"/>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2"/>
        </w:trPr>
        <w:tc>
          <w:tcPr>
            <w:tcW w:w="748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n/m</w:t>
            </w:r>
          </w:p>
        </w:tc>
      </w:tr>
      <w:tr>
        <w:trPr>
          <w:trHeight w:val="194"/>
        </w:trPr>
        <w:tc>
          <w:tcPr>
            <w:tcW w:w="7480" w:type="dxa"/>
            <w:vAlign w:val="bottom"/>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4"/>
        </w:trPr>
        <w:tc>
          <w:tcPr>
            <w:tcW w:w="7480" w:type="dxa"/>
            <w:vAlign w:val="bottom"/>
          </w:tcPr>
          <w:p>
            <w:pPr>
              <w:spacing w:after="0"/>
              <w:rPr>
                <w:sz w:val="20"/>
                <w:szCs w:val="20"/>
                <w:color w:val="auto"/>
              </w:rPr>
            </w:pPr>
            <w:r>
              <w:rPr>
                <w:rFonts w:ascii="Arial" w:cs="Arial" w:eastAsia="Arial" w:hAnsi="Arial"/>
                <w:sz w:val="14"/>
                <w:szCs w:val="14"/>
                <w:color w:val="auto"/>
              </w:rPr>
              <w:t>n/m Not meaningful.</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bl>
    <w:p>
      <w:pPr>
        <w:spacing w:after="0" w:line="174"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Revenues decreased 2% during the three months ended March 31, 2019, compared to the similar period in 2018, primarily due to 1% lower rental volumes and a $6 million negative impact from currency exchange rate movements.</w:t>
      </w:r>
    </w:p>
    <w:p>
      <w:pPr>
        <w:spacing w:after="0" w:line="14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Operating expenses decreased to 52.5% of revenue during the three months ended March 31, 2019 compared to 53.3% during the similar period in 2018. Vehicle depreciation and lease charges decreased to 26.6% of revenue during the three months ended March 31, 2019 compared to 28.6% during the similar period in 2018, primarily due to an 8% lower per-unit fleet costs. Selling, general and administrative costs increased to 13.3% of revenue during the three months ended March 31, 2019 compared to 12.8% during the similar period in 2018, primarily due to lower revenue. Vehicle interest costs increased to 5.0% of revenue during the three months ended March 31, 2019 compared to 4.2% during the similar period in 2018, primarily due to higher interest rates.</w:t>
      </w:r>
    </w:p>
    <w:p>
      <w:pPr>
        <w:spacing w:after="0" w:line="178"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Adjusted EBITDA was $20 million higher in first quarter 2019 compared to the similar period in 2018, primarily due to lower per-unit fleet costs, partially offset by lower revenue.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16" w:right="25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74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492"/>
        </w:trPr>
        <w:tc>
          <w:tcPr>
            <w:tcW w:w="14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6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2"/>
        </w:trPr>
        <w:tc>
          <w:tcPr>
            <w:tcW w:w="140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2"/>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2"/>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Adjusted EBITDA</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n/m</w:t>
            </w:r>
          </w:p>
        </w:tc>
      </w:tr>
      <w:tr>
        <w:trPr>
          <w:trHeight w:val="194"/>
        </w:trPr>
        <w:tc>
          <w:tcPr>
            <w:tcW w:w="1400" w:type="dxa"/>
            <w:vAlign w:val="bottom"/>
          </w:tcPr>
          <w:p>
            <w:pPr>
              <w:spacing w:after="0"/>
              <w:rPr>
                <w:sz w:val="20"/>
                <w:szCs w:val="20"/>
                <w:color w:val="auto"/>
              </w:rPr>
            </w:pPr>
            <w:r>
              <w:rPr>
                <w:rFonts w:ascii="Arial" w:cs="Arial" w:eastAsia="Arial" w:hAnsi="Arial"/>
                <w:sz w:val="16"/>
                <w:szCs w:val="16"/>
                <w:color w:val="auto"/>
              </w:rPr>
              <w:t>__________</w:t>
            </w:r>
          </w:p>
        </w:tc>
        <w:tc>
          <w:tcPr>
            <w:tcW w:w="6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4"/>
        </w:trPr>
        <w:tc>
          <w:tcPr>
            <w:tcW w:w="7480" w:type="dxa"/>
            <w:vAlign w:val="bottom"/>
            <w:gridSpan w:val="2"/>
          </w:tcPr>
          <w:p>
            <w:pPr>
              <w:spacing w:after="0"/>
              <w:rPr>
                <w:sz w:val="20"/>
                <w:szCs w:val="20"/>
                <w:color w:val="auto"/>
              </w:rPr>
            </w:pPr>
            <w:r>
              <w:rPr>
                <w:rFonts w:ascii="Arial" w:cs="Arial" w:eastAsia="Arial" w:hAnsi="Arial"/>
                <w:sz w:val="14"/>
                <w:szCs w:val="14"/>
                <w:color w:val="auto"/>
              </w:rPr>
              <w:t>n/m Not meaningful.</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bl>
    <w:p>
      <w:pPr>
        <w:spacing w:after="0" w:line="17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Revenues decreased 4% during the three months ended March 31, 2019, compared to similar period in 2018, due to 4% decrease in revenue per day excluding exchange rate movements and a $50 million negative impact from currency exchange rate movements, partially offset by 8% higher rental volumes, including a 3% benefit from Morini S.p.A., Turiscar Group and various licensees which were acquired in the third and fourth quarters of 2018.</w:t>
      </w:r>
    </w:p>
    <w:p>
      <w:pPr>
        <w:spacing w:after="0" w:line="17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Operating expenses increased to 62.8% of revenue during the three months ended March 31, 2019 compared to 59.5% during the similar period in 2018, primarily due to lower revenues. Vehicle depreciation and lease charges increased to 22.3% of revenue during the three months ended March 31, 2019 compared to 20.8% during the similar period in 2018, primarily due to lower revenues and a 3% increase in per-unit fleet costs excluding exchange rate movements. Selling, general and administrative costs decreased to 16.1% of revenue during the three months ended March 31, 2019 compared to 16.7% during the similar period in 2018, primarily due to cost mitigation actions. Vehicle interest costs, at 2.4% of revenue, remained unchanged during the three months ended March 31, 2019 compared to similar period in 2018.</w:t>
      </w:r>
    </w:p>
    <w:p>
      <w:pPr>
        <w:spacing w:after="0" w:line="178"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Adjusted EBITDA was $24 million lower in first quarter 2019 compared to 2018, primarily due to lower revenue and higher per-unit fleet costs excluding exchange rate movements.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7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160" w:type="dxa"/>
            <w:vAlign w:val="bottom"/>
          </w:tcPr>
          <w:p>
            <w:pPr>
              <w:spacing w:after="0"/>
              <w:rPr>
                <w:sz w:val="20"/>
                <w:szCs w:val="20"/>
                <w:color w:val="auto"/>
              </w:rPr>
            </w:pPr>
            <w:r>
              <w:rPr>
                <w:rFonts w:ascii="Arial" w:cs="Arial" w:eastAsia="Arial" w:hAnsi="Arial"/>
                <w:sz w:val="18"/>
                <w:szCs w:val="18"/>
                <w:b w:val="1"/>
                <w:bCs w:val="1"/>
                <w:color w:val="auto"/>
              </w:rPr>
              <w:t>FINANCIAL CONDITION</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328"/>
        </w:trPr>
        <w:tc>
          <w:tcPr>
            <w:tcW w:w="6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3"/>
        </w:trPr>
        <w:tc>
          <w:tcPr>
            <w:tcW w:w="6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42"/>
        </w:trPr>
        <w:tc>
          <w:tcPr>
            <w:tcW w:w="6160" w:type="dxa"/>
            <w:vAlign w:val="bottom"/>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8,922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6,370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2,552</w:t>
            </w:r>
          </w:p>
        </w:tc>
      </w:tr>
      <w:tr>
        <w:trPr>
          <w:trHeight w:val="270"/>
        </w:trPr>
        <w:tc>
          <w:tcPr>
            <w:tcW w:w="6160" w:type="dxa"/>
            <w:vAlign w:val="bottom"/>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2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8,544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6,011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2,533</w:t>
            </w:r>
          </w:p>
        </w:tc>
      </w:tr>
      <w:tr>
        <w:trPr>
          <w:trHeight w:val="270"/>
        </w:trPr>
        <w:tc>
          <w:tcPr>
            <w:tcW w:w="6160" w:type="dxa"/>
            <w:vAlign w:val="bottom"/>
          </w:tcPr>
          <w:p>
            <w:pPr>
              <w:ind w:left="40"/>
              <w:spacing w:after="0"/>
              <w:rPr>
                <w:sz w:val="20"/>
                <w:szCs w:val="20"/>
                <w:color w:val="auto"/>
              </w:rPr>
            </w:pPr>
            <w:r>
              <w:rPr>
                <w:rFonts w:ascii="Arial" w:cs="Arial" w:eastAsia="Arial" w:hAnsi="Arial"/>
                <w:sz w:val="18"/>
                <w:szCs w:val="18"/>
                <w:color w:val="auto"/>
              </w:rPr>
              <w:t>Assets under vehicle programs</w:t>
            </w:r>
          </w:p>
        </w:tc>
        <w:tc>
          <w:tcPr>
            <w:tcW w:w="2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13,980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12,779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1,201</w:t>
            </w:r>
          </w:p>
        </w:tc>
      </w:tr>
      <w:tr>
        <w:trPr>
          <w:trHeight w:val="270"/>
        </w:trPr>
        <w:tc>
          <w:tcPr>
            <w:tcW w:w="6160" w:type="dxa"/>
            <w:vAlign w:val="bottom"/>
          </w:tcPr>
          <w:p>
            <w:pPr>
              <w:ind w:left="40"/>
              <w:spacing w:after="0"/>
              <w:rPr>
                <w:sz w:val="20"/>
                <w:szCs w:val="20"/>
                <w:color w:val="auto"/>
              </w:rPr>
            </w:pPr>
            <w:r>
              <w:rPr>
                <w:rFonts w:ascii="Arial" w:cs="Arial" w:eastAsia="Arial" w:hAnsi="Arial"/>
                <w:sz w:val="18"/>
                <w:szCs w:val="18"/>
                <w:color w:val="auto"/>
              </w:rPr>
              <w:t>Liabilities under vehicle programs</w:t>
            </w:r>
          </w:p>
        </w:tc>
        <w:tc>
          <w:tcPr>
            <w:tcW w:w="2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14,034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12,724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1,310</w:t>
            </w:r>
          </w:p>
        </w:tc>
      </w:tr>
      <w:tr>
        <w:trPr>
          <w:trHeight w:val="270"/>
        </w:trPr>
        <w:tc>
          <w:tcPr>
            <w:tcW w:w="61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w:t>
            </w:r>
          </w:p>
        </w:tc>
      </w:tr>
    </w:tbl>
    <w:p>
      <w:pPr>
        <w:spacing w:after="0" w:line="203"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Total assets exclusive of assets under vehicle programs and total liabilities exclusive of liabilities under vehicle programs increased primarily due to the adoption of ASU 2016-02 (see Note 1 to our Consolidated Condensed Financial Statements).</w:t>
      </w:r>
    </w:p>
    <w:p>
      <w:pPr>
        <w:spacing w:after="0" w:line="14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increases in assets under vehicle programs and liabilities under vehicle programs are principally related to the seasonal increase in the size of our vehicle rental fleet and operating leases recognized upon the adoption of ASU 2016-02 (see Note 1 to our Consolidated Condensed Financial Statements). The decrease in stockholders’ equity is primarily due to our net loss.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08"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45" w:lineRule="exact"/>
        <w:rPr>
          <w:sz w:val="20"/>
          <w:szCs w:val="20"/>
          <w:color w:val="auto"/>
        </w:rPr>
      </w:pPr>
    </w:p>
    <w:p>
      <w:pPr>
        <w:jc w:val="both"/>
        <w:ind w:right="280"/>
        <w:spacing w:after="0" w:line="271" w:lineRule="auto"/>
        <w:rPr>
          <w:sz w:val="20"/>
          <w:szCs w:val="20"/>
          <w:color w:val="auto"/>
        </w:rPr>
      </w:pPr>
      <w:r>
        <w:rPr>
          <w:rFonts w:ascii="Arial" w:cs="Arial" w:eastAsia="Arial" w:hAnsi="Arial"/>
          <w:sz w:val="18"/>
          <w:szCs w:val="18"/>
          <w:color w:val="auto"/>
        </w:rPr>
        <w:t>During the three months ended March 31, 2019, our Avis Budget Rental Car Funding subsidiary issued approximately $600 million in asset-backed notes with an expected final payment date of March 2022, and a weighted average interest rate of 3.56%. The proceeds from these borrowings were used to fund the repayment of maturing vehicle-backed debt and the acquisition of rental cars in the United States.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424"/>
        </w:trPr>
        <w:tc>
          <w:tcPr>
            <w:tcW w:w="6740" w:type="dxa"/>
            <w:vAlign w:val="bottom"/>
          </w:tcPr>
          <w:p>
            <w:pPr>
              <w:spacing w:after="0"/>
              <w:rPr>
                <w:sz w:val="20"/>
                <w:szCs w:val="20"/>
                <w:color w:val="auto"/>
              </w:rPr>
            </w:pPr>
            <w:r>
              <w:rPr>
                <w:rFonts w:ascii="Arial" w:cs="Arial" w:eastAsia="Arial" w:hAnsi="Arial"/>
                <w:sz w:val="18"/>
                <w:szCs w:val="18"/>
                <w:color w:val="auto"/>
              </w:rPr>
              <w:t>The following table summarizes our cash flows: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00"/>
        </w:trPr>
        <w:tc>
          <w:tcPr>
            <w:tcW w:w="6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7"/>
          </w:tcPr>
          <w:p>
            <w:pPr>
              <w:jc w:val="right"/>
              <w:ind w:right="870"/>
              <w:spacing w:after="0"/>
              <w:rPr>
                <w:sz w:val="20"/>
                <w:szCs w:val="20"/>
                <w:color w:val="auto"/>
              </w:rPr>
            </w:pPr>
            <w:r>
              <w:rPr>
                <w:rFonts w:ascii="Arial" w:cs="Arial" w:eastAsia="Arial" w:hAnsi="Arial"/>
                <w:sz w:val="18"/>
                <w:szCs w:val="18"/>
                <w:b w:val="1"/>
                <w:bCs w:val="1"/>
                <w:color w:val="auto"/>
              </w:rPr>
              <w:t>Three Months Ended March 31,</w:t>
            </w:r>
          </w:p>
        </w:tc>
      </w:tr>
      <w:tr>
        <w:trPr>
          <w:trHeight w:val="263"/>
        </w:trPr>
        <w:tc>
          <w:tcPr>
            <w:tcW w:w="67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56"/>
        </w:trPr>
        <w:tc>
          <w:tcPr>
            <w:tcW w:w="674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302</w:t>
            </w: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6740" w:type="dxa"/>
            <w:vAlign w:val="bottom"/>
          </w:tcPr>
          <w:p>
            <w:pPr>
              <w:ind w:left="40"/>
              <w:spacing w:after="0"/>
              <w:rPr>
                <w:sz w:val="20"/>
                <w:szCs w:val="20"/>
                <w:color w:val="auto"/>
              </w:rPr>
            </w:pPr>
            <w:r>
              <w:rPr>
                <w:rFonts w:ascii="Arial" w:cs="Arial" w:eastAsia="Arial" w:hAnsi="Arial"/>
                <w:sz w:val="18"/>
                <w:szCs w:val="18"/>
                <w:color w:val="auto"/>
              </w:rPr>
              <w:t>Effect of changes in exchange rates on cash and cash equivalents, program and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6"/>
        </w:trPr>
        <w:tc>
          <w:tcPr>
            <w:tcW w:w="674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7"/>
        </w:trPr>
        <w:tc>
          <w:tcPr>
            <w:tcW w:w="674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 program and restricted cash</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3"/>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52"/>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program and restricted cash,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The decrease in cash provided by operating activities during the three months ended March 31, 2019 compared with the same period in 2018 is principally due to changes in the components of working capital.</w:t>
      </w:r>
    </w:p>
    <w:p>
      <w:pPr>
        <w:spacing w:after="0" w:line="145"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The decrease in cash used in investing activities during the three months ended March 31, 2019 compared with the same period in 2018 is primarily due to an increase in proceeds received on the disposition of vehicles, partially offset by an increase in investment in vehicles.</w:t>
      </w:r>
    </w:p>
    <w:p>
      <w:pPr>
        <w:spacing w:after="0" w:line="14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decrease in cash provided by financing activities during the three months ended March 31, 2019 compared with the same period in 2018 is primarily due to a decrease in net borrowings under vehicle programs.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27" w:lineRule="exact"/>
        <w:rPr>
          <w:sz w:val="20"/>
          <w:szCs w:val="20"/>
          <w:color w:val="auto"/>
        </w:rPr>
      </w:pPr>
    </w:p>
    <w:p>
      <w:pPr>
        <w:jc w:val="both"/>
        <w:ind w:right="260"/>
        <w:spacing w:after="0" w:line="271" w:lineRule="auto"/>
        <w:rPr>
          <w:sz w:val="20"/>
          <w:szCs w:val="20"/>
          <w:color w:val="auto"/>
        </w:rPr>
      </w:pPr>
      <w:r>
        <w:rPr>
          <w:rFonts w:ascii="Arial" w:cs="Arial" w:eastAsia="Arial" w:hAnsi="Arial"/>
          <w:sz w:val="18"/>
          <w:szCs w:val="18"/>
          <w:color w:val="auto"/>
        </w:rPr>
        <w:t>At March 31, 2019, we had approximately $15 billion of indebtedness, including corporate indebtedness of approximately $4 billion and debt under vehicle programs of approximately $11 billion. For detailed information regarding our debt and borrowing arrangements, see Notes 10 and 11 to our Consolidated Condensed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2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primary liquidity needs include the procurement of rental vehicles to be used in our operations, servicing of corporate and vehicle-related debt and the payment of operating expenses. The present intention of management is to reinvest the undistributed earnings of our foreign subsidiaries indefinitely into our foreign operations. Our primary sources of funding are operating revenue, cash received upon the sale of vehicles, borrowings under our vehicle-backed borrowing arrangements and our senior revolving credit facility, and other financing activities.</w:t>
      </w:r>
    </w:p>
    <w:p>
      <w:pPr>
        <w:spacing w:after="0" w:line="170" w:lineRule="exact"/>
        <w:rPr>
          <w:sz w:val="20"/>
          <w:szCs w:val="20"/>
          <w:color w:val="auto"/>
        </w:rPr>
      </w:pPr>
    </w:p>
    <w:p>
      <w:pPr>
        <w:ind w:right="760"/>
        <w:spacing w:after="0" w:line="292" w:lineRule="auto"/>
        <w:rPr>
          <w:sz w:val="20"/>
          <w:szCs w:val="20"/>
          <w:color w:val="auto"/>
        </w:rPr>
      </w:pPr>
      <w:r>
        <w:rPr>
          <w:rFonts w:ascii="Arial" w:cs="Arial" w:eastAsia="Arial" w:hAnsi="Arial"/>
          <w:sz w:val="18"/>
          <w:szCs w:val="18"/>
          <w:color w:val="auto"/>
        </w:rPr>
        <w:t>As discussed above, as of March 31, 2019, we have cash and cash equivalents of $0.5 billion, available borrowing capacity under our committed credit facilities of $0.6 billion and available capacity under our vehicle programs of approximately $2.1 billion.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1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liquidity position could be negatively affected by financial market disruptions or a downturn in the U.S. and worldwide economies, which may result in unfavorable conditions in the mobility industry, in the asset-backed financing market and in the credit markets generally. We believe these factors have in the past affected and could in the future affect the debt ratings assigned to us by credit rating agencies and the cost of our borrowings. Additionally, a downturn in the worldwide economy or a disruption in the credit markets could impact our liquidity due to</w:t>
      </w:r>
    </w:p>
    <w:p>
      <w:pPr>
        <w:spacing w:after="0" w:line="3" w:lineRule="exact"/>
        <w:rPr>
          <w:sz w:val="20"/>
          <w:szCs w:val="20"/>
          <w:color w:val="auto"/>
        </w:rPr>
      </w:pPr>
    </w:p>
    <w:p>
      <w:pPr>
        <w:jc w:val="both"/>
        <w:ind w:right="60" w:firstLine="8"/>
        <w:spacing w:after="0" w:line="255" w:lineRule="auto"/>
        <w:tabs>
          <w:tab w:leader="none" w:pos="21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decreased demand and pricing for vehicles in the used-vehicle market, (ii) increased costs associated with, and/or reduced capacity or increased collateral needs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w:t>
      </w:r>
    </w:p>
    <w:p>
      <w:pPr>
        <w:spacing w:after="0" w:line="1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financial and other covenants associated with our senior revolving credit facility and other borrowings, including a maximum leverage ratio. As of March 31, 2019, we were in compliance with the financial covenants governing our indebtedness. For additional information regarding our liquidity risks, see Part I, Item 1A, “Risk Factors” of our 2018 Form 10-K.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7"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2018 Form 10-K with the exception of our commitment to purchase vehicles, which decreased by approximately $2.7 billion from December 31, 2018, to approximately $6.0 billion at March 31, 2019 due to seasonality. Changes to our obligations related to corporate indebtedness and debt under vehicle programs are presented above within the section titled “Liquidity and Capital Resources—Debt and Financing Arrangements” and also within Notes 10 and 11 to our Consolidated Condensed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we are required to make estimates and assumptions that affect the amounts reported therein. Several of the estimates and assumptions that we are required to make pertain to matters that are inherently uncertain as they relate to future events. Presented within the section titled “Critical Accounting Policies” of our 2018 Form 10-K are the accounting policies (related to goodwill and other indefinite-lived intangible assets, vehicles, income taxes and public liability, property damage and other insurance liabilities) that we believe require subjective and/or complex judgments that could potentially affect 2019 reported results. There have been no significant changes to those accounting policies or our assessment of which accounting policies we would consider to be critical accounting policies.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25"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to our Consolidated Condensed Financial Statements.</w:t>
      </w:r>
    </w:p>
    <w:p>
      <w:pPr>
        <w:spacing w:after="0" w:line="14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March 31, 2019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gasoline. We anticipate that such commodity risk will remain a market risk exposure for the foreseeable future. We determined that a 10% change in the price of unleaded gasoline would not have a material impact on our earnings for the period ended March 31, 2019. For additional information regarding our long-term borrowings and financial instruments, see Notes 10, 11 and 15 to our Consolidated Condensed Financial Statements.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16"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7" w:lineRule="exact"/>
        <w:rPr>
          <w:sz w:val="20"/>
          <w:szCs w:val="20"/>
          <w:color w:val="auto"/>
        </w:rPr>
      </w:pPr>
    </w:p>
    <w:p>
      <w:pPr>
        <w:ind w:left="340" w:hanging="332"/>
        <w:spacing w:after="0" w:line="260"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March 31, 2019.</w:t>
      </w:r>
    </w:p>
    <w:p>
      <w:pPr>
        <w:spacing w:after="0" w:line="175" w:lineRule="exact"/>
        <w:rPr>
          <w:rFonts w:ascii="Arial" w:cs="Arial" w:eastAsia="Arial" w:hAnsi="Arial"/>
          <w:sz w:val="18"/>
          <w:szCs w:val="18"/>
          <w:color w:val="auto"/>
        </w:rPr>
      </w:pPr>
    </w:p>
    <w:p>
      <w:pPr>
        <w:ind w:left="340" w:right="20" w:hanging="332"/>
        <w:spacing w:after="0" w:line="271"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fiscal quarter to which this report relates, there has been no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6"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During the quarter ended March 31, 2019, the Company had no material developments to report with respect to its legal proceedings. For additional information regarding the Company’s legal proceedings, see Note 12 to our Consolidated Condensed Financial Statements and refer to the Company’s 2018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During the quarter ended March 31, 2019, the Company had no material developments to report with respect to its risk factors. For additional information regarding the Company’s risk factors, please refer to the Company’s 2018 Form 10-K.</w:t>
      </w:r>
    </w:p>
    <w:p>
      <w:pPr>
        <w:spacing w:after="0" w:line="14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Unregistered Sales of Equity Securities and Use of Proceeds</w:t>
      </w:r>
    </w:p>
    <w:p>
      <w:pPr>
        <w:spacing w:after="0" w:line="227" w:lineRule="exact"/>
        <w:rPr>
          <w:sz w:val="20"/>
          <w:szCs w:val="20"/>
          <w:color w:val="auto"/>
        </w:rPr>
      </w:pPr>
    </w:p>
    <w:p>
      <w:pPr>
        <w:spacing w:after="0" w:line="257" w:lineRule="auto"/>
        <w:rPr>
          <w:sz w:val="20"/>
          <w:szCs w:val="20"/>
          <w:color w:val="auto"/>
        </w:rPr>
      </w:pPr>
      <w:r>
        <w:rPr>
          <w:rFonts w:ascii="Arial" w:cs="Arial" w:eastAsia="Arial" w:hAnsi="Arial"/>
          <w:sz w:val="18"/>
          <w:szCs w:val="18"/>
          <w:color w:val="262626"/>
        </w:rPr>
        <w:t>The Company</w:t>
      </w:r>
      <w:r>
        <w:rPr>
          <w:rFonts w:ascii="Arial" w:cs="Arial" w:eastAsia="Arial" w:hAnsi="Arial"/>
          <w:sz w:val="18"/>
          <w:szCs w:val="18"/>
          <w:color w:val="000000"/>
        </w:rPr>
        <w:t>’</w:t>
      </w:r>
      <w:r>
        <w:rPr>
          <w:rFonts w:ascii="Arial" w:cs="Arial" w:eastAsia="Arial" w:hAnsi="Arial"/>
          <w:sz w:val="18"/>
          <w:szCs w:val="18"/>
          <w:color w:val="262626"/>
        </w:rPr>
        <w:t>s Board of Directors has authorized the repurchase of up to $1.7 billion of its common stock under a plan originally approved in 2013 and subsequently expanded, most recently in August 2018</w:t>
      </w:r>
      <w:r>
        <w:rPr>
          <w:rFonts w:ascii="Arial" w:cs="Arial" w:eastAsia="Arial" w:hAnsi="Arial"/>
          <w:sz w:val="18"/>
          <w:szCs w:val="18"/>
          <w:color w:val="000000"/>
        </w:rPr>
        <w:t>.</w:t>
      </w:r>
      <w:r>
        <w:rPr>
          <w:rFonts w:ascii="Arial" w:cs="Arial" w:eastAsia="Arial" w:hAnsi="Arial"/>
          <w:sz w:val="18"/>
          <w:szCs w:val="18"/>
          <w:color w:val="262626"/>
        </w:rPr>
        <w:t xml:space="preserve"> The Company</w:t>
      </w:r>
      <w:r>
        <w:rPr>
          <w:rFonts w:ascii="Arial" w:cs="Arial" w:eastAsia="Arial" w:hAnsi="Arial"/>
          <w:sz w:val="18"/>
          <w:szCs w:val="18"/>
          <w:color w:val="000000"/>
        </w:rPr>
        <w:t>’</w:t>
      </w:r>
      <w:r>
        <w:rPr>
          <w:rFonts w:ascii="Arial" w:cs="Arial" w:eastAsia="Arial" w:hAnsi="Arial"/>
          <w:sz w:val="18"/>
          <w:szCs w:val="18"/>
          <w:color w:val="262626"/>
        </w:rPr>
        <w:t>s stock repurchases may occur through open market purchases or trading plans pursuant to Rule 10b5-1 of the Securities Exchange Act of 1934.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 During the three months ended March 31, 2019, no common stock repurchases were made under the plan and 124,068 shares were withheld by the Company to satisfy employees’ income tax liabilities attributable to the vesting of restricted stock unit awards.</w:t>
      </w:r>
    </w:p>
    <w:p>
      <w:pPr>
        <w:spacing w:after="0" w:line="1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6"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AVIS BUDGET GROUP, INC.</w:t>
      </w:r>
    </w:p>
    <w:p>
      <w:pPr>
        <w:spacing w:after="0" w:line="38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2, 2019</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37465</wp:posOffset>
            </wp:positionV>
            <wp:extent cx="49225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David T. Calabria</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Chief Accounting Officer</w:t>
      </w: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240" w:top="116" w:right="5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7060" w:type="dxa"/>
            <w:vAlign w:val="bottom"/>
            <w:gridSpan w:val="13"/>
          </w:tcPr>
          <w:p>
            <w:pPr>
              <w:ind w:left="940"/>
              <w:spacing w:after="0"/>
              <w:rPr>
                <w:sz w:val="20"/>
                <w:szCs w:val="20"/>
                <w:color w:val="auto"/>
              </w:rPr>
            </w:pPr>
            <w:r>
              <w:rPr>
                <w:rFonts w:ascii="Arial" w:cs="Arial" w:eastAsia="Arial" w:hAnsi="Arial"/>
                <w:sz w:val="18"/>
                <w:szCs w:val="18"/>
                <w:b w:val="1"/>
                <w:bCs w:val="1"/>
                <w:color w:val="auto"/>
              </w:rPr>
              <w:t>Exhibit Index</w:t>
            </w:r>
          </w:p>
        </w:tc>
      </w:tr>
      <w:tr>
        <w:trPr>
          <w:trHeight w:val="312"/>
        </w:trPr>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29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360" w:type="dxa"/>
            <w:vAlign w:val="bottom"/>
            <w:gridSpan w:val="12"/>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0"/>
                <w:szCs w:val="20"/>
                <w:color w:val="auto"/>
              </w:rPr>
            </w:pPr>
          </w:p>
        </w:tc>
        <w:tc>
          <w:tcPr>
            <w:tcW w:w="9960" w:type="dxa"/>
            <w:vAlign w:val="bottom"/>
            <w:gridSpan w:val="14"/>
          </w:tcPr>
          <w:p>
            <w:pPr>
              <w:spacing w:after="0"/>
              <w:rPr>
                <w:rFonts w:ascii="Arial" w:cs="Arial" w:eastAsia="Arial" w:hAnsi="Arial"/>
                <w:sz w:val="18"/>
                <w:szCs w:val="18"/>
                <w:color w:val="0000FF"/>
                <w:w w:val="99"/>
              </w:rPr>
            </w:pPr>
            <w:hyperlink r:id="rId64">
              <w:r>
                <w:rPr>
                  <w:rFonts w:ascii="Arial" w:cs="Arial" w:eastAsia="Arial" w:hAnsi="Arial"/>
                  <w:sz w:val="18"/>
                  <w:szCs w:val="18"/>
                  <w:color w:val="0000FF"/>
                  <w:w w:val="99"/>
                </w:rPr>
                <w:t>Offer Letter, dated February 15, 2019, between John North and Avis Budget Group, Inc. (Incorporated by reference to Exhibit</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2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9"/>
              </w:rPr>
            </w:pPr>
            <w:hyperlink r:id="rId64">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1</w:t>
              </w:r>
              <w:r>
                <w:rPr>
                  <w:rFonts w:ascii="Arial" w:cs="Arial" w:eastAsia="Arial" w:hAnsi="Arial"/>
                  <w:sz w:val="18"/>
                  <w:szCs w:val="18"/>
                  <w:color w:val="0000FF"/>
                  <w:w w:val="99"/>
                </w:rPr>
                <w:t xml:space="preserve"> to the Company’s Current Report on Form 8-K dated February 19, 2019).</w:t>
              </w:r>
            </w:hyperlink>
          </w:p>
        </w:tc>
        <w:tc>
          <w:tcPr>
            <w:tcW w:w="372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0"/>
                <w:szCs w:val="20"/>
                <w:color w:val="auto"/>
              </w:rPr>
            </w:pPr>
          </w:p>
        </w:tc>
        <w:tc>
          <w:tcPr>
            <w:tcW w:w="9960" w:type="dxa"/>
            <w:vAlign w:val="bottom"/>
            <w:gridSpan w:val="14"/>
          </w:tcPr>
          <w:p>
            <w:pPr>
              <w:spacing w:after="0"/>
              <w:rPr>
                <w:rFonts w:ascii="Arial" w:cs="Arial" w:eastAsia="Arial" w:hAnsi="Arial"/>
                <w:sz w:val="18"/>
                <w:szCs w:val="18"/>
                <w:color w:val="0000FF"/>
              </w:rPr>
            </w:pPr>
            <w:hyperlink r:id="rId65">
              <w:r>
                <w:rPr>
                  <w:rFonts w:ascii="Arial" w:cs="Arial" w:eastAsia="Arial" w:hAnsi="Arial"/>
                  <w:sz w:val="18"/>
                  <w:szCs w:val="18"/>
                  <w:color w:val="0000FF"/>
                </w:rPr>
                <w:t>Amended and Restated Letter Agreement, dated February 15, 2019, between Martyn Smith and Avis Budget Group, Inc.</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18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65">
              <w:r>
                <w:rPr>
                  <w:rFonts w:ascii="Arial" w:cs="Arial" w:eastAsia="Arial" w:hAnsi="Arial"/>
                  <w:sz w:val="18"/>
                  <w:szCs w:val="18"/>
                  <w:color w:val="0000FF"/>
                  <w:w w:val="99"/>
                </w:rPr>
                <w:t>(Incorporated by reference to Exhibit 10.2 to the Company’s Current Report on Form 8-K dated February 19, 2019).</w:t>
              </w:r>
            </w:hyperlink>
          </w:p>
        </w:tc>
        <w:tc>
          <w:tcPr>
            <w:tcW w:w="400" w:type="dxa"/>
            <w:vAlign w:val="bottom"/>
            <w:tcBorders>
              <w:top w:val="single" w:sz="8" w:color="0000FF"/>
            </w:tcBorders>
            <w:gridSpan w:val="4"/>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0"/>
                <w:szCs w:val="20"/>
                <w:color w:val="auto"/>
              </w:rPr>
            </w:pPr>
          </w:p>
        </w:tc>
        <w:tc>
          <w:tcPr>
            <w:tcW w:w="9960" w:type="dxa"/>
            <w:vAlign w:val="bottom"/>
            <w:gridSpan w:val="14"/>
          </w:tcPr>
          <w:p>
            <w:pPr>
              <w:spacing w:after="0"/>
              <w:rPr>
                <w:rFonts w:ascii="Arial" w:cs="Arial" w:eastAsia="Arial" w:hAnsi="Arial"/>
                <w:sz w:val="18"/>
                <w:szCs w:val="18"/>
                <w:color w:val="0000FF"/>
              </w:rPr>
            </w:pPr>
            <w:hyperlink r:id="rId66">
              <w:r>
                <w:rPr>
                  <w:rFonts w:ascii="Arial" w:cs="Arial" w:eastAsia="Arial" w:hAnsi="Arial"/>
                  <w:sz w:val="18"/>
                  <w:szCs w:val="18"/>
                  <w:color w:val="0000FF"/>
                </w:rPr>
                <w:t>Series 2019-1 Supplement, dated as of February 13, 2019, between Avis Budget Rental Car Funding (AESOP) LLC and The</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20" w:type="dxa"/>
            <w:vAlign w:val="bottom"/>
            <w:tcBorders>
              <w:top w:val="single" w:sz="8" w:color="0000FF"/>
            </w:tcBorders>
            <w:gridSpan w:val="12"/>
          </w:tcPr>
          <w:p>
            <w:pPr>
              <w:spacing w:after="0" w:line="182" w:lineRule="exact"/>
              <w:rPr>
                <w:rFonts w:ascii="Arial" w:cs="Arial" w:eastAsia="Arial" w:hAnsi="Arial"/>
                <w:sz w:val="18"/>
                <w:szCs w:val="18"/>
                <w:color w:val="0000FF"/>
                <w:w w:val="99"/>
              </w:rPr>
            </w:pPr>
            <w:hyperlink r:id="rId66">
              <w:r>
                <w:rPr>
                  <w:rFonts w:ascii="Arial" w:cs="Arial" w:eastAsia="Arial" w:hAnsi="Arial"/>
                  <w:sz w:val="18"/>
                  <w:szCs w:val="18"/>
                  <w:color w:val="0000FF"/>
                  <w:w w:val="99"/>
                </w:rPr>
                <w:t>Bank of New York Mellon Trust Company, N.A., as trustee and as Series 2019-1 Agent. (Incorporated by reference to Exhibit</w:t>
              </w:r>
            </w:hyperlink>
          </w:p>
        </w:tc>
        <w:tc>
          <w:tcPr>
            <w:tcW w:w="40" w:type="dxa"/>
            <w:vAlign w:val="bottom"/>
            <w:gridSpan w:val="2"/>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2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9"/>
              </w:rPr>
            </w:pPr>
            <w:hyperlink r:id="rId66">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1</w:t>
              </w:r>
              <w:r>
                <w:rPr>
                  <w:rFonts w:ascii="Arial" w:cs="Arial" w:eastAsia="Arial" w:hAnsi="Arial"/>
                  <w:sz w:val="18"/>
                  <w:szCs w:val="18"/>
                  <w:color w:val="0000FF"/>
                  <w:w w:val="99"/>
                </w:rPr>
                <w:t xml:space="preserve"> to the Company’s Current Report on Form 8-K dated February 20, 2019).</w:t>
              </w:r>
            </w:hyperlink>
          </w:p>
        </w:tc>
        <w:tc>
          <w:tcPr>
            <w:tcW w:w="3660" w:type="dxa"/>
            <w:vAlign w:val="bottom"/>
            <w:tcBorders>
              <w:top w:val="single" w:sz="8" w:color="0000FF"/>
            </w:tcBorders>
            <w:gridSpan w:val="7"/>
          </w:tcPr>
          <w:p>
            <w:pPr>
              <w:spacing w:after="0"/>
              <w:rPr>
                <w:sz w:val="15"/>
                <w:szCs w:val="15"/>
                <w:color w:val="auto"/>
              </w:rPr>
            </w:pPr>
          </w:p>
        </w:tc>
        <w:tc>
          <w:tcPr>
            <w:tcW w:w="80" w:type="dxa"/>
            <w:vAlign w:val="bottom"/>
            <w:gridSpan w:val="3"/>
          </w:tcPr>
          <w:p>
            <w:pPr>
              <w:spacing w:after="0"/>
              <w:rPr>
                <w:sz w:val="15"/>
                <w:szCs w:val="15"/>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0"/>
                <w:szCs w:val="20"/>
                <w:color w:val="auto"/>
              </w:rPr>
            </w:pPr>
          </w:p>
        </w:tc>
        <w:tc>
          <w:tcPr>
            <w:tcW w:w="9960" w:type="dxa"/>
            <w:vAlign w:val="bottom"/>
            <w:gridSpan w:val="14"/>
          </w:tcPr>
          <w:p>
            <w:pPr>
              <w:spacing w:after="0"/>
              <w:rPr>
                <w:rFonts w:ascii="Arial" w:cs="Arial" w:eastAsia="Arial" w:hAnsi="Arial"/>
                <w:sz w:val="18"/>
                <w:szCs w:val="18"/>
                <w:color w:val="0000FF"/>
              </w:rPr>
            </w:pPr>
            <w:hyperlink r:id="rId67">
              <w:r>
                <w:rPr>
                  <w:rFonts w:ascii="Arial" w:cs="Arial" w:eastAsia="Arial" w:hAnsi="Arial"/>
                  <w:sz w:val="18"/>
                  <w:szCs w:val="18"/>
                  <w:color w:val="0000FF"/>
                </w:rPr>
                <w:t>Separation Agreement dated March 18, 2019, between Mark Servodidio and Avis Budget Group, Inc. (Incorporated by</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67">
              <w:r>
                <w:rPr>
                  <w:rFonts w:ascii="Arial" w:cs="Arial" w:eastAsia="Arial" w:hAnsi="Arial"/>
                  <w:sz w:val="18"/>
                  <w:szCs w:val="18"/>
                  <w:color w:val="0000FF"/>
                  <w:w w:val="99"/>
                </w:rPr>
                <w:t>reference to Exhibit 10.1 to the Company’s Current Report on Form 8-K dated March 18, 2019).</w:t>
              </w:r>
            </w:hyperlink>
          </w:p>
        </w:tc>
        <w:tc>
          <w:tcPr>
            <w:tcW w:w="1800" w:type="dxa"/>
            <w:vAlign w:val="bottom"/>
            <w:tcBorders>
              <w:top w:val="single" w:sz="8" w:color="0000FF"/>
            </w:tcBorders>
            <w:gridSpan w:val="3"/>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5"/>
          </w:tcPr>
          <w:p>
            <w:pPr>
              <w:spacing w:after="0"/>
              <w:rPr>
                <w:sz w:val="15"/>
                <w:szCs w:val="15"/>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0"/>
                <w:szCs w:val="20"/>
                <w:color w:val="auto"/>
              </w:rPr>
            </w:pPr>
          </w:p>
        </w:tc>
        <w:tc>
          <w:tcPr>
            <w:tcW w:w="9960" w:type="dxa"/>
            <w:vAlign w:val="bottom"/>
            <w:gridSpan w:val="14"/>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Certification of Chief Executive Officer pursuant to Rules 13(a)-14(a) and 15(d)-14(a) promulgated under the Securities</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9"/>
              </w:rPr>
            </w:pPr>
            <w:hyperlink w:anchor="page51">
              <w:r>
                <w:rPr>
                  <w:rFonts w:ascii="Arial" w:cs="Arial" w:eastAsia="Arial" w:hAnsi="Arial"/>
                  <w:sz w:val="18"/>
                  <w:szCs w:val="18"/>
                  <w:color w:val="0000FF"/>
                  <w:w w:val="99"/>
                </w:rPr>
                <w:t>Exchange Act of 1934, as amended.</w:t>
              </w:r>
            </w:hyperlink>
          </w:p>
        </w:tc>
        <w:tc>
          <w:tcPr>
            <w:tcW w:w="6540" w:type="dxa"/>
            <w:vAlign w:val="bottom"/>
            <w:tcBorders>
              <w:top w:val="single" w:sz="8" w:color="0000FF"/>
            </w:tcBorders>
            <w:gridSpan w:val="8"/>
          </w:tcPr>
          <w:p>
            <w:pPr>
              <w:spacing w:after="0"/>
              <w:rPr>
                <w:sz w:val="15"/>
                <w:szCs w:val="15"/>
                <w:color w:val="auto"/>
              </w:rPr>
            </w:pPr>
          </w:p>
        </w:tc>
        <w:tc>
          <w:tcPr>
            <w:tcW w:w="520" w:type="dxa"/>
            <w:vAlign w:val="bottom"/>
            <w:gridSpan w:val="5"/>
          </w:tcPr>
          <w:p>
            <w:pPr>
              <w:spacing w:after="0"/>
              <w:rPr>
                <w:sz w:val="15"/>
                <w:szCs w:val="15"/>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0"/>
                <w:szCs w:val="20"/>
                <w:color w:val="auto"/>
              </w:rPr>
            </w:pPr>
          </w:p>
        </w:tc>
        <w:tc>
          <w:tcPr>
            <w:tcW w:w="9960" w:type="dxa"/>
            <w:vAlign w:val="bottom"/>
            <w:gridSpan w:val="14"/>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Certification of Chief Financial Officer pursuant to Rules 13(a)-14(a) and 15(d)-14(a) promulgated under the Securities</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9"/>
              </w:rPr>
            </w:pPr>
            <w:hyperlink w:anchor="page52">
              <w:r>
                <w:rPr>
                  <w:rFonts w:ascii="Arial" w:cs="Arial" w:eastAsia="Arial" w:hAnsi="Arial"/>
                  <w:sz w:val="18"/>
                  <w:szCs w:val="18"/>
                  <w:color w:val="0000FF"/>
                  <w:w w:val="99"/>
                </w:rPr>
                <w:t>Exchange Act of 1934, as amended.</w:t>
              </w:r>
            </w:hyperlink>
          </w:p>
        </w:tc>
        <w:tc>
          <w:tcPr>
            <w:tcW w:w="6480" w:type="dxa"/>
            <w:vAlign w:val="bottom"/>
            <w:tcBorders>
              <w:top w:val="single" w:sz="8" w:color="0000FF"/>
            </w:tcBorders>
            <w:gridSpan w:val="6"/>
          </w:tcPr>
          <w:p>
            <w:pPr>
              <w:spacing w:after="0"/>
              <w:rPr>
                <w:sz w:val="15"/>
                <w:szCs w:val="15"/>
                <w:color w:val="auto"/>
              </w:rPr>
            </w:pPr>
          </w:p>
        </w:tc>
        <w:tc>
          <w:tcPr>
            <w:tcW w:w="580" w:type="dxa"/>
            <w:vAlign w:val="bottom"/>
            <w:gridSpan w:val="7"/>
          </w:tcPr>
          <w:p>
            <w:pPr>
              <w:spacing w:after="0"/>
              <w:rPr>
                <w:sz w:val="15"/>
                <w:szCs w:val="15"/>
                <w:color w:val="auto"/>
              </w:rPr>
            </w:pPr>
          </w:p>
        </w:tc>
      </w:tr>
    </w:tbl>
    <w:p>
      <w:pPr>
        <w:spacing w:after="0" w:line="45" w:lineRule="exact"/>
        <w:rPr>
          <w:sz w:val="20"/>
          <w:szCs w:val="20"/>
          <w:color w:val="auto"/>
        </w:rPr>
      </w:pPr>
    </w:p>
    <w:p>
      <w:pPr>
        <w:ind w:left="1300" w:hanging="1265"/>
        <w:spacing w:after="0"/>
        <w:tabs>
          <w:tab w:leader="none" w:pos="1300" w:val="left"/>
        </w:tabs>
        <w:numPr>
          <w:ilvl w:val="0"/>
          <w:numId w:val="71"/>
        </w:numPr>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Certification pursuant to 18 U.S.C. Section 1350, as adopted pursuant to Section 906 of the Sarbanes-Oxley Act of 2002.</w:t>
        </w:r>
      </w:hyperlink>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434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4340" w:type="dxa"/>
            <w:vAlign w:val="bottom"/>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434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434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4340" w:type="dxa"/>
            <w:vAlign w:val="bottom"/>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4340" w:type="dxa"/>
            <w:vAlign w:val="bottom"/>
          </w:tcPr>
          <w:p>
            <w:pPr>
              <w:ind w:left="280"/>
              <w:spacing w:after="0"/>
              <w:rPr>
                <w:sz w:val="20"/>
                <w:szCs w:val="20"/>
                <w:color w:val="auto"/>
              </w:rPr>
            </w:pPr>
            <w:r>
              <w:rPr>
                <w:rFonts w:ascii="Arial" w:cs="Arial" w:eastAsia="Arial" w:hAnsi="Arial"/>
                <w:sz w:val="18"/>
                <w:szCs w:val="18"/>
                <w:color w:val="auto"/>
                <w:w w:val="98"/>
              </w:rPr>
              <w:t>XBRL Taxonomy Extension Presentation Linkbase.</w:t>
            </w:r>
          </w:p>
        </w:tc>
      </w:tr>
    </w:tbl>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240" w:top="116" w:right="41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I, Larry D. De Shon, certify that:</w:t>
      </w:r>
    </w:p>
    <w:p>
      <w:pPr>
        <w:spacing w:after="0" w:line="171"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71"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660" w:right="20" w:hanging="328"/>
        <w:spacing w:after="0" w:line="323"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7"/>
          <w:szCs w:val="17"/>
          <w:color w:val="auto"/>
        </w:rPr>
      </w:pPr>
    </w:p>
    <w:p>
      <w:pPr>
        <w:ind w:left="660" w:right="300" w:hanging="328"/>
        <w:spacing w:after="0" w:line="271"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Arial" w:cs="Arial" w:eastAsia="Arial" w:hAnsi="Arial"/>
          <w:sz w:val="18"/>
          <w:szCs w:val="18"/>
          <w:color w:val="auto"/>
        </w:rPr>
      </w:pPr>
    </w:p>
    <w:p>
      <w:pPr>
        <w:ind w:left="1300" w:right="180" w:hanging="320"/>
        <w:spacing w:after="0" w:line="271"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1300" w:right="160" w:hanging="320"/>
        <w:spacing w:after="0" w:line="271"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jc w:val="both"/>
        <w:ind w:left="1300" w:right="100" w:hanging="320"/>
        <w:spacing w:after="0" w:line="271"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8"/>
          <w:szCs w:val="18"/>
          <w:color w:val="auto"/>
        </w:rPr>
      </w:pPr>
    </w:p>
    <w:p>
      <w:pPr>
        <w:ind w:left="1300" w:right="240" w:hanging="320"/>
        <w:spacing w:after="0" w:line="271"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660" w:right="520" w:hanging="328"/>
        <w:spacing w:after="0" w:line="271"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9" w:lineRule="exact"/>
        <w:rPr>
          <w:rFonts w:ascii="Arial" w:cs="Arial" w:eastAsia="Arial" w:hAnsi="Arial"/>
          <w:sz w:val="18"/>
          <w:szCs w:val="18"/>
          <w:color w:val="auto"/>
        </w:rPr>
      </w:pPr>
    </w:p>
    <w:p>
      <w:pPr>
        <w:jc w:val="both"/>
        <w:ind w:left="1300" w:right="100" w:hanging="320"/>
        <w:spacing w:after="0" w:line="271"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Arial" w:cs="Arial" w:eastAsia="Arial" w:hAnsi="Arial"/>
          <w:sz w:val="18"/>
          <w:szCs w:val="18"/>
          <w:color w:val="auto"/>
        </w:rPr>
      </w:pPr>
    </w:p>
    <w:p>
      <w:pPr>
        <w:ind w:left="1300" w:right="20" w:hanging="320"/>
        <w:spacing w:after="0" w:line="292"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May 2, 2019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Larry D. De 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28575</wp:posOffset>
            </wp:positionV>
            <wp:extent cx="27101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74"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 John F. North, III, certify that:</w:t>
      </w:r>
    </w:p>
    <w:p>
      <w:pPr>
        <w:spacing w:after="0" w:line="171"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71"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660" w:right="20" w:hanging="328"/>
        <w:spacing w:after="0" w:line="323"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7"/>
          <w:szCs w:val="17"/>
          <w:color w:val="auto"/>
        </w:rPr>
      </w:pPr>
    </w:p>
    <w:p>
      <w:pPr>
        <w:ind w:left="660" w:right="300" w:hanging="328"/>
        <w:spacing w:after="0" w:line="271"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Arial" w:cs="Arial" w:eastAsia="Arial" w:hAnsi="Arial"/>
          <w:sz w:val="18"/>
          <w:szCs w:val="18"/>
          <w:color w:val="auto"/>
        </w:rPr>
      </w:pPr>
    </w:p>
    <w:p>
      <w:pPr>
        <w:ind w:left="1300" w:right="180" w:hanging="320"/>
        <w:spacing w:after="0" w:line="271"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1300" w:right="160" w:hanging="320"/>
        <w:spacing w:after="0" w:line="271"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jc w:val="both"/>
        <w:ind w:left="1300" w:right="100" w:hanging="320"/>
        <w:spacing w:after="0" w:line="271"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8"/>
          <w:szCs w:val="18"/>
          <w:color w:val="auto"/>
        </w:rPr>
      </w:pPr>
    </w:p>
    <w:p>
      <w:pPr>
        <w:ind w:left="1300" w:right="240" w:hanging="320"/>
        <w:spacing w:after="0" w:line="271"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660" w:right="520" w:hanging="328"/>
        <w:spacing w:after="0" w:line="271"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9" w:lineRule="exact"/>
        <w:rPr>
          <w:rFonts w:ascii="Arial" w:cs="Arial" w:eastAsia="Arial" w:hAnsi="Arial"/>
          <w:sz w:val="18"/>
          <w:szCs w:val="18"/>
          <w:color w:val="auto"/>
        </w:rPr>
      </w:pPr>
    </w:p>
    <w:p>
      <w:pPr>
        <w:jc w:val="both"/>
        <w:ind w:left="1300" w:right="100" w:hanging="320"/>
        <w:spacing w:after="0" w:line="271"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Arial" w:cs="Arial" w:eastAsia="Arial" w:hAnsi="Arial"/>
          <w:sz w:val="18"/>
          <w:szCs w:val="18"/>
          <w:color w:val="auto"/>
        </w:rPr>
      </w:pPr>
    </w:p>
    <w:p>
      <w:pPr>
        <w:ind w:left="1300" w:right="20" w:hanging="320"/>
        <w:spacing w:after="0" w:line="292"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May 2, 2019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John F. North,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28575</wp:posOffset>
            </wp:positionV>
            <wp:extent cx="42449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4244975"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7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March 31, 2019, as filed with the Securities and Exchange Commission on the date hereof (the “Report”), Larry D. De Shon, as Chief Executive Officer of the Company, and John F. North, III, as Chief Financial Officer of the Company, each hereby certifies, pursuant to 18 U.S.C. Section 1350, as adopted pursuant to Section 906 of the Sarbanes-Oxley Act of 2002, that, to the best of his knowledge:</w:t>
      </w:r>
    </w:p>
    <w:p>
      <w:pPr>
        <w:spacing w:after="0" w:line="116"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180" w:hanging="328"/>
        <w:spacing w:after="0" w:line="292"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LARRY D. DE SHON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Larry D. De Shon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2, 2019</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JOHN F. NORTH, III</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F. North, III</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2, 2019</w:t>
      </w:r>
    </w:p>
    <w:sectPr>
      <w:pgSz w:w="11900" w:h="16838" w:orient="portrait"/>
      <w:cols w:equalWidth="0" w:num="1">
        <w:col w:w="11420"/>
      </w:cols>
      <w:pgMar w:left="240" w:top="5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emdash "/>
      <w:numFmt w:val="bullet"/>
      <w:start w:val="1"/>
    </w:lvl>
  </w:abstractNum>
  <w:abstractNum w:abstractNumId="3">
    <w:nsid w:val="5E884ADC"/>
    <w:multiLevelType w:val="hybridMultilevel"/>
    <w:lvl w:ilvl="0">
      <w:lvlJc w:val="left"/>
      <w:lvlText w:val="5"/>
      <w:numFmt w:val="bullet"/>
      <w:start w:val="1"/>
    </w:lvl>
  </w:abstractNum>
  <w:abstractNum w:abstractNumId="4">
    <w:nsid w:val="51EAD36B"/>
    <w:multiLevelType w:val="hybridMultilevel"/>
    <w:lvl w:ilvl="0">
      <w:lvlJc w:val="left"/>
      <w:lvlText w:val="(%1)"/>
      <w:numFmt w:val="decimal"/>
      <w:start w:val="136"/>
    </w:lvl>
  </w:abstractNum>
  <w:abstractNum w:abstractNumId="5">
    <w:nsid w:val="2D517796"/>
    <w:multiLevelType w:val="hybridMultilevel"/>
    <w:lvl w:ilvl="0">
      <w:lvlJc w:val="left"/>
      <w:lvlText w:val="(%1)"/>
      <w:numFmt w:val="decimal"/>
      <w:start w:val="45"/>
    </w:lvl>
  </w:abstractNum>
  <w:abstractNum w:abstractNumId="6">
    <w:nsid w:val="580BD78F"/>
    <w:multiLevelType w:val="hybridMultilevel"/>
    <w:lvl w:ilvl="0">
      <w:lvlJc w:val="left"/>
      <w:lvlText w:val="%1."/>
      <w:numFmt w:val="decimal"/>
      <w:start w:val="1"/>
    </w:lvl>
    <w:lvl w:ilvl="1">
      <w:lvlJc w:val="left"/>
      <w:lvlText w:val="•"/>
      <w:numFmt w:val="bullet"/>
      <w:start w:val="1"/>
    </w:lvl>
  </w:abstractNum>
  <w:abstractNum w:abstractNumId="7">
    <w:nsid w:val="153EA438"/>
    <w:multiLevelType w:val="hybridMultilevel"/>
    <w:lvl w:ilvl="0">
      <w:lvlJc w:val="left"/>
      <w:lvlText w:val="(%1)"/>
      <w:numFmt w:val="lowerLetter"/>
      <w:start w:val="1"/>
    </w:lvl>
  </w:abstractNum>
  <w:abstractNum w:abstractNumId="8">
    <w:nsid w:val="3855585C"/>
    <w:multiLevelType w:val="hybridMultilevel"/>
    <w:lvl w:ilvl="0">
      <w:lvlJc w:val="left"/>
      <w:lvlText w:val="%1."/>
      <w:numFmt w:val="decimal"/>
      <w:start w:val="2"/>
    </w:lvl>
  </w:abstractNum>
  <w:abstractNum w:abstractNumId="9">
    <w:nsid w:val="70A64E2A"/>
    <w:multiLevelType w:val="hybridMultilevel"/>
    <w:lvl w:ilvl="0">
      <w:lvlJc w:val="left"/>
      <w:lvlText w:val="(%1)"/>
      <w:numFmt w:val="lowerLetter"/>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1)"/>
      <w:numFmt w:val="lowerLetter"/>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1."/>
      <w:numFmt w:val="decimal"/>
      <w:start w:val="3"/>
    </w:lvl>
  </w:abstractNum>
  <w:abstractNum w:abstractNumId="22">
    <w:nsid w:val="32FFF902"/>
    <w:multiLevelType w:val="hybridMultilevel"/>
    <w:lvl w:ilvl="0">
      <w:lvlJc w:val="left"/>
      <w:lvlText w:val="(%1)"/>
      <w:numFmt w:val="lowerLetter"/>
      <w:start w:val="1"/>
    </w:lvl>
  </w:abstractNum>
  <w:abstractNum w:abstractNumId="23">
    <w:nsid w:val="684A481A"/>
    <w:multiLevelType w:val="hybridMultilevel"/>
    <w:lvl w:ilvl="0">
      <w:lvlJc w:val="left"/>
      <w:lvlText w:val="%1."/>
      <w:numFmt w:val="decimal"/>
      <w:start w:val="4"/>
    </w:lvl>
  </w:abstractNum>
  <w:abstractNum w:abstractNumId="24">
    <w:nsid w:val="579478FE"/>
    <w:multiLevelType w:val="hybridMultilevel"/>
    <w:lvl w:ilvl="0">
      <w:lvlJc w:val="left"/>
      <w:lvlText w:val="%1"/>
      <w:numFmt w:val="decimal"/>
      <w:start w:val="1"/>
    </w:lvl>
    <w:lvl w:ilvl="1">
      <w:lvlJc w:val="left"/>
      <w:lvlText w:val="(%2)"/>
      <w:numFmt w:val="lowerLetter"/>
      <w:start w:val="1"/>
    </w:lvl>
  </w:abstractNum>
  <w:abstractNum w:abstractNumId="25">
    <w:nsid w:val="749ABB43"/>
    <w:multiLevelType w:val="hybridMultilevel"/>
    <w:lvl w:ilvl="0">
      <w:lvlJc w:val="left"/>
      <w:lvlText w:val="%1."/>
      <w:numFmt w:val="decimal"/>
      <w:start w:val="5"/>
    </w:lvl>
    <w:lvl w:ilvl="1">
      <w:lvlJc w:val="left"/>
      <w:lvlText w:val="%2"/>
      <w:numFmt w:val="lowerLetter"/>
      <w:start w:val="1"/>
    </w:lvl>
  </w:abstractNum>
  <w:abstractNum w:abstractNumId="26">
    <w:nsid w:val="3DC240FB"/>
    <w:multiLevelType w:val="hybridMultilevel"/>
    <w:lvl w:ilvl="0">
      <w:lvlJc w:val="left"/>
      <w:lvlText w:val="%1."/>
      <w:numFmt w:val="decimal"/>
      <w:start w:val="6"/>
    </w:lvl>
  </w:abstractNum>
  <w:abstractNum w:abstractNumId="27">
    <w:nsid w:val="1BA026FA"/>
    <w:multiLevelType w:val="hybridMultilevel"/>
    <w:lvl w:ilvl="0">
      <w:lvlJc w:val="left"/>
      <w:lvlText w:val="(%1)"/>
      <w:numFmt w:val="lowerLetter"/>
      <w:start w:val="1"/>
    </w:lvl>
  </w:abstractNum>
  <w:abstractNum w:abstractNumId="28">
    <w:nsid w:val="79A1DEAA"/>
    <w:multiLevelType w:val="hybridMultilevel"/>
    <w:lvl w:ilvl="0">
      <w:lvlJc w:val="left"/>
      <w:lvlText w:val="%1."/>
      <w:numFmt w:val="decimal"/>
      <w:start w:val="7"/>
    </w:lvl>
  </w:abstractNum>
  <w:abstractNum w:abstractNumId="29">
    <w:nsid w:val="75C6C33A"/>
    <w:multiLevelType w:val="hybridMultilevel"/>
    <w:lvl w:ilvl="0">
      <w:lvlJc w:val="left"/>
      <w:lvlText w:val="%1."/>
      <w:numFmt w:val="decimal"/>
      <w:start w:val="8"/>
    </w:lvl>
  </w:abstractNum>
  <w:abstractNum w:abstractNumId="30">
    <w:nsid w:val="12E685FB"/>
    <w:multiLevelType w:val="hybridMultilevel"/>
    <w:lvl w:ilvl="0">
      <w:lvlJc w:val="left"/>
      <w:lvlText w:val="%1."/>
      <w:numFmt w:val="decimal"/>
      <w:start w:val="10"/>
    </w:lvl>
  </w:abstractNum>
  <w:abstractNum w:abstractNumId="31">
    <w:nsid w:val="70C6A529"/>
    <w:multiLevelType w:val="hybridMultilevel"/>
    <w:lvl w:ilvl="0">
      <w:lvlJc w:val="left"/>
      <w:lvlText w:val="(%1)"/>
      <w:numFmt w:val="lowerLetter"/>
      <w:start w:val="1"/>
    </w:lvl>
  </w:abstractNum>
  <w:abstractNum w:abstractNumId="32">
    <w:nsid w:val="520EEDD1"/>
    <w:multiLevelType w:val="hybridMultilevel"/>
    <w:lvl w:ilvl="0">
      <w:lvlJc w:val="left"/>
      <w:lvlText w:val="(%1)"/>
      <w:numFmt w:val="lowerLetter"/>
      <w:start w:val="1"/>
    </w:lvl>
  </w:abstractNum>
  <w:abstractNum w:abstractNumId="33">
    <w:nsid w:val="374A3FE6"/>
    <w:multiLevelType w:val="hybridMultilevel"/>
    <w:lvl w:ilvl="0">
      <w:lvlJc w:val="left"/>
      <w:lvlText w:val="%1."/>
      <w:numFmt w:val="decimal"/>
      <w:start w:val="11"/>
    </w:lvl>
  </w:abstractNum>
  <w:abstractNum w:abstractNumId="34">
    <w:nsid w:val="4F4EF005"/>
    <w:multiLevelType w:val="hybridMultilevel"/>
    <w:lvl w:ilvl="0">
      <w:lvlJc w:val="left"/>
      <w:lvlText w:val="(%1)"/>
      <w:numFmt w:val="lowerLetter"/>
      <w:start w:val="1"/>
    </w:lvl>
  </w:abstractNum>
  <w:abstractNum w:abstractNumId="35">
    <w:nsid w:val="23F9C13C"/>
    <w:multiLevelType w:val="hybridMultilevel"/>
    <w:lvl w:ilvl="0">
      <w:lvlJc w:val="left"/>
      <w:lvlText w:val="(%1)"/>
      <w:numFmt w:val="lowerLetter"/>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1)"/>
      <w:numFmt w:val="lowerLetter"/>
      <w:start w:val="1"/>
    </w:lvl>
  </w:abstractNum>
  <w:abstractNum w:abstractNumId="39">
    <w:nsid w:val="1CF10FD8"/>
    <w:multiLevelType w:val="hybridMultilevel"/>
    <w:lvl w:ilvl="0">
      <w:lvlJc w:val="left"/>
      <w:lvlText w:val="%1."/>
      <w:numFmt w:val="decimal"/>
      <w:start w:val="12"/>
    </w:lvl>
  </w:abstractNum>
  <w:abstractNum w:abstractNumId="40">
    <w:nsid w:val="180115BE"/>
    <w:multiLevelType w:val="hybridMultilevel"/>
    <w:lvl w:ilvl="0">
      <w:lvlJc w:val="left"/>
      <w:lvlText w:val="%1."/>
      <w:numFmt w:val="decimal"/>
      <w:start w:val="13"/>
    </w:lvl>
  </w:abstractNum>
  <w:abstractNum w:abstractNumId="41">
    <w:nsid w:val="235BA861"/>
    <w:multiLevelType w:val="hybridMultilevel"/>
    <w:lvl w:ilvl="0">
      <w:lvlJc w:val="left"/>
      <w:lvlText w:val="%1"/>
      <w:numFmt w:val="decimal"/>
      <w:start w:val="1"/>
    </w:lvl>
    <w:lvl w:ilvl="1">
      <w:lvlJc w:val="left"/>
      <w:lvlText w:val="(%2)"/>
      <w:numFmt w:val="lowerLetter"/>
      <w:start w:val="1"/>
    </w:lvl>
  </w:abstractNum>
  <w:abstractNum w:abstractNumId="42">
    <w:nsid w:val="47398C89"/>
    <w:multiLevelType w:val="hybridMultilevel"/>
    <w:lvl w:ilvl="0">
      <w:lvlJc w:val="left"/>
      <w:lvlText w:val="%1."/>
      <w:numFmt w:val="decimal"/>
      <w:start w:val="14"/>
    </w:lvl>
    <w:lvl w:ilvl="1">
      <w:lvlJc w:val="left"/>
      <w:lvlText w:val="%2"/>
      <w:numFmt w:val="lowerLetter"/>
      <w:start w:val="1"/>
    </w:lvl>
  </w:abstractNum>
  <w:abstractNum w:abstractNumId="43">
    <w:nsid w:val="354FE9F9"/>
    <w:multiLevelType w:val="hybridMultilevel"/>
    <w:lvl w:ilvl="0">
      <w:lvlJc w:val="left"/>
      <w:lvlText w:val="(%1)"/>
      <w:numFmt w:val="decimal"/>
      <w:start w:val="336"/>
    </w:lvl>
  </w:abstractNum>
  <w:abstractNum w:abstractNumId="44">
    <w:nsid w:val="15B5AF5C"/>
    <w:multiLevelType w:val="hybridMultilevel"/>
    <w:lvl w:ilvl="0">
      <w:lvlJc w:val="left"/>
      <w:lvlText w:val="(%1)"/>
      <w:numFmt w:val="decimal"/>
      <w:start w:val="27"/>
    </w:lvl>
  </w:abstractNum>
  <w:abstractNum w:abstractNumId="45">
    <w:nsid w:val="741226BB"/>
    <w:multiLevelType w:val="hybridMultilevel"/>
    <w:lvl w:ilvl="0">
      <w:lvlJc w:val="left"/>
      <w:lvlText w:val="%1"/>
      <w:numFmt w:val="decimal"/>
      <w:start w:val="480"/>
    </w:lvl>
  </w:abstractNum>
  <w:abstractNum w:abstractNumId="46">
    <w:nsid w:val="D34B6A8"/>
    <w:multiLevelType w:val="hybridMultilevel"/>
    <w:lvl w:ilvl="0">
      <w:lvlJc w:val="left"/>
      <w:lvlText w:val="(%1)"/>
      <w:numFmt w:val="decimal"/>
      <w:start w:val="413"/>
    </w:lvl>
  </w:abstractNum>
  <w:abstractNum w:abstractNumId="47">
    <w:nsid w:val="10233C99"/>
    <w:multiLevelType w:val="hybridMultilevel"/>
    <w:lvl w:ilvl="0">
      <w:lvlJc w:val="left"/>
      <w:lvlText w:val="(%1)"/>
      <w:numFmt w:val="lowerLetter"/>
      <w:start w:val="1"/>
    </w:lvl>
  </w:abstractNum>
  <w:abstractNum w:abstractNumId="48">
    <w:nsid w:val="3F6AB60F"/>
    <w:multiLevelType w:val="hybridMultilevel"/>
    <w:lvl w:ilvl="0">
      <w:lvlJc w:val="left"/>
      <w:lvlText w:val="%1"/>
      <w:numFmt w:val="decimal"/>
      <w:start w:val="1"/>
    </w:lvl>
    <w:lvl w:ilvl="1">
      <w:lvlJc w:val="left"/>
      <w:lvlText w:val="(%2)"/>
      <w:numFmt w:val="lowerLetter"/>
      <w:start w:val="1"/>
    </w:lvl>
  </w:abstractNum>
  <w:abstractNum w:abstractNumId="49">
    <w:nsid w:val="61574095"/>
    <w:multiLevelType w:val="hybridMultilevel"/>
    <w:lvl w:ilvl="0">
      <w:lvlJc w:val="left"/>
      <w:lvlText w:val="%1."/>
      <w:numFmt w:val="decimal"/>
      <w:start w:val="15"/>
    </w:lvl>
    <w:lvl w:ilvl="1">
      <w:lvlJc w:val="left"/>
      <w:lvlText w:val="%2"/>
      <w:numFmt w:val="lowerLetter"/>
      <w:start w:val="1"/>
    </w:lvl>
  </w:abstractNum>
  <w:abstractNum w:abstractNumId="50">
    <w:nsid w:val="7E0C57B1"/>
    <w:multiLevelType w:val="hybridMultilevel"/>
    <w:lvl w:ilvl="0">
      <w:lvlJc w:val="left"/>
      <w:lvlText w:val="(%1)"/>
      <w:numFmt w:val="lowerLetter"/>
      <w:start w:val="1"/>
    </w:lvl>
  </w:abstractNum>
  <w:abstractNum w:abstractNumId="51">
    <w:nsid w:val="77AE35EB"/>
    <w:multiLevelType w:val="hybridMultilevel"/>
    <w:lvl w:ilvl="0">
      <w:lvlJc w:val="left"/>
      <w:lvlText w:val="(%1)"/>
      <w:numFmt w:val="lowerLetter"/>
      <w:start w:val="1"/>
    </w:lvl>
  </w:abstractNum>
  <w:abstractNum w:abstractNumId="52">
    <w:nsid w:val="579BE4F1"/>
    <w:multiLevelType w:val="hybridMultilevel"/>
    <w:lvl w:ilvl="0">
      <w:lvlJc w:val="left"/>
      <w:lvlText w:val="(%1)"/>
      <w:numFmt w:val="lowerLetter"/>
      <w:start w:val="1"/>
    </w:lvl>
  </w:abstractNum>
  <w:abstractNum w:abstractNumId="53">
    <w:nsid w:val="310C50B3"/>
    <w:multiLevelType w:val="hybridMultilevel"/>
    <w:lvl w:ilvl="0">
      <w:lvlJc w:val="left"/>
      <w:lvlText w:val="%1"/>
      <w:numFmt w:val="decimal"/>
      <w:start w:val="1"/>
    </w:lvl>
    <w:lvl w:ilvl="1">
      <w:lvlJc w:val="left"/>
      <w:lvlText w:val="(%2)"/>
      <w:numFmt w:val="lowerLetter"/>
      <w:start w:val="1"/>
    </w:lvl>
  </w:abstractNum>
  <w:abstractNum w:abstractNumId="54">
    <w:nsid w:val="5FF87E05"/>
    <w:multiLevelType w:val="hybridMultilevel"/>
    <w:lvl w:ilvl="0">
      <w:lvlJc w:val="left"/>
      <w:lvlText w:val="%1."/>
      <w:numFmt w:val="decimal"/>
      <w:start w:val="16"/>
    </w:lvl>
    <w:lvl w:ilvl="1">
      <w:lvlJc w:val="left"/>
      <w:lvlText w:val="%2"/>
      <w:numFmt w:val="lowerLetter"/>
      <w:start w:val="1"/>
    </w:lvl>
  </w:abstractNum>
  <w:abstractNum w:abstractNumId="55">
    <w:nsid w:val="2F305DEF"/>
    <w:multiLevelType w:val="hybridMultilevel"/>
    <w:lvl w:ilvl="0">
      <w:lvlJc w:val="left"/>
      <w:lvlText w:val="(%1)"/>
      <w:numFmt w:val="lowerLetter"/>
      <w:start w:val="1"/>
    </w:lvl>
  </w:abstractNum>
  <w:abstractNum w:abstractNumId="56">
    <w:nsid w:val="25A70BF7"/>
    <w:multiLevelType w:val="hybridMultilevel"/>
    <w:lvl w:ilvl="0">
      <w:lvlJc w:val="left"/>
      <w:lvlText w:val="%1."/>
      <w:numFmt w:val="decimal"/>
      <w:start w:val="17"/>
    </w:lvl>
  </w:abstractNum>
  <w:abstractNum w:abstractNumId="57">
    <w:nsid w:val="1DBABF00"/>
    <w:multiLevelType w:val="hybridMultilevel"/>
    <w:lvl w:ilvl="0">
      <w:lvlJc w:val="left"/>
      <w:lvlText w:val="(%1)"/>
      <w:numFmt w:val="lowerLetter"/>
      <w:start w:val="1"/>
    </w:lvl>
  </w:abstractNum>
  <w:abstractNum w:abstractNumId="58">
    <w:nsid w:val="4AD084E9"/>
    <w:multiLevelType w:val="hybridMultilevel"/>
    <w:lvl w:ilvl="0">
      <w:lvlJc w:val="left"/>
      <w:lvlText w:val="%1."/>
      <w:numFmt w:val="decimal"/>
      <w:start w:val="18"/>
    </w:lvl>
    <w:lvl w:ilvl="1">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1)"/>
      <w:numFmt w:val="lowerRoman"/>
      <w:start w:val="4"/>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1)"/>
      <w:numFmt w:val="lowerLetter"/>
      <w:start w:val="1"/>
    </w:lvl>
  </w:abstractNum>
  <w:abstractNum w:abstractNumId="63">
    <w:nsid w:val="6590700B"/>
    <w:multiLevelType w:val="hybridMultilevel"/>
    <w:lvl w:ilvl="0">
      <w:lvlJc w:val="left"/>
      <w:lvlText w:val="(%1)"/>
      <w:numFmt w:val="decimal"/>
      <w:start w:val="45"/>
    </w:lvl>
  </w:abstractNum>
  <w:abstractNum w:abstractNumId="64">
    <w:nsid w:val="15014ACB"/>
    <w:multiLevelType w:val="hybridMultilevel"/>
    <w:lvl w:ilvl="0">
      <w:lvlJc w:val="left"/>
      <w:lvlText w:val="(%1)"/>
      <w:numFmt w:val="decimal"/>
      <w:start w:val="136"/>
    </w:lvl>
  </w:abstractNum>
  <w:abstractNum w:abstractNumId="65">
    <w:nsid w:val="5F5E7FD0"/>
    <w:multiLevelType w:val="hybridMultilevel"/>
    <w:lvl w:ilvl="0">
      <w:lvlJc w:val="left"/>
      <w:lvlText w:val="\emdash "/>
      <w:numFmt w:val="bullet"/>
      <w:start w:val="1"/>
    </w:lvl>
  </w:abstractNum>
  <w:abstractNum w:abstractNumId="66">
    <w:nsid w:val="98A3148"/>
    <w:multiLevelType w:val="hybridMultilevel"/>
    <w:lvl w:ilvl="0">
      <w:lvlJc w:val="left"/>
      <w:lvlText w:val="5"/>
      <w:numFmt w:val="bullet"/>
      <w:start w:val="1"/>
    </w:lvl>
  </w:abstractNum>
  <w:abstractNum w:abstractNumId="67">
    <w:nsid w:val="799D0247"/>
    <w:multiLevelType w:val="hybridMultilevel"/>
    <w:lvl w:ilvl="0">
      <w:lvlJc w:val="left"/>
      <w:lvlText w:val="\emdash "/>
      <w:numFmt w:val="bullet"/>
      <w:start w:val="1"/>
    </w:lvl>
  </w:abstractNum>
  <w:abstractNum w:abstractNumId="68">
    <w:nsid w:val="6B94764"/>
    <w:multiLevelType w:val="hybridMultilevel"/>
    <w:lvl w:ilvl="0">
      <w:lvlJc w:val="left"/>
      <w:lvlText w:val="(%1)"/>
      <w:numFmt w:val="lowerRoman"/>
      <w:start w:val="1"/>
    </w:lvl>
  </w:abstractNum>
  <w:abstractNum w:abstractNumId="69">
    <w:nsid w:val="42C296BD"/>
    <w:multiLevelType w:val="hybridMultilevel"/>
    <w:lvl w:ilvl="0">
      <w:lvlJc w:val="left"/>
      <w:lvlText w:val="(%1)"/>
      <w:numFmt w:val="lowerLetter"/>
      <w:start w:val="1"/>
    </w:lvl>
  </w:abstractNum>
  <w:abstractNum w:abstractNumId="70">
    <w:nsid w:val="168E121F"/>
    <w:multiLevelType w:val="hybridMultilevel"/>
    <w:lvl w:ilvl="0">
      <w:lvlJc w:val="left"/>
      <w:lvlText w:val="%1"/>
      <w:numFmt w:val="decimal"/>
      <w:start w:val="32"/>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lvl w:ilvl="1">
      <w:lvlJc w:val="left"/>
      <w:lvlText w:val="%2)"/>
      <w:numFmt w:val="lowerLetter"/>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64" Type="http://schemas.openxmlformats.org/officeDocument/2006/relationships/hyperlink" Target="http://www.sec.gov/Archives/edgar/data/723612/000072361219000016/offerletter.htm" TargetMode="External"/><Relationship Id="rId65" Type="http://schemas.openxmlformats.org/officeDocument/2006/relationships/hyperlink" Target="http://www.sec.gov/Archives/edgar/data/723612/000072361219000016/martynsmithletter.htm" TargetMode="External"/><Relationship Id="rId66" Type="http://schemas.openxmlformats.org/officeDocument/2006/relationships/hyperlink" Target="http://www.sec.gov/Archives/edgar/data/723612/000072361219000017/aesop2019i-1supplement.htm" TargetMode="External"/><Relationship Id="rId67" Type="http://schemas.openxmlformats.org/officeDocument/2006/relationships/hyperlink" Target="http://www.sec.gov/Archives/edgar/data/723612/000072361219000061/separation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2019-12-28T13:36:15Z</dcterms:created>
  <dcterms:modified xsi:type="dcterms:W3CDTF">2019-12-28T13:36:15Z</dcterms:modified>
</cp:coreProperties>
</file>