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For the quarterly period ended September 30, 2014</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47"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ind w:right="2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1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12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20" w:type="dxa"/>
            <w:vAlign w:val="bottom"/>
          </w:tcPr>
          <w:p>
            <w:pPr>
              <w:ind w:left="660"/>
              <w:spacing w:after="0"/>
              <w:rPr>
                <w:sz w:val="20"/>
                <w:szCs w:val="20"/>
                <w:color w:val="auto"/>
              </w:rPr>
            </w:pPr>
            <w:r>
              <w:rPr>
                <w:rFonts w:ascii="Arial" w:cs="Arial" w:eastAsia="Arial" w:hAnsi="Arial"/>
                <w:sz w:val="16"/>
                <w:szCs w:val="16"/>
                <w:color w:val="auto"/>
              </w:rPr>
              <w:t>x</w:t>
            </w:r>
          </w:p>
        </w:tc>
        <w:tc>
          <w:tcPr>
            <w:tcW w:w="2800" w:type="dxa"/>
            <w:vAlign w:val="bottom"/>
          </w:tcPr>
          <w:p>
            <w:pPr>
              <w:ind w:left="64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257"/>
        </w:trPr>
        <w:tc>
          <w:tcPr>
            <w:tcW w:w="212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20" w:type="dxa"/>
            <w:vAlign w:val="bottom"/>
          </w:tcPr>
          <w:p>
            <w:pPr>
              <w:ind w:left="660"/>
              <w:spacing w:after="0"/>
              <w:rPr>
                <w:sz w:val="20"/>
                <w:szCs w:val="20"/>
                <w:color w:val="auto"/>
              </w:rPr>
            </w:pPr>
            <w:r>
              <w:rPr>
                <w:rFonts w:ascii="Arial" w:cs="Arial" w:eastAsia="Arial" w:hAnsi="Arial"/>
                <w:sz w:val="16"/>
                <w:szCs w:val="16"/>
                <w:color w:val="auto"/>
              </w:rPr>
              <w:t>o</w:t>
            </w:r>
          </w:p>
        </w:tc>
        <w:tc>
          <w:tcPr>
            <w:tcW w:w="2800" w:type="dxa"/>
            <w:vAlign w:val="bottom"/>
          </w:tcPr>
          <w:p>
            <w:pPr>
              <w:ind w:left="64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398"/>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6"/>
                <w:szCs w:val="16"/>
                <w:color w:val="auto"/>
              </w:rPr>
              <w:t>x</w:t>
            </w:r>
          </w:p>
        </w:tc>
        <w:tc>
          <w:tcPr>
            <w:tcW w:w="720" w:type="dxa"/>
            <w:vAlign w:val="bottom"/>
          </w:tcPr>
          <w:p>
            <w:pPr>
              <w:spacing w:after="0"/>
              <w:rPr>
                <w:sz w:val="24"/>
                <w:szCs w:val="24"/>
                <w:color w:val="auto"/>
              </w:rPr>
            </w:pPr>
          </w:p>
        </w:tc>
      </w:tr>
      <w:tr>
        <w:trPr>
          <w:trHeight w:val="386"/>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106,244,995 shares as of October 24, 2014.</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2120" w:type="dxa"/>
            <w:vAlign w:val="bottom"/>
            <w:tcBorders>
              <w:bottom w:val="single" w:sz="8" w:color="auto"/>
            </w:tcBorders>
          </w:tcPr>
          <w:p>
            <w:pPr>
              <w:spacing w:after="0"/>
              <w:rPr>
                <w:sz w:val="23"/>
                <w:szCs w:val="23"/>
                <w:color w:val="auto"/>
              </w:rPr>
            </w:pPr>
          </w:p>
        </w:tc>
        <w:tc>
          <w:tcPr>
            <w:tcW w:w="57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57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47"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for the Three and Nine Months Ended September</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30, 2014 and 2013 (Unaudited)</w:t>
              </w:r>
            </w:hyperlink>
          </w:p>
        </w:tc>
        <w:tc>
          <w:tcPr>
            <w:tcW w:w="6620" w:type="dxa"/>
            <w:vAlign w:val="bottom"/>
            <w:tcBorders>
              <w:top w:val="single" w:sz="8" w:color="0000EE"/>
            </w:tcBorders>
            <w:gridSpan w:val="7"/>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Balance Sheets as of September 30, 2014 and December 31, 2013 (Unaudited)</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Cash Flows for the Nine Months Ended September 30, 2014 and 2013</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8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9">
              <w:r>
                <w:rPr>
                  <w:rFonts w:ascii="Arial" w:cs="Arial" w:eastAsia="Arial" w:hAnsi="Arial"/>
                  <w:sz w:val="18"/>
                  <w:szCs w:val="18"/>
                  <w:color w:val="0000FF"/>
                  <w:w w:val="98"/>
                </w:rPr>
                <w:t>Exhibits</w:t>
              </w:r>
            </w:hyperlink>
          </w:p>
        </w:tc>
        <w:tc>
          <w:tcPr>
            <w:tcW w:w="4220" w:type="dxa"/>
            <w:vAlign w:val="bottom"/>
            <w:gridSpan w:val="9"/>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March 2013 acquisition of Zipcar, Inc. (“Zipcar”), including our ability to realize the synergies contemplated by the transaction and our ability to promptly and efficiently integrate the business into Avis Budget Group;</w:t>
      </w:r>
    </w:p>
    <w:p>
      <w:pPr>
        <w:spacing w:after="0" w:line="196"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claims in excess of historical levels;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4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74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 and</w:t>
      </w:r>
    </w:p>
    <w:p>
      <w:pPr>
        <w:spacing w:after="0" w:line="174" w:lineRule="exact"/>
        <w:rPr>
          <w:rFonts w:ascii="Arial" w:cs="Arial" w:eastAsia="Arial" w:hAnsi="Arial"/>
          <w:sz w:val="17"/>
          <w:szCs w:val="17"/>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2013 Annual Report on Form 10-K and our Current Report on Form 8-K filed May 12, 2014,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1"/>
                <w:szCs w:val="21"/>
                <w:color w:val="auto"/>
              </w:rPr>
            </w:pPr>
          </w:p>
        </w:tc>
        <w:tc>
          <w:tcPr>
            <w:tcW w:w="25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7"/>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0"/>
        </w:trPr>
        <w:tc>
          <w:tcPr>
            <w:tcW w:w="5540" w:type="dxa"/>
            <w:vAlign w:val="bottom"/>
          </w:tcPr>
          <w:p>
            <w:pPr>
              <w:ind w:left="44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Transaction-related costs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00"/>
          </w:cols>
          <w:pgMar w:left="240" w:top="140" w:right="259" w:bottom="908"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40" w:right="259" w:bottom="908"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Avis Budget Group, Inc.</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6480" w:type="dxa"/>
            <w:vAlign w:val="bottom"/>
            <w:gridSpan w:val="2"/>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300" w:type="dxa"/>
            <w:vAlign w:val="bottom"/>
          </w:tcPr>
          <w:p>
            <w:pPr>
              <w:jc w:val="center"/>
              <w:ind w:left="2230"/>
              <w:spacing w:after="0"/>
              <w:rPr>
                <w:sz w:val="20"/>
                <w:szCs w:val="20"/>
                <w:color w:val="auto"/>
              </w:rPr>
            </w:pPr>
            <w:r>
              <w:rPr>
                <w:rFonts w:ascii="Arial" w:cs="Arial" w:eastAsia="Arial" w:hAnsi="Arial"/>
                <w:sz w:val="18"/>
                <w:szCs w:val="18"/>
                <w:b w:val="1"/>
                <w:bCs w:val="1"/>
                <w:color w:val="auto"/>
                <w:w w:val="99"/>
              </w:rPr>
              <w:t>(In millions, except share data)</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r>
      <w:tr>
        <w:trPr>
          <w:trHeight w:val="246"/>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30"/>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84"/>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693</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619</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177</w:t>
            </w:r>
          </w:p>
        </w:tc>
      </w:tr>
      <w:tr>
        <w:trPr>
          <w:trHeight w:val="277"/>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1,944</w:t>
            </w:r>
          </w:p>
        </w:tc>
      </w:tr>
      <w:tr>
        <w:trPr>
          <w:trHeight w:val="459"/>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614</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1,299</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691</w:t>
            </w: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923</w:t>
            </w:r>
          </w:p>
        </w:tc>
      </w:tr>
      <w:tr>
        <w:trPr>
          <w:trHeight w:val="277"/>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5,832</w:t>
            </w:r>
          </w:p>
        </w:tc>
      </w:tr>
      <w:tr>
        <w:trPr>
          <w:trHeight w:val="432"/>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Program cash</w:t>
            </w:r>
          </w:p>
        </w:tc>
        <w:tc>
          <w:tcPr>
            <w:tcW w:w="1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116</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Vehicles, net</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9,582</w:t>
            </w: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Receivables from vehicle manufacturers and other</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391</w:t>
            </w:r>
          </w:p>
        </w:tc>
      </w:tr>
      <w:tr>
        <w:trPr>
          <w:trHeight w:val="277"/>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w:t>
            </w:r>
          </w:p>
        </w:tc>
      </w:tr>
      <w:tr>
        <w:trPr>
          <w:trHeight w:val="250"/>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12,565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10,452</w:t>
            </w: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18,296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16,284</w:t>
            </w:r>
          </w:p>
        </w:tc>
      </w:tr>
      <w:tr>
        <w:trPr>
          <w:trHeight w:val="20"/>
        </w:trPr>
        <w:tc>
          <w:tcPr>
            <w:tcW w:w="14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180"/>
          </w:cols>
          <w:pgMar w:left="240" w:top="108" w:right="479" w:bottom="17" w:gutter="0" w:footer="0" w:header="0"/>
        </w:sectPr>
      </w:pPr>
    </w:p>
    <w:p>
      <w:pPr>
        <w:ind w:left="40"/>
        <w:spacing w:after="0"/>
        <w:rPr>
          <w:sz w:val="20"/>
          <w:szCs w:val="20"/>
          <w:color w:val="auto"/>
        </w:rPr>
      </w:pPr>
      <w:r>
        <w:rPr>
          <w:rFonts w:ascii="Arial" w:cs="Arial" w:eastAsia="Arial" w:hAnsi="Arial"/>
          <w:sz w:val="18"/>
          <w:szCs w:val="18"/>
          <w:b w:val="1"/>
          <w:bCs w:val="1"/>
          <w:color w:val="auto"/>
        </w:rPr>
        <w:t>Liabilities and stockholders’ equity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140" w:right="180"/>
        <w:spacing w:after="0" w:line="313" w:lineRule="auto"/>
        <w:rPr>
          <w:sz w:val="20"/>
          <w:szCs w:val="20"/>
          <w:color w:val="auto"/>
        </w:rPr>
      </w:pPr>
      <w:r>
        <w:rPr>
          <w:rFonts w:ascii="Arial" w:cs="Arial" w:eastAsia="Arial" w:hAnsi="Arial"/>
          <w:sz w:val="18"/>
          <w:szCs w:val="18"/>
          <w:color w:val="auto"/>
        </w:rPr>
        <w:t>Accounts payable and other current liabilities $ Short-term debt and current portion of long-term debt</w:t>
      </w:r>
    </w:p>
    <w:p>
      <w:pPr>
        <w:ind w:left="40"/>
        <w:spacing w:after="0"/>
        <w:rPr>
          <w:sz w:val="20"/>
          <w:szCs w:val="20"/>
          <w:color w:val="auto"/>
        </w:rPr>
      </w:pPr>
      <w:r>
        <w:rPr>
          <w:rFonts w:ascii="Arial" w:cs="Arial" w:eastAsia="Arial" w:hAnsi="Arial"/>
          <w:sz w:val="18"/>
          <w:szCs w:val="18"/>
          <w:color w:val="auto"/>
        </w:rPr>
        <w:t>Total current liabilities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non-current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Liabilities under vehicle programs: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due to Avis Budget Rental Car Funding (AESOP) LLC—related party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 (Note 11)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Preferred stock, $0.01 par value—authorized 10 million shares; none issued and outstanding</w:t>
      </w:r>
    </w:p>
    <w:p>
      <w:pPr>
        <w:spacing w:after="0" w:line="63" w:lineRule="exact"/>
        <w:rPr>
          <w:sz w:val="20"/>
          <w:szCs w:val="20"/>
          <w:color w:val="auto"/>
        </w:rPr>
      </w:pPr>
    </w:p>
    <w:p>
      <w:pPr>
        <w:ind w:left="300" w:right="780" w:hanging="161"/>
        <w:spacing w:after="0" w:line="246" w:lineRule="auto"/>
        <w:rPr>
          <w:sz w:val="20"/>
          <w:szCs w:val="20"/>
          <w:color w:val="auto"/>
        </w:rPr>
      </w:pPr>
      <w:r>
        <w:rPr>
          <w:rFonts w:ascii="Arial" w:cs="Arial" w:eastAsia="Arial" w:hAnsi="Arial"/>
          <w:sz w:val="18"/>
          <w:szCs w:val="18"/>
          <w:color w:val="auto"/>
        </w:rPr>
        <w:t>Common stock, $0.01 par value—authorized 250 million shares; issued 137,093,424 and 137,081,056 shares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other comprehensive income</w:t>
      </w:r>
    </w:p>
    <w:p>
      <w:pPr>
        <w:spacing w:after="0" w:line="63" w:lineRule="exact"/>
        <w:rPr>
          <w:sz w:val="20"/>
          <w:szCs w:val="20"/>
          <w:color w:val="auto"/>
        </w:rPr>
      </w:pPr>
    </w:p>
    <w:p>
      <w:pPr>
        <w:ind w:left="40" w:right="3080" w:firstLine="108"/>
        <w:spacing w:after="0" w:line="300" w:lineRule="auto"/>
        <w:rPr>
          <w:sz w:val="20"/>
          <w:szCs w:val="20"/>
          <w:color w:val="auto"/>
        </w:rPr>
      </w:pPr>
      <w:r>
        <w:rPr>
          <w:rFonts w:ascii="Arial" w:cs="Arial" w:eastAsia="Arial" w:hAnsi="Arial"/>
          <w:sz w:val="18"/>
          <w:szCs w:val="18"/>
          <w:color w:val="auto"/>
        </w:rPr>
        <w:t>Treasury stock, at cost—33,730,351 and 30,515,721 shares Total stockholders’ equity</w:t>
      </w:r>
    </w:p>
    <w:p>
      <w:pPr>
        <w:spacing w:after="0" w:line="1" w:lineRule="exact"/>
        <w:rPr>
          <w:sz w:val="20"/>
          <w:szCs w:val="20"/>
          <w:color w:val="auto"/>
        </w:rPr>
      </w:pPr>
    </w:p>
    <w:p>
      <w:pPr>
        <w:ind w:left="40"/>
        <w:spacing w:after="0"/>
        <w:tabs>
          <w:tab w:leader="none" w:pos="7700" w:val="left"/>
        </w:tabs>
        <w:rPr>
          <w:sz w:val="20"/>
          <w:szCs w:val="20"/>
          <w:color w:val="auto"/>
        </w:rPr>
      </w:pPr>
      <w:r>
        <w:rPr>
          <w:rFonts w:ascii="Arial" w:cs="Arial" w:eastAsia="Arial" w:hAnsi="Arial"/>
          <w:sz w:val="18"/>
          <w:szCs w:val="18"/>
          <w:b w:val="1"/>
          <w:bCs w:val="1"/>
          <w:color w:val="auto"/>
        </w:rPr>
        <w:t>Total liabilities and stockholders’ equity</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1,679</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1,479</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r>
      <w:tr>
        <w:trPr>
          <w:trHeight w:val="243"/>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1,767</w:t>
            </w:r>
          </w:p>
        </w:tc>
        <w:tc>
          <w:tcPr>
            <w:tcW w:w="5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1,568</w:t>
            </w:r>
          </w:p>
        </w:tc>
      </w:tr>
      <w:tr>
        <w:trPr>
          <w:trHeight w:val="45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3,247</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3,305</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831</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847</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5,845</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5,720</w:t>
            </w:r>
          </w:p>
        </w:tc>
      </w:tr>
      <w:tr>
        <w:trPr>
          <w:trHeight w:val="716"/>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2,517</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1,681</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6,983</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5,656</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2,177</w:t>
            </w:r>
          </w:p>
        </w:tc>
      </w:tr>
      <w:tr>
        <w:trPr>
          <w:trHeight w:val="277"/>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219</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279</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11,719</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9,793</w:t>
            </w:r>
          </w:p>
        </w:tc>
      </w:tr>
      <w:tr>
        <w:trPr>
          <w:trHeight w:val="972"/>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59"/>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7,738</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7,893</w:t>
            </w:r>
          </w:p>
        </w:tc>
      </w:tr>
      <w:tr>
        <w:trPr>
          <w:trHeight w:val="270"/>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(2,138)</w:t>
            </w: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(2,360)</w:t>
            </w:r>
          </w:p>
        </w:tc>
      </w:tr>
      <w:tr>
        <w:trPr>
          <w:trHeight w:val="27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7"/>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(4,918)</w:t>
            </w: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rPr>
              <w:t>732</w:t>
            </w: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771</w:t>
            </w:r>
          </w:p>
        </w:tc>
      </w:tr>
      <w:tr>
        <w:trPr>
          <w:trHeight w:val="250"/>
        </w:trPr>
        <w:tc>
          <w:tcPr>
            <w:tcW w:w="760" w:type="dxa"/>
            <w:vAlign w:val="bottom"/>
          </w:tcPr>
          <w:p>
            <w:pPr>
              <w:jc w:val="right"/>
              <w:ind w:right="110"/>
              <w:spacing w:after="0"/>
              <w:rPr>
                <w:sz w:val="20"/>
                <w:szCs w:val="20"/>
                <w:color w:val="auto"/>
              </w:rPr>
            </w:pPr>
            <w:r>
              <w:rPr>
                <w:rFonts w:ascii="Arial" w:cs="Arial" w:eastAsia="Arial" w:hAnsi="Arial"/>
                <w:sz w:val="18"/>
                <w:szCs w:val="18"/>
                <w:color w:val="auto"/>
                <w:w w:val="98"/>
              </w:rPr>
              <w:t>18,296</w:t>
            </w:r>
          </w:p>
        </w:tc>
        <w:tc>
          <w:tcPr>
            <w:tcW w:w="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16,284</w:t>
            </w: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-25400</wp:posOffset>
            </wp:positionV>
            <wp:extent cx="1071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-8255</wp:posOffset>
            </wp:positionV>
            <wp:extent cx="10718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-196850</wp:posOffset>
            </wp:positionV>
            <wp:extent cx="1071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-368300</wp:posOffset>
            </wp:positionV>
            <wp:extent cx="1071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-1980565</wp:posOffset>
            </wp:positionV>
            <wp:extent cx="1071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-2152015</wp:posOffset>
            </wp:positionV>
            <wp:extent cx="1071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-3138170</wp:posOffset>
            </wp:positionV>
            <wp:extent cx="1071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-3309620</wp:posOffset>
            </wp:positionV>
            <wp:extent cx="10718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-3943985</wp:posOffset>
            </wp:positionV>
            <wp:extent cx="10718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460"/>
          </w:cols>
          <w:pgMar w:left="240" w:top="108" w:right="479" w:bottom="17" w:gutter="0" w:footer="0" w:header="0"/>
          <w:type w:val="continuous"/>
        </w:sectPr>
      </w:pP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180"/>
          </w:cols>
          <w:pgMar w:left="240" w:top="108" w:right="479" w:bottom="17" w:gutter="0" w:footer="0" w:header="0"/>
          <w:type w:val="continuous"/>
        </w:sectPr>
      </w:pP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108" w:right="479" w:bottom="17"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54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1,295</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Impairment</w:t>
            </w: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1,743</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(increase) in program cash</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(8,865)</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6,393</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28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2,725</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(2,344)</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Purchases of warrants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sale of call options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7"/>
        </w:trPr>
        <w:tc>
          <w:tcPr>
            <w:tcW w:w="92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 exclusive of vehicle programs</w:t>
            </w:r>
          </w:p>
        </w:tc>
        <w:tc>
          <w:tcPr>
            <w:tcW w:w="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40"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right="3300"/>
        <w:spacing w:after="0" w:line="318" w:lineRule="auto"/>
        <w:rPr>
          <w:sz w:val="20"/>
          <w:szCs w:val="20"/>
          <w:color w:val="auto"/>
        </w:rPr>
      </w:pPr>
      <w:r>
        <w:rPr>
          <w:rFonts w:ascii="Arial" w:cs="Arial" w:eastAsia="Arial" w:hAnsi="Arial"/>
          <w:sz w:val="17"/>
          <w:szCs w:val="17"/>
          <w:color w:val="auto"/>
        </w:rPr>
        <w:t>Net increase (decrease) in cash and cash equivalents Cash and cash equivalents, beginning of period</w:t>
      </w: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11,862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10,266</w:t>
            </w:r>
          </w:p>
        </w:tc>
      </w:tr>
      <w:tr>
        <w:trPr>
          <w:trHeight w:val="270"/>
        </w:trPr>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(10,050)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(9,079)</w:t>
            </w:r>
          </w:p>
        </w:tc>
      </w:tr>
      <w:tr>
        <w:trPr>
          <w:trHeight w:val="27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1,161</w:t>
            </w:r>
          </w:p>
        </w:tc>
      </w:tr>
      <w:tr>
        <w:trPr>
          <w:trHeight w:val="250"/>
        </w:trPr>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w:t>
            </w:r>
          </w:p>
        </w:tc>
      </w:tr>
      <w:tr>
        <w:trPr>
          <w:trHeight w:val="54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540"/>
        </w:trPr>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589</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right="2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and ancillary services to businesses and consumers worldwide. The accompanying unaudited Consolidated Condensed Financial Statements include the accounts and transactions of Avis Budget Group, Inc. and its subsidiaries (“Avis Budget”), as well as entities in which Avis Budget directly or indirectly has a controlling financial interest (collectively, the “Company”), and have been prepared pursuant to the rules and regulations of the U.S. Securities and Exchange Commission for interim financial reporting.</w:t>
      </w:r>
    </w:p>
    <w:p>
      <w:pPr>
        <w:spacing w:after="0" w:line="20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business segments:</w:t>
      </w:r>
    </w:p>
    <w:p>
      <w:pPr>
        <w:spacing w:after="0" w:line="203" w:lineRule="exact"/>
        <w:rPr>
          <w:rFonts w:ascii="Arial" w:cs="Arial" w:eastAsia="Arial" w:hAnsi="Arial"/>
          <w:sz w:val="18"/>
          <w:szCs w:val="18"/>
          <w:b w:val="1"/>
          <w:bCs w:val="1"/>
          <w:color w:val="auto"/>
        </w:rPr>
      </w:pPr>
    </w:p>
    <w:p>
      <w:pPr>
        <w:ind w:left="1140" w:right="560" w:hanging="322"/>
        <w:spacing w:after="0" w:line="287"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North America—</w:t>
      </w:r>
      <w:r>
        <w:rPr>
          <w:rFonts w:ascii="Arial" w:cs="Arial" w:eastAsia="Arial" w:hAnsi="Arial"/>
          <w:sz w:val="18"/>
          <w:szCs w:val="18"/>
          <w:color w:val="auto"/>
        </w:rPr>
        <w:t>provides car rentals in the United States and vehicle rentals in Canada, as well as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operates the Company’s car sharing business in North America.</w:t>
      </w:r>
    </w:p>
    <w:p>
      <w:pPr>
        <w:spacing w:after="0" w:line="153" w:lineRule="exact"/>
        <w:rPr>
          <w:rFonts w:ascii="Arial" w:cs="Arial" w:eastAsia="Arial" w:hAnsi="Arial"/>
          <w:sz w:val="18"/>
          <w:szCs w:val="18"/>
          <w:color w:val="auto"/>
        </w:rPr>
      </w:pPr>
    </w:p>
    <w:p>
      <w:pPr>
        <w:ind w:left="1140" w:right="240" w:hanging="322"/>
        <w:spacing w:after="0" w:line="269"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South America, Central America, the Caribbean, Australia and New Zealand, and operates the Company’s car sharing business in certain of these markets.</w:t>
      </w:r>
    </w:p>
    <w:p>
      <w:pPr>
        <w:spacing w:after="0" w:line="168" w:lineRule="exact"/>
        <w:rPr>
          <w:rFonts w:ascii="Arial" w:cs="Arial" w:eastAsia="Arial" w:hAnsi="Arial"/>
          <w:sz w:val="18"/>
          <w:szCs w:val="18"/>
          <w:color w:val="auto"/>
        </w:rPr>
      </w:pPr>
    </w:p>
    <w:p>
      <w:pPr>
        <w:ind w:left="1140" w:right="440" w:hanging="322"/>
        <w:spacing w:after="0" w:line="287"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Truck Rental—</w:t>
      </w:r>
      <w:r>
        <w:rPr>
          <w:rFonts w:ascii="Arial" w:cs="Arial" w:eastAsia="Arial" w:hAnsi="Arial"/>
          <w:sz w:val="18"/>
          <w:szCs w:val="18"/>
          <w:color w:val="auto"/>
        </w:rPr>
        <w:t>provides truck rentals and ancillary products and services to consumers and commercial users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w:t>
      </w:r>
    </w:p>
    <w:p>
      <w:pPr>
        <w:spacing w:after="0" w:line="175" w:lineRule="exact"/>
        <w:rPr>
          <w:sz w:val="20"/>
          <w:szCs w:val="20"/>
          <w:color w:val="auto"/>
        </w:rPr>
      </w:pPr>
    </w:p>
    <w:p>
      <w:pPr>
        <w:ind w:left="500" w:right="80"/>
        <w:spacing w:after="0" w:line="251"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2013 Annual Report on Form 10-K (the “2013 Form 10-K”) and the Company’s Current Report on Form 8-K filed May 12, 2014, which updated the 2013 Form 10-K for a change to the Company’s reportable segments as well as a revision to the Company’s definition of Adjusted EBITDA.</w:t>
      </w:r>
    </w:p>
    <w:p>
      <w:pPr>
        <w:spacing w:after="0" w:line="195" w:lineRule="exact"/>
        <w:rPr>
          <w:sz w:val="20"/>
          <w:szCs w:val="20"/>
          <w:color w:val="auto"/>
        </w:rPr>
      </w:pPr>
    </w:p>
    <w:p>
      <w:pPr>
        <w:ind w:left="500" w:right="16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of foreign-currency transactions on certain intercompany loans and gain or</w:t>
      </w:r>
      <w:r>
        <w:rPr>
          <w:rFonts w:ascii="Arial" w:cs="Arial" w:eastAsia="Arial" w:hAnsi="Arial"/>
          <w:sz w:val="18"/>
          <w:szCs w:val="18"/>
          <w:i w:val="1"/>
          <w:iCs w:val="1"/>
          <w:color w:val="auto"/>
        </w:rPr>
        <w:t xml:space="preserve"> </w:t>
      </w:r>
      <w:r>
        <w:rPr>
          <w:rFonts w:ascii="Arial" w:cs="Arial" w:eastAsia="Arial" w:hAnsi="Arial"/>
          <w:sz w:val="18"/>
          <w:szCs w:val="18"/>
          <w:color w:val="auto"/>
        </w:rPr>
        <w:t>loss on intercompany loan hedges within interest expense related to corporate debt, net. During the three and nine months ended September 30, 2014, the Company recorded losses of $3 million and $8 million, respectively, on such items. In the three and nine months ended September 30, 2013, the Company recorded losses of $1 million and $8 million, respectively, on such items.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47"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On January 1, 2014, the Company adopted, as required, Accounting Standards Update (“ASU”) 2013-04, “Obligations Resulting from Joint and Several Liability Arrangements for Which the Total Amount of the Obligations Is Fixed at the Reporting Date,” which requires companies to measure these obligations as the sum of the amount the Company agreed to pay plus any additional amount the Company expects to pay on behalf of co-obligors. The adoption of this pronouncement did not have a material impact on the Company’s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7" w:lineRule="exact"/>
        <w:rPr>
          <w:sz w:val="20"/>
          <w:szCs w:val="20"/>
          <w:color w:val="auto"/>
        </w:rPr>
      </w:pPr>
    </w:p>
    <w:p>
      <w:pPr>
        <w:ind w:left="500"/>
        <w:spacing w:after="0" w:line="274" w:lineRule="auto"/>
        <w:rPr>
          <w:sz w:val="20"/>
          <w:szCs w:val="20"/>
          <w:color w:val="auto"/>
        </w:rPr>
      </w:pPr>
      <w:r>
        <w:rPr>
          <w:rFonts w:ascii="Arial" w:cs="Arial" w:eastAsia="Arial" w:hAnsi="Arial"/>
          <w:sz w:val="17"/>
          <w:szCs w:val="17"/>
          <w:color w:val="auto"/>
        </w:rPr>
        <w:t>In April 2014, the Financial Accounting Standards Board (“FASB”) issued ASU 2014-08, “Reporting Discontinued Operations and Disclosures of Disposals of Components of an Entity,” which changes the criteria for determining which disposals can be presented as discontinued operations and also modifies related disclosure requirements. ASU 2014-08 becomes effective for the Company on January 1, 2015. The adoption of this accounting pronouncement is not expected to have an impact on the Company’s financial statements.</w:t>
      </w:r>
    </w:p>
    <w:p>
      <w:pPr>
        <w:spacing w:after="0" w:line="188"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 January 1, 2017. The Company is currently evaluating the effect of this accounting pronouncement; however, it is not expected to have a material impact on the financial statements.</w:t>
      </w:r>
    </w:p>
    <w:p>
      <w:pPr>
        <w:spacing w:after="0" w:line="204"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In June 2014, the FASB issued ASU 2014-12, “Accounting for Share-Based Payments When the Terms of an Award Allow a Performance Target to Be Achieved After the Requisite Service Period,” which requires that a performance target that could be achieved after the requisite service period be treated as a performance condition that affects the vesting of the award. ASU 2014-12 becomes effective for the Company on January 1, 2016. The adoption of this accounting pronouncement is not expected to have an impact on the Company’s financial statements.</w:t>
      </w:r>
    </w:p>
    <w:p>
      <w:pPr>
        <w:spacing w:after="0" w:line="206" w:lineRule="exact"/>
        <w:rPr>
          <w:sz w:val="20"/>
          <w:szCs w:val="20"/>
          <w:color w:val="auto"/>
        </w:rPr>
      </w:pPr>
    </w:p>
    <w:p>
      <w:pPr>
        <w:ind w:left="500" w:right="200"/>
        <w:spacing w:after="0" w:line="253"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ASU 2014-15 becomes effective for the Company on January 1, 2016. The adoption of this accounting pronouncement is not expected to have an impact on the Company’s financial statements.</w:t>
      </w:r>
    </w:p>
    <w:p>
      <w:pPr>
        <w:spacing w:after="0" w:line="18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247"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of Avis Europe plc (“Avis Europe”), the Company began a restructuring initiative, identifying synergies across the Company, enhancing organizational efficiencies and consolidating and rationalizing processes. During the nine months ended September 30, 2014, as part of this process, the Company formally communicated the termination of employment to approximately 200 employees and recorded $16 million of expense in connection with these initiatives. These expenses primarily represent severance, outplacement services and other costs associated with employee terminations. As of September 30, 2014, the Company has terminated approximately 165 of these employees. The Company expects further restructuring expense of approximately $5 million related to this initiative to be incurred in 2014.</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reportable segments, and by category, for restructuring expense and corresponding payments and utilizations: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North</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America</w:t>
            </w:r>
          </w:p>
        </w:tc>
        <w:tc>
          <w:tcPr>
            <w:tcW w:w="18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International</w:t>
            </w:r>
          </w:p>
        </w:tc>
        <w:tc>
          <w:tcPr>
            <w:tcW w:w="34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Balance as of January 1, 2014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74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5740" w:type="dxa"/>
            <w:vAlign w:val="bottom"/>
          </w:tcPr>
          <w:p>
            <w:pPr>
              <w:ind w:left="100"/>
              <w:spacing w:after="0"/>
              <w:rPr>
                <w:sz w:val="20"/>
                <w:szCs w:val="20"/>
                <w:color w:val="auto"/>
              </w:rPr>
            </w:pPr>
            <w:r>
              <w:rPr>
                <w:rFonts w:ascii="Arial" w:cs="Arial" w:eastAsia="Arial" w:hAnsi="Arial"/>
                <w:sz w:val="18"/>
                <w:szCs w:val="18"/>
                <w:color w:val="auto"/>
              </w:rPr>
              <w:t>Cash payment/utilization</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5740" w:type="dxa"/>
            <w:vAlign w:val="bottom"/>
          </w:tcPr>
          <w:p>
            <w:pPr>
              <w:spacing w:after="0"/>
              <w:rPr>
                <w:sz w:val="20"/>
                <w:szCs w:val="20"/>
                <w:color w:val="auto"/>
              </w:rPr>
            </w:pPr>
            <w:r>
              <w:rPr>
                <w:rFonts w:ascii="Arial" w:cs="Arial" w:eastAsia="Arial" w:hAnsi="Arial"/>
                <w:sz w:val="18"/>
                <w:szCs w:val="18"/>
                <w:color w:val="auto"/>
              </w:rPr>
              <w:t>Balance as of September 30, 2014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08"/>
        </w:trPr>
        <w:tc>
          <w:tcPr>
            <w:tcW w:w="5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Personnel</w:t>
            </w: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Facility</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Related</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Related</w:t>
            </w:r>
          </w:p>
        </w:tc>
        <w:tc>
          <w:tcPr>
            <w:tcW w:w="34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Balance as of January 1, 2014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5740" w:type="dxa"/>
            <w:vAlign w:val="bottom"/>
          </w:tcPr>
          <w:p>
            <w:pPr>
              <w:ind w:left="10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7"/>
        </w:trPr>
        <w:tc>
          <w:tcPr>
            <w:tcW w:w="5740" w:type="dxa"/>
            <w:vAlign w:val="bottom"/>
          </w:tcPr>
          <w:p>
            <w:pPr>
              <w:ind w:left="100"/>
              <w:spacing w:after="0"/>
              <w:rPr>
                <w:sz w:val="20"/>
                <w:szCs w:val="20"/>
                <w:color w:val="auto"/>
              </w:rPr>
            </w:pPr>
            <w:r>
              <w:rPr>
                <w:rFonts w:ascii="Arial" w:cs="Arial" w:eastAsia="Arial" w:hAnsi="Arial"/>
                <w:sz w:val="18"/>
                <w:szCs w:val="18"/>
                <w:color w:val="auto"/>
              </w:rPr>
              <w:t>Cash payment/utilization</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5740" w:type="dxa"/>
            <w:vAlign w:val="bottom"/>
          </w:tcPr>
          <w:p>
            <w:pPr>
              <w:spacing w:after="0"/>
              <w:rPr>
                <w:sz w:val="20"/>
                <w:szCs w:val="20"/>
                <w:color w:val="auto"/>
              </w:rPr>
            </w:pPr>
            <w:r>
              <w:rPr>
                <w:rFonts w:ascii="Arial" w:cs="Arial" w:eastAsia="Arial" w:hAnsi="Arial"/>
                <w:sz w:val="18"/>
                <w:szCs w:val="18"/>
                <w:color w:val="auto"/>
              </w:rPr>
              <w:t>Balance as of September 30, 2014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right="1400"/>
        <w:spacing w:after="0" w:line="326" w:lineRule="auto"/>
        <w:rPr>
          <w:sz w:val="20"/>
          <w:szCs w:val="20"/>
          <w:color w:val="auto"/>
        </w:rPr>
      </w:pPr>
      <w:r>
        <w:rPr>
          <w:rFonts w:ascii="Arial" w:cs="Arial" w:eastAsia="Arial" w:hAnsi="Arial"/>
          <w:sz w:val="18"/>
          <w:szCs w:val="18"/>
          <w:color w:val="auto"/>
        </w:rPr>
        <w:t>Net income for basic EPS Convertible note interest, net of tax Net income for diluted EPS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22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43"/>
        </w:trPr>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192</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118</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7"/>
        </w:trPr>
        <w:tc>
          <w:tcPr>
            <w:tcW w:w="8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4"/>
                <w:szCs w:val="24"/>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192</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119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ectPr>
          <w:pgSz w:w="11900" w:h="16838" w:orient="portrait"/>
          <w:cols w:equalWidth="0" w:num="2">
            <w:col w:w="4720" w:space="720"/>
            <w:col w:w="5940"/>
          </w:cols>
          <w:pgMar w:left="240" w:top="140" w:right="279" w:bottom="1440" w:gutter="0" w:footer="0" w:header="0"/>
          <w:type w:val="continuous"/>
        </w:sectPr>
      </w:pPr>
    </w:p>
    <w:p>
      <w:pPr>
        <w:spacing w:after="0" w:line="37"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49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323"/>
        </w:trPr>
        <w:tc>
          <w:tcPr>
            <w:tcW w:w="4940" w:type="dxa"/>
            <w:vAlign w:val="bottom"/>
          </w:tcPr>
          <w:p>
            <w:pPr>
              <w:ind w:left="20"/>
              <w:spacing w:after="0"/>
              <w:rPr>
                <w:sz w:val="20"/>
                <w:szCs w:val="20"/>
                <w:color w:val="auto"/>
              </w:rPr>
            </w:pPr>
            <w:r>
              <w:rPr>
                <w:rFonts w:ascii="Arial" w:cs="Arial" w:eastAsia="Arial" w:hAnsi="Arial"/>
                <w:sz w:val="18"/>
                <w:szCs w:val="18"/>
                <w:color w:val="auto"/>
              </w:rPr>
              <w:t xml:space="preserve">Options, warrants and non-vested stock </w:t>
            </w:r>
            <w:r>
              <w:rPr>
                <w:rFonts w:ascii="Arial" w:cs="Arial" w:eastAsia="Arial" w:hAnsi="Arial"/>
                <w:sz w:val="21"/>
                <w:szCs w:val="21"/>
                <w:color w:val="auto"/>
                <w:vertAlign w:val="superscript"/>
              </w:rPr>
              <w:t>(a)</w:t>
            </w:r>
          </w:p>
        </w:tc>
        <w:tc>
          <w:tcPr>
            <w:tcW w:w="4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4"/>
        </w:trPr>
        <w:tc>
          <w:tcPr>
            <w:tcW w:w="4940" w:type="dxa"/>
            <w:vAlign w:val="bottom"/>
          </w:tcPr>
          <w:p>
            <w:pPr>
              <w:ind w:left="20"/>
              <w:spacing w:after="0"/>
              <w:rPr>
                <w:sz w:val="20"/>
                <w:szCs w:val="20"/>
                <w:color w:val="auto"/>
              </w:rPr>
            </w:pPr>
            <w:r>
              <w:rPr>
                <w:rFonts w:ascii="Arial" w:cs="Arial" w:eastAsia="Arial" w:hAnsi="Arial"/>
                <w:sz w:val="18"/>
                <w:szCs w:val="18"/>
                <w:color w:val="auto"/>
              </w:rPr>
              <w:t>Convertible debt</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49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per share:</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9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30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0"/>
        </w:trPr>
        <w:tc>
          <w:tcPr>
            <w:tcW w:w="4940" w:type="dxa"/>
            <w:vAlign w:val="bottom"/>
          </w:tcPr>
          <w:p>
            <w:pPr>
              <w:ind w:left="30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6"/>
        </w:trPr>
        <w:tc>
          <w:tcPr>
            <w:tcW w:w="4940" w:type="dxa"/>
            <w:vAlign w:val="bottom"/>
          </w:tcPr>
          <w:p>
            <w:pPr>
              <w:spacing w:after="0"/>
              <w:rPr>
                <w:sz w:val="20"/>
                <w:szCs w:val="20"/>
                <w:color w:val="auto"/>
              </w:rPr>
            </w:pPr>
            <w:r>
              <w:rPr>
                <w:rFonts w:ascii="Arial" w:cs="Arial" w:eastAsia="Arial" w:hAnsi="Arial"/>
                <w:sz w:val="18"/>
                <w:szCs w:val="18"/>
                <w:color w:val="auto"/>
              </w:rPr>
              <w:t>__________</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27"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September 30, 2014, there are no anti-dilutive securities which were excluded from the computation of diluted earnings per share. For the nine months ended September 30, 2014, the number of anti-dilutive securities which were excluded from the computation of diluted earnings per share was not significant. For the three and nine months ended September 30, 2013, the number of anti-dilutive securities which were excluded from the computation of diluted earnings per share was not significant.</w:t>
      </w:r>
    </w:p>
    <w:p>
      <w:pPr>
        <w:spacing w:after="0" w:line="186" w:lineRule="exact"/>
        <w:rPr>
          <w:rFonts w:ascii="Arial" w:cs="Arial" w:eastAsia="Arial" w:hAnsi="Arial"/>
          <w:sz w:val="22"/>
          <w:szCs w:val="22"/>
          <w:color w:val="auto"/>
          <w:vertAlign w:val="superscript"/>
        </w:rPr>
      </w:pPr>
    </w:p>
    <w:p>
      <w:pPr>
        <w:ind w:left="500" w:right="9520" w:hanging="492"/>
        <w:spacing w:after="0" w:line="544" w:lineRule="auto"/>
        <w:tabs>
          <w:tab w:leader="none" w:pos="5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i w:val="1"/>
          <w:iCs w:val="1"/>
          <w:color w:val="auto"/>
        </w:rPr>
        <w:t>ACE Rent A Car</w:t>
      </w:r>
    </w:p>
    <w:p>
      <w:pPr>
        <w:ind w:left="500" w:right="140"/>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In August 2014, the Company completed the acquisition of ACE Rent A Car’s vehicle rental operations for approximately $6 million, net of acquired cash, plus $14 million for acquired fleet. The fair value of the assets acquired and liabilities assumed has not yet been finalized and is therefore subject to change. In connection with this acquisition, approximately $6 million was recorded in goodwill. The goodwill, which was assigned to the Company’s North America segment, is not expected to be deductible for tax purposes.</w:t>
      </w:r>
    </w:p>
    <w:p>
      <w:pPr>
        <w:spacing w:after="0" w:line="182"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Edmonton</w:t>
      </w:r>
    </w:p>
    <w:p>
      <w:pPr>
        <w:spacing w:after="0" w:line="247" w:lineRule="exact"/>
        <w:rPr>
          <w:rFonts w:ascii="Arial" w:cs="Arial" w:eastAsia="Arial" w:hAnsi="Arial"/>
          <w:sz w:val="17"/>
          <w:szCs w:val="17"/>
          <w:b w:val="1"/>
          <w:bCs w:val="1"/>
          <w:color w:val="auto"/>
        </w:rPr>
      </w:pPr>
    </w:p>
    <w:p>
      <w:pPr>
        <w:ind w:left="500" w:right="440"/>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In February 2014, the Company completed the acquisition of its Budget licensee for Edmonton and certain other cities in Alberta for approximately $33 million, plus $84 million for acquired fleet. The investment will enable the Company to expand its footprint of Company-operated locations in Canada. The acquired fleet</w:t>
      </w:r>
    </w:p>
    <w:p>
      <w:pPr>
        <w:sectPr>
          <w:pgSz w:w="11900" w:h="16838" w:orient="portrait"/>
          <w:cols w:equalWidth="0" w:num="1">
            <w:col w:w="11380"/>
          </w:cols>
          <w:pgMar w:left="240" w:top="140" w:right="279" w:bottom="1440" w:gutter="0" w:footer="0" w:header="0"/>
          <w:type w:val="continuous"/>
        </w:sect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140" w:right="27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was financed under the Company’s existing vehicle financing arrangements in Canada. The excess of the purchase price over preliminary fair value of net assets acquired was allocated to goodwill, which was assigned to the Company’s North America segment and most of which is expected to be deductible for tax purposes. The fair value of the assets acquired and liabilities assumed has not yet been finalized and is therefore subject to change. In connection with this acquisition, approximately $17 million was recorded in identifiable intangible assets (consisting of $10 million related to customer relationships and $7 million related to the reacquired license agreements) and $11 million was recorded in goodwill. The customer relationships will be amortized over a weighted average useful life of approximately 12 years and the license agreements will be amortized over approximately 4 years. In addition, at the time of the acquisition, the Company recorded a $3 million non-cash charge related to the unfavorable license rights reacquired by the Company.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Portugal</w:t>
      </w:r>
    </w:p>
    <w:p>
      <w:pPr>
        <w:spacing w:after="0" w:line="247"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In February 2014, the Company reacquired the right to operate the Budget brand in Portugal for approximately $15 million. Approximately $12 million of the total consideration was paid during the nine months ended September 30, 2014 and the majority of the remainder is expected to be paid by the end of 2014. The fair value of the intangible assets acquired has not yet been finalized and is therefore subject to change. In connection with this acquisition, approximately $ 2 million was recorded within license agreements and $13 million was recorded in goodwill. The license agreements will be amortized over 2 years. The goodwill, which was assigned to the Company’s International segment, is expected to be deductible for tax purposes.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Brazil</w:t>
      </w:r>
    </w:p>
    <w:p>
      <w:pPr>
        <w:spacing w:after="0" w:line="247" w:lineRule="exact"/>
        <w:rPr>
          <w:sz w:val="20"/>
          <w:szCs w:val="20"/>
          <w:color w:val="auto"/>
        </w:rPr>
      </w:pPr>
    </w:p>
    <w:p>
      <w:pPr>
        <w:ind w:left="500" w:right="500"/>
        <w:spacing w:after="0" w:line="262" w:lineRule="auto"/>
        <w:rPr>
          <w:sz w:val="20"/>
          <w:szCs w:val="20"/>
          <w:color w:val="auto"/>
        </w:rPr>
      </w:pPr>
      <w:r>
        <w:rPr>
          <w:rFonts w:ascii="Arial" w:cs="Arial" w:eastAsia="Arial" w:hAnsi="Arial"/>
          <w:sz w:val="18"/>
          <w:szCs w:val="18"/>
          <w:color w:val="auto"/>
        </w:rPr>
        <w:t>In August 2013, the Company acquired a 50% non-controlling ownership stake in its Brazilian licensee for $53 million, of which the remaining consideration of $6 million was paid during the nine months ended September 30, 2014.</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Payless Car Rental</w:t>
      </w:r>
    </w:p>
    <w:p>
      <w:pPr>
        <w:spacing w:after="0" w:line="247" w:lineRule="exact"/>
        <w:rPr>
          <w:sz w:val="20"/>
          <w:szCs w:val="20"/>
          <w:color w:val="auto"/>
        </w:rPr>
      </w:pPr>
    </w:p>
    <w:p>
      <w:pPr>
        <w:ind w:left="500" w:right="220"/>
        <w:spacing w:after="0" w:line="262" w:lineRule="auto"/>
        <w:rPr>
          <w:sz w:val="20"/>
          <w:szCs w:val="20"/>
          <w:color w:val="auto"/>
        </w:rPr>
      </w:pPr>
      <w:r>
        <w:rPr>
          <w:rFonts w:ascii="Arial" w:cs="Arial" w:eastAsia="Arial" w:hAnsi="Arial"/>
          <w:sz w:val="18"/>
          <w:szCs w:val="18"/>
          <w:color w:val="auto"/>
        </w:rPr>
        <w:t>In July 2013, the Company completed the acquisition of Payless Car Rental for $46 million, net of acquired cash. Differences between the preliminary allocation of the purchase price and the final allocation were not material.</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Zipcar</w:t>
      </w:r>
    </w:p>
    <w:p>
      <w:pPr>
        <w:spacing w:after="0" w:line="247" w:lineRule="exact"/>
        <w:rPr>
          <w:sz w:val="20"/>
          <w:szCs w:val="20"/>
          <w:color w:val="auto"/>
        </w:rPr>
      </w:pPr>
    </w:p>
    <w:p>
      <w:pPr>
        <w:jc w:val="both"/>
        <w:ind w:left="500" w:right="80"/>
        <w:spacing w:after="0" w:line="256" w:lineRule="auto"/>
        <w:rPr>
          <w:sz w:val="20"/>
          <w:szCs w:val="20"/>
          <w:color w:val="auto"/>
        </w:rPr>
      </w:pPr>
      <w:r>
        <w:rPr>
          <w:rFonts w:ascii="Arial" w:cs="Arial" w:eastAsia="Arial" w:hAnsi="Arial"/>
          <w:sz w:val="18"/>
          <w:szCs w:val="18"/>
          <w:color w:val="auto"/>
        </w:rPr>
        <w:t>In March 2013, the Company completed the acquisition of the entire issued share capital of Zipcar, the leading car sharing company, for $473 million, net of acquired cash. Differences between the preliminary allocation of the purchase price and the final allocation were not material.</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Apex Car Rentals</w:t>
      </w:r>
    </w:p>
    <w:p>
      <w:pPr>
        <w:spacing w:after="0" w:line="247" w:lineRule="exact"/>
        <w:rPr>
          <w:sz w:val="20"/>
          <w:szCs w:val="20"/>
          <w:color w:val="auto"/>
        </w:rPr>
      </w:pPr>
    </w:p>
    <w:p>
      <w:pPr>
        <w:ind w:left="500" w:right="340"/>
        <w:spacing w:after="0" w:line="254" w:lineRule="auto"/>
        <w:rPr>
          <w:sz w:val="20"/>
          <w:szCs w:val="20"/>
          <w:color w:val="auto"/>
        </w:rPr>
      </w:pPr>
      <w:r>
        <w:rPr>
          <w:rFonts w:ascii="Arial" w:cs="Arial" w:eastAsia="Arial" w:hAnsi="Arial"/>
          <w:sz w:val="18"/>
          <w:szCs w:val="18"/>
          <w:color w:val="auto"/>
        </w:rPr>
        <w:t>During the nine months ended September 30, 2014, the Company recorded approximately $7 million in transaction-related costs to increase the fair value of contingent consideration associated with the October 2012 acquisition of Apex Car Rentals (“Apex”). The contingent consideration consists of a maximum of $26 million in payments that are contingent on the future financial performance of Apex. The amount recognized for contingent consideration at September 30, 2014 was $19 million.</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140"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780" w:type="dxa"/>
            <w:vAlign w:val="bottom"/>
            <w:gridSpan w:val="3"/>
          </w:tcPr>
          <w:p>
            <w:pPr>
              <w:ind w:left="120"/>
              <w:spacing w:after="0"/>
              <w:rPr>
                <w:sz w:val="20"/>
                <w:szCs w:val="20"/>
                <w:color w:val="auto"/>
              </w:rPr>
            </w:pPr>
            <w:r>
              <w:rPr>
                <w:rFonts w:ascii="Arial" w:cs="Arial" w:eastAsia="Arial" w:hAnsi="Arial"/>
                <w:sz w:val="18"/>
                <w:szCs w:val="18"/>
                <w:b w:val="1"/>
                <w:bCs w:val="1"/>
                <w:color w:val="auto"/>
              </w:rPr>
              <w:t>As of September</w:t>
            </w:r>
          </w:p>
        </w:tc>
        <w:tc>
          <w:tcPr>
            <w:tcW w:w="140" w:type="dxa"/>
            <w:vAlign w:val="bottom"/>
          </w:tcPr>
          <w:p>
            <w:pPr>
              <w:spacing w:after="0"/>
              <w:rPr>
                <w:sz w:val="17"/>
                <w:szCs w:val="17"/>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As of December</w:t>
            </w:r>
          </w:p>
        </w:tc>
      </w:tr>
      <w:tr>
        <w:trPr>
          <w:trHeight w:val="246"/>
        </w:trPr>
        <w:tc>
          <w:tcPr>
            <w:tcW w:w="68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30, 2014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31, 2013</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596"/>
              <w:spacing w:after="0"/>
              <w:rPr>
                <w:sz w:val="20"/>
                <w:szCs w:val="20"/>
                <w:color w:val="auto"/>
              </w:rPr>
            </w:pPr>
            <w:r>
              <w:rPr>
                <w:rFonts w:ascii="Arial" w:cs="Arial" w:eastAsia="Arial" w:hAnsi="Arial"/>
                <w:sz w:val="16"/>
                <w:szCs w:val="16"/>
                <w:b w:val="1"/>
                <w:bCs w:val="1"/>
                <w:color w:val="auto"/>
              </w:rPr>
              <w:t>As of September 30, 2014</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6"/>
                <w:szCs w:val="16"/>
                <w:b w:val="1"/>
                <w:bCs w:val="1"/>
                <w:color w:val="auto"/>
              </w:rPr>
              <w:t>As of December 31, 2013</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13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6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00" w:type="dxa"/>
            <w:vAlign w:val="bottom"/>
          </w:tcPr>
          <w:p>
            <w:pPr>
              <w:jc w:val="center"/>
              <w:ind w:right="1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260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272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7"/>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438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440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change in the carrying amount since December 31, 2013 reflects a currency translation loss of $37 million, partially offset by acquisitions.</w:t>
      </w:r>
    </w:p>
    <w:p>
      <w:pPr>
        <w:spacing w:after="0" w:line="17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For the three months ended September 30, 2014 and 2013, amortization expense was approximately $9 million and $7 million, respectively. For the nine months ended September 30, 2014 and 2013, amortization expense was approximately $25 million and $20 million, respectively. Based on the Company’s amortizable assets at September 30, 2014, the Company expects amortization expense of approximately $9 million for the remainder of 2014 and approximately $31 million for each of the five fiscal years thereafter.</w:t>
      </w:r>
    </w:p>
    <w:p>
      <w:pPr>
        <w:spacing w:after="0" w:line="18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Company’s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23"/>
                <w:szCs w:val="23"/>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Rental vehicles</w:t>
            </w:r>
          </w:p>
        </w:tc>
        <w:tc>
          <w:tcPr>
            <w:tcW w:w="3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77"/>
        </w:trPr>
        <w:tc>
          <w:tcPr>
            <w:tcW w:w="3820" w:type="dxa"/>
            <w:vAlign w:val="bottom"/>
          </w:tcPr>
          <w:p>
            <w:pPr>
              <w:spacing w:after="0"/>
              <w:rPr>
                <w:sz w:val="20"/>
                <w:szCs w:val="20"/>
                <w:color w:val="auto"/>
              </w:rPr>
            </w:pPr>
            <w:r>
              <w:rPr>
                <w:rFonts w:ascii="Arial" w:cs="Arial" w:eastAsia="Arial" w:hAnsi="Arial"/>
                <w:sz w:val="18"/>
                <w:szCs w:val="18"/>
                <w:color w:val="auto"/>
              </w:rPr>
              <w:t>Vehicles held for sale</w:t>
            </w:r>
          </w:p>
        </w:tc>
        <w:tc>
          <w:tcPr>
            <w:tcW w:w="3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0"/>
                <w:szCs w:val="20"/>
                <w:color w:val="auto"/>
              </w:rPr>
            </w:pPr>
            <w:r>
              <w:rPr>
                <w:rFonts w:ascii="Arial" w:cs="Arial" w:eastAsia="Arial" w:hAnsi="Arial"/>
                <w:sz w:val="18"/>
                <w:szCs w:val="18"/>
                <w:color w:val="auto"/>
              </w:rPr>
              <w:t>Vehicles, net</w:t>
            </w:r>
          </w:p>
        </w:tc>
        <w:tc>
          <w:tcPr>
            <w:tcW w:w="3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11,484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9,582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020" w:type="dxa"/>
            <w:vAlign w:val="bottom"/>
            <w:vMerge w:val="restart"/>
          </w:tcPr>
          <w:p>
            <w:pPr>
              <w:jc w:val="right"/>
              <w:ind w:right="145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0"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7"/>
              </w:rPr>
              <w:t>September 30,</w:t>
            </w:r>
          </w:p>
        </w:tc>
        <w:tc>
          <w:tcPr>
            <w:tcW w:w="460" w:type="dxa"/>
            <w:vAlign w:val="bottom"/>
            <w:tcBorders>
              <w:bottom w:val="single" w:sz="8" w:color="auto"/>
            </w:tcBorders>
          </w:tcPr>
          <w:p>
            <w:pPr>
              <w:spacing w:after="0"/>
              <w:rPr>
                <w:sz w:val="20"/>
                <w:szCs w:val="20"/>
                <w:color w:val="auto"/>
              </w:rPr>
            </w:pPr>
          </w:p>
        </w:tc>
      </w:tr>
      <w:tr>
        <w:trPr>
          <w:trHeight w:val="257"/>
        </w:trPr>
        <w:tc>
          <w:tcPr>
            <w:tcW w:w="41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22"/>
                <w:szCs w:val="22"/>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487</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9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loss on sales of vehicles, net</w:t>
            </w: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4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1920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5"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28575</wp:posOffset>
            </wp:positionV>
            <wp:extent cx="1920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1,417</w:t>
        <w:tab/>
        <w:t>$</w:t>
      </w:r>
      <w:r>
        <w:rPr>
          <w:sz w:val="20"/>
          <w:szCs w:val="20"/>
          <w:color w:val="auto"/>
        </w:rPr>
        <w:tab/>
      </w:r>
      <w:r>
        <w:rPr>
          <w:rFonts w:ascii="Arial" w:cs="Arial" w:eastAsia="Arial" w:hAnsi="Arial"/>
          <w:sz w:val="18"/>
          <w:szCs w:val="18"/>
          <w:color w:val="auto"/>
        </w:rPr>
        <w:t>1,295</w:t>
      </w:r>
    </w:p>
    <w:p>
      <w:pPr>
        <w:spacing w:after="0" w:line="63" w:lineRule="exact"/>
        <w:rPr>
          <w:sz w:val="20"/>
          <w:szCs w:val="20"/>
          <w:color w:val="auto"/>
        </w:rPr>
      </w:pPr>
    </w:p>
    <w:p>
      <w:pPr>
        <w:ind w:left="2620" w:hanging="1576"/>
        <w:spacing w:after="0"/>
        <w:tabs>
          <w:tab w:leader="none" w:pos="2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102</w:t>
      </w:r>
    </w:p>
    <w:p>
      <w:pPr>
        <w:spacing w:after="0" w:line="63" w:lineRule="exact"/>
        <w:rPr>
          <w:rFonts w:ascii="Arial" w:cs="Arial" w:eastAsia="Arial" w:hAnsi="Arial"/>
          <w:sz w:val="18"/>
          <w:szCs w:val="18"/>
          <w:color w:val="auto"/>
        </w:rPr>
      </w:pPr>
    </w:p>
    <w:p>
      <w:pPr>
        <w:ind w:left="2660" w:hanging="1576"/>
        <w:spacing w:after="0"/>
        <w:tabs>
          <w:tab w:leader="none" w:pos="2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wp:posOffset>
            </wp:positionV>
            <wp:extent cx="1920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1,532</w:t>
        <w:tab/>
        <w:t>$</w:t>
      </w:r>
      <w:r>
        <w:rPr>
          <w:sz w:val="20"/>
          <w:szCs w:val="20"/>
          <w:color w:val="auto"/>
        </w:rPr>
        <w:tab/>
      </w:r>
      <w:r>
        <w:rPr>
          <w:rFonts w:ascii="Arial" w:cs="Arial" w:eastAsia="Arial" w:hAnsi="Arial"/>
          <w:sz w:val="18"/>
          <w:szCs w:val="18"/>
          <w:color w:val="auto"/>
        </w:rPr>
        <w:t>1,387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192087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660" w:space="120"/>
            <w:col w:w="3620"/>
          </w:cols>
          <w:pgMar w:left="240" w:top="140" w:right="259" w:bottom="1440" w:gutter="0" w:footer="0" w:header="0"/>
        </w:sectPr>
      </w:pPr>
    </w:p>
    <w:p>
      <w:pPr>
        <w:spacing w:after="0" w:line="15" w:lineRule="exact"/>
        <w:rPr>
          <w:sz w:val="20"/>
          <w:szCs w:val="20"/>
          <w:color w:val="auto"/>
        </w:rPr>
      </w:pPr>
    </w:p>
    <w:p>
      <w:pPr>
        <w:ind w:left="500" w:right="160"/>
        <w:spacing w:after="0" w:line="256" w:lineRule="auto"/>
        <w:rPr>
          <w:sz w:val="20"/>
          <w:szCs w:val="20"/>
          <w:color w:val="auto"/>
        </w:rPr>
      </w:pPr>
      <w:r>
        <w:rPr>
          <w:rFonts w:ascii="Arial" w:cs="Arial" w:eastAsia="Arial" w:hAnsi="Arial"/>
          <w:sz w:val="18"/>
          <w:szCs w:val="18"/>
          <w:color w:val="auto"/>
        </w:rPr>
        <w:t>At September 30, 2014 and 2013, the Company had purchases of vehicles included in liabilities under vehicle programs - other of $192 million and $221 million, respectively, and sales of vehicles included in assets under vehicle programs - receivables from vehicle manufacturers and other of $627 million and $500 million, respectively.</w:t>
      </w:r>
    </w:p>
    <w:p>
      <w:pPr>
        <w:spacing w:after="0" w:line="18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right="3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2014 is a provision of 38.2%. Such rate differed from the Federal statutory rate of 35.0% primarily due to state income taxes.</w:t>
      </w:r>
    </w:p>
    <w:p>
      <w:pPr>
        <w:spacing w:after="0" w:line="196" w:lineRule="exact"/>
        <w:rPr>
          <w:rFonts w:ascii="Arial" w:cs="Arial" w:eastAsia="Arial" w:hAnsi="Arial"/>
          <w:sz w:val="18"/>
          <w:szCs w:val="18"/>
          <w:b w:val="1"/>
          <w:bCs w:val="1"/>
          <w:color w:val="auto"/>
        </w:rPr>
      </w:pPr>
    </w:p>
    <w:p>
      <w:pPr>
        <w:ind w:left="5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2013 was a provision of 67.4%. Such rate differed from the Federal statutory rate of 35.0% principally due to the non-deductibility of the impairment charge and a portion of the early extinguishment of corporate debt costs.</w:t>
      </w:r>
    </w:p>
    <w:p>
      <w:pPr>
        <w:spacing w:after="0" w:line="179" w:lineRule="exact"/>
        <w:rPr>
          <w:rFonts w:ascii="Arial" w:cs="Arial" w:eastAsia="Arial" w:hAnsi="Arial"/>
          <w:sz w:val="18"/>
          <w:szCs w:val="18"/>
          <w:b w:val="1"/>
          <w:bCs w:val="1"/>
          <w:color w:val="auto"/>
        </w:rPr>
      </w:pPr>
    </w:p>
    <w:p>
      <w:pPr>
        <w:ind w:left="500" w:right="6220" w:hanging="492"/>
        <w:spacing w:after="0" w:line="488" w:lineRule="auto"/>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1"/>
                <w:szCs w:val="21"/>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82"/>
        </w:trPr>
        <w:tc>
          <w:tcPr>
            <w:tcW w:w="544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3½% Convertible Notes </w:t>
            </w:r>
            <w:r>
              <w:rPr>
                <w:rFonts w:ascii="Arial" w:cs="Arial" w:eastAsia="Arial" w:hAnsi="Arial"/>
                <w:sz w:val="21"/>
                <w:szCs w:val="21"/>
                <w:color w:val="auto"/>
                <w:vertAlign w:val="superscript"/>
              </w:rPr>
              <w:t>(a)</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2014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14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6"/>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(b)</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14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8¼%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2019</w:t>
            </w:r>
          </w:p>
        </w:tc>
        <w:tc>
          <w:tcPr>
            <w:tcW w:w="14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46"/>
        </w:trPr>
        <w:tc>
          <w:tcPr>
            <w:tcW w:w="544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14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6"/>
                <w:szCs w:val="16"/>
                <w:color w:val="auto"/>
              </w:rPr>
              <w:t>9¾%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2020</w:t>
            </w:r>
          </w:p>
        </w:tc>
        <w:tc>
          <w:tcPr>
            <w:tcW w:w="14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6"/>
                <w:szCs w:val="16"/>
                <w:color w:val="auto"/>
              </w:rPr>
              <w:t>6% Euro-denominated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83"/>
        </w:trPr>
        <w:tc>
          <w:tcPr>
            <w:tcW w:w="544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As of September 30, 2014, the 3½% convertible notes are convertible by the holders into approximately 4.0 million shares of the Company’s common stock.</w:t>
      </w:r>
    </w:p>
    <w:p>
      <w:pPr>
        <w:ind w:left="820" w:right="440" w:hanging="326"/>
        <w:spacing w:after="0" w:line="211"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2.98% at September 30, 2014; the Company has entered into an interest rate swap to hedge its interest rate exposure related to these notes at an aggregate rate of 3.58%.</w:t>
      </w:r>
    </w:p>
    <w:p>
      <w:pPr>
        <w:ind w:left="820" w:right="20" w:hanging="326"/>
        <w:spacing w:after="0" w:line="229"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2014, the floating term rate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200"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March 2014, the Company issued €200 million (approximately $275 million) of additional 6% Euro-denominated Senior Notes due 2021. These additional notes were sold at 106.75% of their face value, for aggregate proceeds of approximately $295 million, with a yield to maturity of 4.85%. In April 2014, the</w:t>
      </w:r>
    </w:p>
    <w:p>
      <w:pPr>
        <w:sectPr>
          <w:pgSz w:w="11900" w:h="16838" w:orient="portrait"/>
          <w:cols w:equalWidth="0" w:num="1">
            <w:col w:w="11400"/>
          </w:cols>
          <w:pgMar w:left="240" w:top="140" w:right="259" w:bottom="1440" w:gutter="0" w:footer="0" w:header="0"/>
          <w:type w:val="continuous"/>
        </w:sect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140"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 used the proceeds to repurchase $292 million principal amount of its 8¼% Senior Notes for $316 million plus accrued interest.</w:t>
      </w:r>
    </w:p>
    <w:p>
      <w:pPr>
        <w:spacing w:after="0" w:line="225"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In May 2014, the Company issued $400 million of 5⅛% Senior Notes due 2022 at par. In June 2014, the Company used the proceeds to repurchase the remaining $395 million principal amount of its 8¼% Senior Notes for $421 million plus accrued interest.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2014,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18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21"/>
        </w:trPr>
        <w:tc>
          <w:tcPr>
            <w:tcW w:w="418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7"/>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right="20" w:hanging="326"/>
        <w:spacing w:after="0"/>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4.50% to 5.77% as of September 30, 2014.</w:t>
      </w:r>
    </w:p>
    <w:p>
      <w:pPr>
        <w:spacing w:after="0" w:line="174" w:lineRule="exact"/>
        <w:rPr>
          <w:sz w:val="20"/>
          <w:szCs w:val="20"/>
          <w:color w:val="auto"/>
        </w:rPr>
      </w:pPr>
    </w:p>
    <w:p>
      <w:pPr>
        <w:ind w:left="500" w:right="360"/>
        <w:spacing w:after="0" w:line="262" w:lineRule="auto"/>
        <w:rPr>
          <w:sz w:val="20"/>
          <w:szCs w:val="20"/>
          <w:color w:val="auto"/>
        </w:rPr>
      </w:pPr>
      <w:r>
        <w:rPr>
          <w:rFonts w:ascii="Arial" w:cs="Arial" w:eastAsia="Arial" w:hAnsi="Arial"/>
          <w:sz w:val="18"/>
          <w:szCs w:val="18"/>
          <w:color w:val="auto"/>
        </w:rPr>
        <w:t>At September 30, 2014, the Company had various uncommitted credit facilities available, under which it had drawn approximately $2 million, which bear interest at rates between 0.35% and 2.50%.</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right="18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September 30, 2014, the Company was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2013</w:t>
            </w:r>
          </w:p>
        </w:tc>
        <w:tc>
          <w:tcPr>
            <w:tcW w:w="0" w:type="dxa"/>
            <w:vAlign w:val="bottom"/>
          </w:tcPr>
          <w:p>
            <w:pPr>
              <w:spacing w:after="0"/>
              <w:rPr>
                <w:sz w:val="1"/>
                <w:szCs w:val="1"/>
                <w:color w:val="auto"/>
              </w:rPr>
            </w:pPr>
          </w:p>
        </w:tc>
      </w:tr>
      <w:tr>
        <w:trPr>
          <w:trHeight w:val="294"/>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6,983</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70"/>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(a)(b)</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0"/>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2"/>
        </w:trPr>
        <w:tc>
          <w:tcPr>
            <w:tcW w:w="6900" w:type="dxa"/>
            <w:vAlign w:val="bottom"/>
          </w:tcPr>
          <w:p>
            <w:pPr>
              <w:ind w:left="20"/>
              <w:spacing w:after="0"/>
              <w:rPr>
                <w:sz w:val="20"/>
                <w:szCs w:val="20"/>
                <w:color w:val="auto"/>
              </w:rPr>
            </w:pPr>
            <w:r>
              <w:rPr>
                <w:rFonts w:ascii="Arial" w:cs="Arial" w:eastAsia="Arial" w:hAnsi="Arial"/>
                <w:sz w:val="18"/>
                <w:szCs w:val="18"/>
                <w:color w:val="auto"/>
              </w:rPr>
              <w:t xml:space="preserve">Truck Rental - Debt borrowings </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4"/>
        </w:trPr>
        <w:tc>
          <w:tcPr>
            <w:tcW w:w="690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7"/>
        </w:trPr>
        <w:tc>
          <w:tcPr>
            <w:tcW w:w="69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9,500</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a seasonal increase in the Company’s car rental fleet.</w:t>
      </w:r>
    </w:p>
    <w:p>
      <w:pPr>
        <w:ind w:left="820" w:right="760" w:hanging="326"/>
        <w:spacing w:after="0" w:line="207"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includes additional borrowings to fund an increase in the Company’s fleet driven by the acquisition of its Budget licensee for Edmonton.</w:t>
      </w:r>
    </w:p>
    <w:p>
      <w:pPr>
        <w:spacing w:after="0" w:line="1" w:lineRule="exact"/>
        <w:rPr>
          <w:rFonts w:ascii="Arial" w:cs="Arial" w:eastAsia="Arial" w:hAnsi="Arial"/>
          <w:sz w:val="22"/>
          <w:szCs w:val="22"/>
          <w:color w:val="auto"/>
          <w:vertAlign w:val="superscript"/>
        </w:rPr>
      </w:pPr>
    </w:p>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to acquire rental fleet.</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40"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September 30, 2014.</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Debt Under</w:t>
            </w:r>
          </w:p>
        </w:tc>
        <w:tc>
          <w:tcPr>
            <w:tcW w:w="0" w:type="dxa"/>
            <w:vAlign w:val="bottom"/>
          </w:tcPr>
          <w:p>
            <w:pPr>
              <w:spacing w:after="0"/>
              <w:rPr>
                <w:sz w:val="1"/>
                <w:szCs w:val="1"/>
                <w:color w:val="auto"/>
              </w:rPr>
            </w:pPr>
          </w:p>
        </w:tc>
      </w:tr>
      <w:tr>
        <w:trPr>
          <w:trHeight w:val="203"/>
        </w:trPr>
        <w:tc>
          <w:tcPr>
            <w:tcW w:w="8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246"/>
        </w:trPr>
        <w:tc>
          <w:tcPr>
            <w:tcW w:w="88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Programs</w:t>
            </w:r>
          </w:p>
        </w:tc>
        <w:tc>
          <w:tcPr>
            <w:tcW w:w="0" w:type="dxa"/>
            <w:vAlign w:val="bottom"/>
          </w:tcPr>
          <w:p>
            <w:pPr>
              <w:spacing w:after="0"/>
              <w:rPr>
                <w:sz w:val="1"/>
                <w:szCs w:val="1"/>
                <w:color w:val="auto"/>
              </w:rPr>
            </w:pPr>
          </w:p>
        </w:tc>
      </w:tr>
      <w:tr>
        <w:trPr>
          <w:trHeight w:val="283"/>
        </w:trPr>
        <w:tc>
          <w:tcPr>
            <w:tcW w:w="8860" w:type="dxa"/>
            <w:vAlign w:val="bottom"/>
          </w:tcPr>
          <w:p>
            <w:pPr>
              <w:ind w:left="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7"/>
        </w:trPr>
        <w:tc>
          <w:tcPr>
            <w:tcW w:w="886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2 and 3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3 and 4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Between 4 and 5 years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64"/>
        </w:trPr>
        <w:tc>
          <w:tcPr>
            <w:tcW w:w="8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57"/>
        </w:trPr>
        <w:tc>
          <w:tcPr>
            <w:tcW w:w="88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92" w:lineRule="auto"/>
        <w:tabs>
          <w:tab w:leader="none" w:pos="8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Vehicle-backed debt maturing within one year primarily represents term asset-backed securities.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47"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color w:val="auto"/>
        </w:rPr>
        <w:t>As of September 30, 2014, available funding under the Company’s vehicle programs (including related party debt due to Avis Budget Rental Car Funding) consisted of:</w:t>
      </w:r>
    </w:p>
    <w:p>
      <w:pPr>
        <w:sectPr>
          <w:pgSz w:w="11900" w:h="16838" w:orient="portrait"/>
          <w:cols w:equalWidth="0" w:num="1">
            <w:col w:w="11380"/>
          </w:cols>
          <w:pgMar w:left="240" w:top="140" w:right="279" w:bottom="1440" w:gutter="0" w:footer="0" w:header="0"/>
        </w:sectPr>
      </w:pP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52"/>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 xml:space="preserve">Capacity </w:t>
            </w:r>
            <w:r>
              <w:rPr>
                <w:rFonts w:ascii="Arial" w:cs="Arial" w:eastAsia="Arial" w:hAnsi="Arial"/>
                <w:sz w:val="21"/>
                <w:szCs w:val="21"/>
                <w:b w:val="1"/>
                <w:bCs w:val="1"/>
                <w:color w:val="auto"/>
                <w:w w:val="96"/>
                <w:vertAlign w:val="superscript"/>
              </w:rPr>
              <w:t>(a)</w:t>
            </w: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Borrowings</w:t>
            </w:r>
          </w:p>
        </w:tc>
        <w:tc>
          <w:tcPr>
            <w:tcW w:w="0" w:type="dxa"/>
            <w:vAlign w:val="bottom"/>
          </w:tcPr>
          <w:p>
            <w:pPr>
              <w:spacing w:after="0"/>
              <w:rPr>
                <w:sz w:val="1"/>
                <w:szCs w:val="1"/>
                <w:color w:val="auto"/>
              </w:rPr>
            </w:pPr>
          </w:p>
        </w:tc>
      </w:tr>
      <w:tr>
        <w:trPr>
          <w:trHeight w:val="287"/>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North America - Debt due to Avis Budget Rental Car Funding </w:t>
            </w:r>
            <w:r>
              <w:rPr>
                <w:rFonts w:ascii="Arial" w:cs="Arial" w:eastAsia="Arial" w:hAnsi="Arial"/>
                <w:sz w:val="21"/>
                <w:szCs w:val="21"/>
                <w:color w:val="auto"/>
                <w:vertAlign w:val="superscript"/>
              </w:rPr>
              <w:t>(b)</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North America - Canadian borrowings </w:t>
            </w:r>
            <w:r>
              <w:rPr>
                <w:rFonts w:ascii="Arial" w:cs="Arial" w:eastAsia="Arial" w:hAnsi="Arial"/>
                <w:sz w:val="21"/>
                <w:szCs w:val="21"/>
                <w:color w:val="auto"/>
                <w:vertAlign w:val="superscript"/>
              </w:rPr>
              <w:t>(c)</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2"/>
        </w:trPr>
        <w:tc>
          <w:tcPr>
            <w:tcW w:w="5960" w:type="dxa"/>
            <w:vAlign w:val="bottom"/>
          </w:tcPr>
          <w:p>
            <w:pPr>
              <w:ind w:left="20"/>
              <w:spacing w:after="0"/>
              <w:rPr>
                <w:sz w:val="20"/>
                <w:szCs w:val="20"/>
                <w:color w:val="auto"/>
              </w:rPr>
            </w:pPr>
            <w:r>
              <w:rPr>
                <w:rFonts w:ascii="Arial" w:cs="Arial" w:eastAsia="Arial" w:hAnsi="Arial"/>
                <w:sz w:val="18"/>
                <w:szCs w:val="18"/>
                <w:color w:val="auto"/>
              </w:rPr>
              <w:t xml:space="preserve">Truck Rental - Debt borrowings </w:t>
            </w:r>
            <w:r>
              <w:rPr>
                <w:rFonts w:ascii="Arial" w:cs="Arial" w:eastAsia="Arial" w:hAnsi="Arial"/>
                <w:sz w:val="21"/>
                <w:szCs w:val="21"/>
                <w:color w:val="auto"/>
                <w:vertAlign w:val="superscript"/>
              </w:rPr>
              <w:t>(f)</w:t>
            </w: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7"/>
        </w:trPr>
        <w:tc>
          <w:tcPr>
            <w:tcW w:w="59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820" w:hanging="326"/>
        <w:spacing w:after="0" w:line="187" w:lineRule="auto"/>
        <w:tabs>
          <w:tab w:leader="none" w:pos="82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$8.7 billion of underlying vehicles and related assets.</w:t>
      </w:r>
    </w:p>
    <w:p>
      <w:pPr>
        <w:ind w:left="820" w:hanging="326"/>
        <w:spacing w:after="0" w:line="187" w:lineRule="auto"/>
        <w:tabs>
          <w:tab w:leader="none" w:pos="82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$810 million of underlying vehicles and related assets.</w:t>
      </w:r>
    </w:p>
    <w:p>
      <w:pPr>
        <w:ind w:left="820" w:hanging="326"/>
        <w:spacing w:after="0" w:line="187" w:lineRule="auto"/>
        <w:tabs>
          <w:tab w:leader="none" w:pos="82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$1.7 billion of underlying vehicles and related assets.</w:t>
      </w:r>
    </w:p>
    <w:p>
      <w:pPr>
        <w:ind w:left="820" w:hanging="326"/>
        <w:spacing w:after="0" w:line="187" w:lineRule="auto"/>
        <w:tabs>
          <w:tab w:leader="none" w:pos="82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$409 million of underlying vehicles and related assets.</w:t>
      </w:r>
    </w:p>
    <w:p>
      <w:pPr>
        <w:ind w:left="820" w:hanging="326"/>
        <w:spacing w:after="0" w:line="184" w:lineRule="auto"/>
        <w:tabs>
          <w:tab w:leader="none" w:pos="82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$359 million of underlying vehicles and related assets.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Available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800" w:hanging="79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1,810</w:t>
      </w:r>
    </w:p>
    <w:p>
      <w:pPr>
        <w:spacing w:after="0" w:line="6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7"/>
          <w:szCs w:val="17"/>
          <w:color w:val="auto"/>
        </w:rPr>
        <w:t>359</w:t>
      </w:r>
    </w:p>
    <w:p>
      <w:pPr>
        <w:spacing w:after="0" w:line="7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7"/>
          <w:szCs w:val="17"/>
          <w:color w:val="auto"/>
        </w:rPr>
        <w:t>319</w:t>
      </w:r>
    </w:p>
    <w:p>
      <w:pPr>
        <w:spacing w:after="0" w:line="74"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7"/>
          <w:szCs w:val="17"/>
          <w:color w:val="auto"/>
        </w:rPr>
        <w:t>198</w:t>
      </w:r>
    </w:p>
    <w:p>
      <w:pPr>
        <w:spacing w:after="0" w:line="74"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7"/>
          <w:szCs w:val="17"/>
          <w:color w:val="auto"/>
        </w:rPr>
        <w:t>19</w:t>
      </w:r>
    </w:p>
    <w:p>
      <w:pPr>
        <w:spacing w:after="0" w:line="75"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800" w:hanging="79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31750</wp:posOffset>
            </wp:positionV>
            <wp:extent cx="866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594" w:lineRule="exact"/>
        <w:rPr>
          <w:sz w:val="20"/>
          <w:szCs w:val="20"/>
          <w:color w:val="auto"/>
        </w:rPr>
      </w:pPr>
    </w:p>
    <w:p>
      <w:pPr>
        <w:sectPr>
          <w:pgSz w:w="11900" w:h="16838" w:orient="portrait"/>
          <w:cols w:equalWidth="0" w:num="2">
            <w:col w:w="9400" w:space="120"/>
            <w:col w:w="1860"/>
          </w:cols>
          <w:pgMar w:left="240" w:top="140" w:right="279" w:bottom="1440" w:gutter="0" w:footer="0" w:header="0"/>
          <w:type w:val="continuous"/>
        </w:sectPr>
      </w:pP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September 30, 2014, the Company is not aware of any instances of non-compliance with any of the financial or restrictive covenants contained in the debt agreements under its vehicle-backed funding programs.</w:t>
      </w:r>
    </w:p>
    <w:p>
      <w:pPr>
        <w:spacing w:after="0" w:line="184" w:lineRule="exact"/>
        <w:rPr>
          <w:sz w:val="20"/>
          <w:szCs w:val="20"/>
          <w:color w:val="auto"/>
        </w:rPr>
      </w:pPr>
    </w:p>
    <w:p>
      <w:pPr>
        <w:ind w:left="500" w:right="8020" w:hanging="492"/>
        <w:spacing w:after="0" w:line="513" w:lineRule="auto"/>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among others, contract and licensee disputes, wage-and-hour claims, competition matters, employment matters, insurance claims, intellectual property claims and other regulatory, environmental, commercial and tax matters. Litigation is inherently unpredictable and, although the Company believes that its accruals are adequate and/or that it has valid defenses in these</w:t>
      </w:r>
    </w:p>
    <w:p>
      <w:pPr>
        <w:sectPr>
          <w:pgSz w:w="11900" w:h="16838" w:orient="portrait"/>
          <w:cols w:equalWidth="0" w:num="1">
            <w:col w:w="11380"/>
          </w:cols>
          <w:pgMar w:left="240" w:top="140" w:right="279" w:bottom="1440" w:gutter="0" w:footer="0" w:header="0"/>
          <w:type w:val="continuous"/>
        </w:sect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140" w:right="2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360"/>
        <w:spacing w:after="0" w:line="262" w:lineRule="auto"/>
        <w:rPr>
          <w:sz w:val="20"/>
          <w:szCs w:val="20"/>
          <w:color w:val="auto"/>
        </w:rPr>
      </w:pPr>
      <w:r>
        <w:rPr>
          <w:rFonts w:ascii="Arial" w:cs="Arial" w:eastAsia="Arial" w:hAnsi="Arial"/>
          <w:sz w:val="18"/>
          <w:szCs w:val="18"/>
          <w:color w:val="auto"/>
        </w:rPr>
        <w:t>matters, unfavorable resolutions could occur, which could materially impact the Company’s financial position, results of operations or cash flows.</w:t>
      </w:r>
    </w:p>
    <w:p>
      <w:pPr>
        <w:spacing w:after="0" w:line="196"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Additionally, in 2006, the Company completed the spin-offs of its Realogy and Wyndham subsidiaries. In connection with the spin-offs, Realogy assumed 62.5% and Wyndham assumed 37.5% of certain contingent and other corporate liabilities of the Company that are not primarily related to any of the respective businesses of Realogy, Wyndham, our former Travelport subsidiary and/or the Company’s vehicle rental operations, and in each case incurred or allegedly incurred on or prior to each subsidiary’s disposition (“Assumed Liabilities”). If Realogy or Wyndham were to default on its payment of costs or expenses to the Company related to any Assumed Liabilities, the Company would be responsible for 50% of the defaulting party’s obligation. The Company does not believe that the impact of any resolution of contingent liabilities constituting Assumed Liabilities should result in a material liability to the Company in relation to its consolidated financial position or liquidity, as Realogy and Wyndham each have agreed to assume responsibility for these liabilities. The Company is also named in various litigation that is primarily related to the businesses of its former subsidiaries, including Realogy, Wyndham and their current or former subsidiaries. The Company is entitled to indemnification from such entities for any liability resulting from such litigation.</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$4.6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247"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In the normal course of business, the Company makes various commitments to purchase other goods or services from specific suppliers, including those related to marketing, advertising and capital expenditures. As of September 30, 2014, the Company had approximately $126 million of purchase obligations, which extend through 2019.</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Concentrations of credit risk at September 30, 2014 include (i) risks related to the Company’s repurchase and guaranteed depreciation agreements with domestic and foreign car manufacturers, including General Motors, Ford, Chrysler, Peugeot, Volkswagen, Kia, Fiat, Mercedes, BMW, Volvo and Toyota, and primarily with respect to receivables for program cars that have been disposed but for which the Company has not yet received payment from the manufacturers and (ii) risks related to Realogy and Wyndham, including receivables of $62 million and $38 million, respectively, related to certain contingent, income tax and other corporate liabilities assumed by Realogy and Wyndham in connection with their disposition.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Guarantees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has provided certain guarantees to, or for the benefit of, subsidiaries of Realogy, Wyndham and Travelport, which, as previously discussed, were sold or spun-off in 2006. These guarantees relate primarily to various real estate operating leases. The maximum potential amount of future payments that the Company may be required to make under the guarantees relating to these leases is estimated to be approximately $37 million, the majority of which expire by the end of 2015. At September 30, 2014, the liability recorded by the Company in connection with these guarantees was approximately $1 million. To the extent that the Company would be required to perform under any of these guarantees, the Company is entitled to indemnification by Realogy and Wyndham, as applicable. The Company monitors the credit ratings and other relevant information for Realogy and Wyndham in order to assess the status of the payment/performance risk of these guarantees.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40"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00" w:right="9080" w:hanging="492"/>
        <w:spacing w:after="0" w:line="544" w:lineRule="auto"/>
        <w:tabs>
          <w:tab w:leader="none" w:pos="5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24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In August 2013, the Company obtained Board approval to repurchase up to $200 million of its common stock. In April 2014, the Company’s Board authorized a $235 million increase to the share repurchase program. During the nine months ended September 30, 2014, the Company repurchased approximately 3,961,000 shares of common stock at a cost of approximately $210 million under the program. During the nine months ended September 30, 2013, the Company repurchased approximately 860,000 shares of common stock at a cost of approximately $25 million under the program.</w:t>
      </w:r>
    </w:p>
    <w:p>
      <w:pPr>
        <w:spacing w:after="0" w:line="183"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Accumulated Other Comprehensive Income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Net Unrealized</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Currency</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Adjustments</w:t>
            </w:r>
            <w:r>
              <w:rPr>
                <w:rFonts w:ascii="Arial" w:cs="Arial" w:eastAsia="Arial" w:hAnsi="Arial"/>
                <w:sz w:val="8"/>
                <w:szCs w:val="8"/>
                <w:b w:val="1"/>
                <w:bCs w:val="1"/>
                <w:color w:val="auto"/>
                <w:w w:val="97"/>
              </w:rPr>
              <w:t>(a)</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Hedges</w:t>
            </w:r>
            <w:r>
              <w:rPr>
                <w:rFonts w:ascii="Arial" w:cs="Arial" w:eastAsia="Arial" w:hAnsi="Arial"/>
                <w:sz w:val="8"/>
                <w:szCs w:val="8"/>
                <w:b w:val="1"/>
                <w:bCs w:val="1"/>
                <w:color w:val="auto"/>
                <w:w w:val="97"/>
              </w:rPr>
              <w:t>(b)</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Sale Securities</w:t>
            </w:r>
            <w:r>
              <w:rPr>
                <w:rFonts w:ascii="Arial" w:cs="Arial" w:eastAsia="Arial" w:hAnsi="Arial"/>
                <w:sz w:val="8"/>
                <w:szCs w:val="8"/>
                <w:b w:val="1"/>
                <w:bCs w:val="1"/>
                <w:color w:val="auto"/>
                <w:w w:val="99"/>
              </w:rPr>
              <w:t>(a)</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(c)</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250"/>
        </w:trPr>
        <w:tc>
          <w:tcPr>
            <w:tcW w:w="2800" w:type="dxa"/>
            <w:vAlign w:val="bottom"/>
          </w:tcPr>
          <w:p>
            <w:pPr>
              <w:ind w:left="20"/>
              <w:spacing w:after="0"/>
              <w:rPr>
                <w:sz w:val="20"/>
                <w:szCs w:val="20"/>
                <w:color w:val="auto"/>
              </w:rPr>
            </w:pPr>
            <w:r>
              <w:rPr>
                <w:rFonts w:ascii="Arial" w:cs="Arial" w:eastAsia="Arial" w:hAnsi="Arial"/>
                <w:sz w:val="13"/>
                <w:szCs w:val="13"/>
                <w:color w:val="auto"/>
              </w:rPr>
              <w:t>Balance, January 1, 2014</w:t>
            </w: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43"/>
        </w:trPr>
        <w:tc>
          <w:tcPr>
            <w:tcW w:w="2800" w:type="dxa"/>
            <w:vAlign w:val="bottom"/>
          </w:tcPr>
          <w:p>
            <w:pPr>
              <w:ind w:left="240"/>
              <w:spacing w:after="0" w:line="143" w:lineRule="exact"/>
              <w:rPr>
                <w:sz w:val="20"/>
                <w:szCs w:val="20"/>
                <w:color w:val="auto"/>
              </w:rPr>
            </w:pPr>
            <w:r>
              <w:rPr>
                <w:rFonts w:ascii="Arial" w:cs="Arial" w:eastAsia="Arial" w:hAnsi="Arial"/>
                <w:sz w:val="13"/>
                <w:szCs w:val="13"/>
                <w:color w:val="auto"/>
              </w:rPr>
              <w:t>Other comprehensive income (loss) before</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00" w:type="dxa"/>
            <w:vAlign w:val="bottom"/>
          </w:tcPr>
          <w:p>
            <w:pPr>
              <w:ind w:left="400"/>
              <w:spacing w:after="0"/>
              <w:rPr>
                <w:sz w:val="20"/>
                <w:szCs w:val="20"/>
                <w:color w:val="auto"/>
              </w:rPr>
            </w:pPr>
            <w:r>
              <w:rPr>
                <w:rFonts w:ascii="Arial" w:cs="Arial" w:eastAsia="Arial" w:hAnsi="Arial"/>
                <w:sz w:val="13"/>
                <w:szCs w:val="13"/>
                <w:color w:val="auto"/>
              </w:rPr>
              <w:t>reclassifications</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72"/>
        </w:trPr>
        <w:tc>
          <w:tcPr>
            <w:tcW w:w="2800" w:type="dxa"/>
            <w:vAlign w:val="bottom"/>
          </w:tcPr>
          <w:p>
            <w:pPr>
              <w:ind w:left="240"/>
              <w:spacing w:after="0"/>
              <w:rPr>
                <w:sz w:val="20"/>
                <w:szCs w:val="20"/>
                <w:color w:val="auto"/>
              </w:rPr>
            </w:pPr>
            <w:r>
              <w:rPr>
                <w:rFonts w:ascii="Arial" w:cs="Arial" w:eastAsia="Arial" w:hAnsi="Arial"/>
                <w:sz w:val="13"/>
                <w:szCs w:val="13"/>
                <w:color w:val="auto"/>
                <w:w w:val="97"/>
              </w:rPr>
              <w:t>Amounts reclassified from accumulated other</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400"/>
              <w:spacing w:after="0"/>
              <w:rPr>
                <w:sz w:val="20"/>
                <w:szCs w:val="20"/>
                <w:color w:val="auto"/>
              </w:rPr>
            </w:pPr>
            <w:r>
              <w:rPr>
                <w:rFonts w:ascii="Arial" w:cs="Arial" w:eastAsia="Arial" w:hAnsi="Arial"/>
                <w:sz w:val="13"/>
                <w:szCs w:val="13"/>
                <w:color w:val="auto"/>
              </w:rPr>
              <w:t>comprehensive income</w:t>
            </w:r>
          </w:p>
        </w:tc>
        <w:tc>
          <w:tcPr>
            <w:tcW w:w="20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 income</w:t>
            </w: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(loss)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42"/>
        </w:trPr>
        <w:tc>
          <w:tcPr>
            <w:tcW w:w="2800" w:type="dxa"/>
            <w:vAlign w:val="bottom"/>
          </w:tcPr>
          <w:p>
            <w:pPr>
              <w:ind w:left="20"/>
              <w:spacing w:after="0"/>
              <w:rPr>
                <w:sz w:val="20"/>
                <w:szCs w:val="20"/>
                <w:color w:val="auto"/>
              </w:rPr>
            </w:pPr>
            <w:r>
              <w:rPr>
                <w:rFonts w:ascii="Arial" w:cs="Arial" w:eastAsia="Arial" w:hAnsi="Arial"/>
                <w:sz w:val="13"/>
                <w:szCs w:val="13"/>
                <w:color w:val="auto"/>
              </w:rPr>
              <w:t>Balance, September 30, 2014</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800" w:type="dxa"/>
            <w:vAlign w:val="bottom"/>
          </w:tcPr>
          <w:p>
            <w:pPr>
              <w:ind w:left="20"/>
              <w:spacing w:after="0"/>
              <w:rPr>
                <w:sz w:val="20"/>
                <w:szCs w:val="20"/>
                <w:color w:val="auto"/>
              </w:rPr>
            </w:pPr>
            <w:r>
              <w:rPr>
                <w:rFonts w:ascii="Arial" w:cs="Arial" w:eastAsia="Arial" w:hAnsi="Arial"/>
                <w:sz w:val="13"/>
                <w:szCs w:val="13"/>
                <w:color w:val="auto"/>
              </w:rPr>
              <w:t>Balance, January 1, 2013</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7"/>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43"/>
        </w:trPr>
        <w:tc>
          <w:tcPr>
            <w:tcW w:w="2800" w:type="dxa"/>
            <w:vAlign w:val="bottom"/>
          </w:tcPr>
          <w:p>
            <w:pPr>
              <w:ind w:left="240"/>
              <w:spacing w:after="0" w:line="143" w:lineRule="exact"/>
              <w:rPr>
                <w:sz w:val="20"/>
                <w:szCs w:val="20"/>
                <w:color w:val="auto"/>
              </w:rPr>
            </w:pPr>
            <w:r>
              <w:rPr>
                <w:rFonts w:ascii="Arial" w:cs="Arial" w:eastAsia="Arial" w:hAnsi="Arial"/>
                <w:sz w:val="13"/>
                <w:szCs w:val="13"/>
                <w:color w:val="auto"/>
              </w:rPr>
              <w:t>Other comprehensive income (loss) before</w:t>
            </w: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00" w:type="dxa"/>
            <w:vAlign w:val="bottom"/>
          </w:tcPr>
          <w:p>
            <w:pPr>
              <w:ind w:left="400"/>
              <w:spacing w:after="0"/>
              <w:rPr>
                <w:sz w:val="20"/>
                <w:szCs w:val="20"/>
                <w:color w:val="auto"/>
              </w:rPr>
            </w:pPr>
            <w:r>
              <w:rPr>
                <w:rFonts w:ascii="Arial" w:cs="Arial" w:eastAsia="Arial" w:hAnsi="Arial"/>
                <w:sz w:val="13"/>
                <w:szCs w:val="13"/>
                <w:color w:val="auto"/>
              </w:rPr>
              <w:t>reclassifications</w:t>
            </w: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2"/>
        </w:trPr>
        <w:tc>
          <w:tcPr>
            <w:tcW w:w="2800" w:type="dxa"/>
            <w:vAlign w:val="bottom"/>
          </w:tcPr>
          <w:p>
            <w:pPr>
              <w:ind w:left="240"/>
              <w:spacing w:after="0"/>
              <w:rPr>
                <w:sz w:val="20"/>
                <w:szCs w:val="20"/>
                <w:color w:val="auto"/>
              </w:rPr>
            </w:pPr>
            <w:r>
              <w:rPr>
                <w:rFonts w:ascii="Arial" w:cs="Arial" w:eastAsia="Arial" w:hAnsi="Arial"/>
                <w:sz w:val="13"/>
                <w:szCs w:val="13"/>
                <w:color w:val="auto"/>
                <w:w w:val="97"/>
              </w:rPr>
              <w:t>Amounts reclassified from accumulated other</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400"/>
              <w:spacing w:after="0"/>
              <w:rPr>
                <w:sz w:val="20"/>
                <w:szCs w:val="20"/>
                <w:color w:val="auto"/>
              </w:rPr>
            </w:pPr>
            <w:r>
              <w:rPr>
                <w:rFonts w:ascii="Arial" w:cs="Arial" w:eastAsia="Arial" w:hAnsi="Arial"/>
                <w:sz w:val="13"/>
                <w:szCs w:val="13"/>
                <w:color w:val="auto"/>
              </w:rPr>
              <w:t>comprehensive income</w:t>
            </w:r>
          </w:p>
        </w:tc>
        <w:tc>
          <w:tcPr>
            <w:tcW w:w="20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3"/>
        </w:trPr>
        <w:tc>
          <w:tcPr>
            <w:tcW w:w="28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 income</w:t>
            </w: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80"/>
              <w:spacing w:after="0"/>
              <w:rPr>
                <w:sz w:val="20"/>
                <w:szCs w:val="20"/>
                <w:color w:val="auto"/>
              </w:rPr>
            </w:pPr>
            <w:r>
              <w:rPr>
                <w:rFonts w:ascii="Arial" w:cs="Arial" w:eastAsia="Arial" w:hAnsi="Arial"/>
                <w:sz w:val="13"/>
                <w:szCs w:val="13"/>
                <w:color w:val="auto"/>
              </w:rPr>
              <w:t>(loss)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2800" w:type="dxa"/>
            <w:vAlign w:val="bottom"/>
          </w:tcPr>
          <w:p>
            <w:pPr>
              <w:ind w:left="20"/>
              <w:spacing w:after="0"/>
              <w:rPr>
                <w:sz w:val="20"/>
                <w:szCs w:val="20"/>
                <w:color w:val="auto"/>
              </w:rPr>
            </w:pPr>
            <w:r>
              <w:rPr>
                <w:rFonts w:ascii="Arial" w:cs="Arial" w:eastAsia="Arial" w:hAnsi="Arial"/>
                <w:sz w:val="13"/>
                <w:szCs w:val="13"/>
                <w:color w:val="auto"/>
              </w:rPr>
              <w:t>Balance, September 30, 2013</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500" w:right="360"/>
        <w:spacing w:after="0" w:line="239" w:lineRule="auto"/>
        <w:rPr>
          <w:sz w:val="20"/>
          <w:szCs w:val="20"/>
          <w:color w:val="auto"/>
        </w:rPr>
      </w:pPr>
      <w:r>
        <w:rPr>
          <w:rFonts w:ascii="Arial" w:cs="Arial" w:eastAsia="Arial" w:hAnsi="Arial"/>
          <w:sz w:val="14"/>
          <w:szCs w:val="14"/>
          <w:color w:val="auto"/>
        </w:rPr>
        <w:t>All components of accumulated other comprehensive income are net of tax, except currency translation adjustments, which exclude income taxes related to indefinite investments in foreign subsidiaries and include a $20 million gain, net of tax, as of September 30, 2014 related to the Company’s hedge of its net investment in Euro-denominated foreign operations (See Note 14 - Financial Instruments).</w:t>
      </w:r>
    </w:p>
    <w:p>
      <w:pPr>
        <w:ind w:left="820" w:hanging="326"/>
        <w:spacing w:after="0" w:line="193"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Amounts reclassified from accumulated other comprehensive income were not material for any period presented.</w:t>
      </w:r>
    </w:p>
    <w:p>
      <w:pPr>
        <w:ind w:left="820" w:hanging="326"/>
        <w:spacing w:after="0" w:line="220"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2014, amounts reclassified from accumulated other comprehensive income into interest expense were $2 million ($1 million, net of tax) and $6 million ($4 million, net of tax), respectively. For the three and nine months ended September 30, 2013, amounts reclassified from accumulated other comprehensive income were not material.</w:t>
      </w:r>
    </w:p>
    <w:p>
      <w:pPr>
        <w:spacing w:after="0" w:line="1" w:lineRule="exact"/>
        <w:rPr>
          <w:rFonts w:ascii="Arial" w:cs="Arial" w:eastAsia="Arial" w:hAnsi="Arial"/>
          <w:sz w:val="18"/>
          <w:szCs w:val="18"/>
          <w:color w:val="auto"/>
          <w:vertAlign w:val="superscript"/>
        </w:rPr>
      </w:pPr>
    </w:p>
    <w:p>
      <w:pPr>
        <w:ind w:left="820" w:right="20" w:hanging="326"/>
        <w:spacing w:after="0" w:line="225"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2014 amounts reclassified from accumulated other comprehensive income were not material. For the three and nine months ended September 30, 2013, amounts reclassified from accumulated other comprehensive income into selling, general and administrative expenses were $10 million ($6 million, net of tax).</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40"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were as follows: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0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4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5"/>
          </w:tcPr>
          <w:p>
            <w:pPr>
              <w:ind w:left="5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1"/>
                <w:szCs w:val="21"/>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120"/>
              <w:spacing w:after="0"/>
              <w:rPr>
                <w:sz w:val="20"/>
                <w:szCs w:val="20"/>
                <w:color w:val="auto"/>
              </w:rPr>
            </w:pPr>
            <w:r>
              <w:rPr>
                <w:rFonts w:ascii="Arial" w:cs="Arial" w:eastAsia="Arial" w:hAnsi="Arial"/>
                <w:sz w:val="18"/>
                <w:szCs w:val="18"/>
                <w:color w:val="auto"/>
              </w:rPr>
              <w:t>$(18), $5, $(20), $5, respectively)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Net unrealized gain (loss) on available-for-sale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00"/>
              <w:spacing w:after="0" w:line="202" w:lineRule="exact"/>
              <w:rPr>
                <w:sz w:val="20"/>
                <w:szCs w:val="20"/>
                <w:color w:val="auto"/>
              </w:rPr>
            </w:pPr>
            <w:r>
              <w:rPr>
                <w:rFonts w:ascii="Arial" w:cs="Arial" w:eastAsia="Arial" w:hAnsi="Arial"/>
                <w:sz w:val="18"/>
                <w:szCs w:val="18"/>
                <w:color w:val="auto"/>
              </w:rPr>
              <w:t>securities (net of tax of $0, $0, $0, and $0,</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 (net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300"/>
              <w:spacing w:after="0"/>
              <w:rPr>
                <w:sz w:val="20"/>
                <w:szCs w:val="20"/>
                <w:color w:val="auto"/>
              </w:rPr>
            </w:pPr>
            <w:r>
              <w:rPr>
                <w:rFonts w:ascii="Arial" w:cs="Arial" w:eastAsia="Arial" w:hAnsi="Arial"/>
                <w:sz w:val="18"/>
                <w:szCs w:val="18"/>
                <w:color w:val="auto"/>
              </w:rPr>
              <w:t>of tax of $(2), $0, $(1), $(1), respectively)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120"/>
              <w:spacing w:after="0"/>
              <w:rPr>
                <w:sz w:val="20"/>
                <w:szCs w:val="20"/>
                <w:color w:val="auto"/>
              </w:rPr>
            </w:pPr>
            <w:r>
              <w:rPr>
                <w:rFonts w:ascii="Arial" w:cs="Arial" w:eastAsia="Arial" w:hAnsi="Arial"/>
                <w:sz w:val="18"/>
                <w:szCs w:val="18"/>
                <w:color w:val="auto"/>
              </w:rPr>
              <w:t>$0, $(12), $0, and $(12), respectively)</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190"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$7 million and $5 million ($4 million and $3 million, net of tax) during the three months ended September 30, 2014 and 2013, respectively and $23 million and $14 million ($14 million and $9 million, net of tax) during the nine months ended September 30, 2014 and 2013, respectively. In jurisdictions with net operating loss carryforwards, exercises and/or vestings of stock-based awards have generated $48 million of total tax deductions at September 30, 2014. Approximately $19 million of tax benefits will be recorded in additional paid-in capital when these tax deductions are realized in these jurisdictions.</w:t>
      </w:r>
    </w:p>
    <w:p>
      <w:pPr>
        <w:spacing w:after="0" w:line="208" w:lineRule="exact"/>
        <w:rPr>
          <w:rFonts w:ascii="Arial" w:cs="Arial" w:eastAsia="Arial" w:hAnsi="Arial"/>
          <w:sz w:val="18"/>
          <w:szCs w:val="18"/>
          <w:b w:val="1"/>
          <w:bCs w:val="1"/>
          <w:color w:val="auto"/>
        </w:rPr>
      </w:pPr>
    </w:p>
    <w:p>
      <w:pPr>
        <w:ind w:left="500" w:right="3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Monte Carlo simulation model to calculate the fair value of the Company’s stock unit awards containing a market condition are as follows:</w:t>
      </w:r>
    </w:p>
    <w:p>
      <w:pPr>
        <w:spacing w:after="0" w:line="125"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8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September 30,</w:t>
            </w:r>
          </w:p>
        </w:tc>
      </w:tr>
      <w:tr>
        <w:trPr>
          <w:trHeight w:val="257"/>
        </w:trPr>
        <w:tc>
          <w:tcPr>
            <w:tcW w:w="6880" w:type="dxa"/>
            <w:vAlign w:val="bottom"/>
          </w:tcPr>
          <w:p>
            <w:pPr>
              <w:spacing w:after="0"/>
              <w:rPr>
                <w:sz w:val="22"/>
                <w:szCs w:val="22"/>
                <w:color w:val="auto"/>
              </w:rPr>
            </w:pPr>
          </w:p>
        </w:tc>
        <w:tc>
          <w:tcPr>
            <w:tcW w:w="112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2013</w:t>
            </w:r>
          </w:p>
        </w:tc>
      </w:tr>
      <w:tr>
        <w:trPr>
          <w:trHeight w:val="237"/>
        </w:trPr>
        <w:tc>
          <w:tcPr>
            <w:tcW w:w="688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120" w:type="dxa"/>
            <w:vAlign w:val="bottom"/>
          </w:tcPr>
          <w:p>
            <w:pPr>
              <w:jc w:val="center"/>
              <w:ind w:left="439"/>
              <w:spacing w:after="0"/>
              <w:rPr>
                <w:sz w:val="20"/>
                <w:szCs w:val="20"/>
                <w:color w:val="auto"/>
              </w:rPr>
            </w:pPr>
            <w:r>
              <w:rPr>
                <w:rFonts w:ascii="Arial" w:cs="Arial" w:eastAsia="Arial" w:hAnsi="Arial"/>
                <w:sz w:val="16"/>
                <w:szCs w:val="16"/>
                <w:color w:val="auto"/>
                <w:w w:val="99"/>
              </w:rPr>
              <w:t>40%</w:t>
            </w:r>
          </w:p>
        </w:tc>
        <w:tc>
          <w:tcPr>
            <w:tcW w:w="2260" w:type="dxa"/>
            <w:vAlign w:val="bottom"/>
            <w:gridSpan w:val="3"/>
          </w:tcPr>
          <w:p>
            <w:pPr>
              <w:jc w:val="center"/>
              <w:ind w:left="559"/>
              <w:spacing w:after="0"/>
              <w:rPr>
                <w:sz w:val="20"/>
                <w:szCs w:val="20"/>
                <w:color w:val="auto"/>
              </w:rPr>
            </w:pPr>
            <w:r>
              <w:rPr>
                <w:rFonts w:ascii="Arial" w:cs="Arial" w:eastAsia="Arial" w:hAnsi="Arial"/>
                <w:sz w:val="16"/>
                <w:szCs w:val="16"/>
                <w:color w:val="auto"/>
              </w:rPr>
              <w:t>43%</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120" w:type="dxa"/>
            <w:vAlign w:val="bottom"/>
          </w:tcPr>
          <w:p>
            <w:pPr>
              <w:jc w:val="center"/>
              <w:ind w:left="419"/>
              <w:spacing w:after="0"/>
              <w:rPr>
                <w:sz w:val="20"/>
                <w:szCs w:val="20"/>
                <w:color w:val="auto"/>
              </w:rPr>
            </w:pPr>
            <w:r>
              <w:rPr>
                <w:rFonts w:ascii="Arial" w:cs="Arial" w:eastAsia="Arial" w:hAnsi="Arial"/>
                <w:sz w:val="16"/>
                <w:szCs w:val="16"/>
                <w:color w:val="auto"/>
              </w:rPr>
              <w:t>0.83%</w:t>
            </w:r>
          </w:p>
        </w:tc>
        <w:tc>
          <w:tcPr>
            <w:tcW w:w="2260" w:type="dxa"/>
            <w:vAlign w:val="bottom"/>
            <w:gridSpan w:val="3"/>
          </w:tcPr>
          <w:p>
            <w:pPr>
              <w:jc w:val="center"/>
              <w:ind w:left="559"/>
              <w:spacing w:after="0"/>
              <w:rPr>
                <w:sz w:val="20"/>
                <w:szCs w:val="20"/>
                <w:color w:val="auto"/>
              </w:rPr>
            </w:pPr>
            <w:r>
              <w:rPr>
                <w:rFonts w:ascii="Arial" w:cs="Arial" w:eastAsia="Arial" w:hAnsi="Arial"/>
                <w:sz w:val="16"/>
                <w:szCs w:val="16"/>
                <w:color w:val="auto"/>
              </w:rPr>
              <w:t>0.39%</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Expected term of awards</w:t>
            </w:r>
          </w:p>
        </w:tc>
        <w:tc>
          <w:tcPr>
            <w:tcW w:w="1120" w:type="dxa"/>
            <w:vAlign w:val="bottom"/>
          </w:tcPr>
          <w:p>
            <w:pPr>
              <w:ind w:left="560"/>
              <w:spacing w:after="0"/>
              <w:rPr>
                <w:sz w:val="20"/>
                <w:szCs w:val="20"/>
                <w:color w:val="auto"/>
              </w:rPr>
            </w:pPr>
            <w:r>
              <w:rPr>
                <w:rFonts w:ascii="Arial" w:cs="Arial" w:eastAsia="Arial" w:hAnsi="Arial"/>
                <w:sz w:val="16"/>
                <w:szCs w:val="16"/>
                <w:color w:val="auto"/>
              </w:rPr>
              <w:t>3 years</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540"/>
              <w:spacing w:after="0"/>
              <w:rPr>
                <w:sz w:val="20"/>
                <w:szCs w:val="20"/>
                <w:color w:val="auto"/>
              </w:rPr>
            </w:pPr>
            <w:r>
              <w:rPr>
                <w:rFonts w:ascii="Arial" w:cs="Arial" w:eastAsia="Arial" w:hAnsi="Arial"/>
                <w:sz w:val="16"/>
                <w:szCs w:val="16"/>
                <w:color w:val="auto"/>
              </w:rPr>
              <w:t>3 years</w:t>
            </w:r>
          </w:p>
        </w:tc>
      </w:tr>
      <w:tr>
        <w:trPr>
          <w:trHeight w:val="270"/>
        </w:trPr>
        <w:tc>
          <w:tcPr>
            <w:tcW w:w="6880" w:type="dxa"/>
            <w:vAlign w:val="bottom"/>
          </w:tcPr>
          <w:p>
            <w:pPr>
              <w:spacing w:after="0"/>
              <w:rPr>
                <w:sz w:val="20"/>
                <w:szCs w:val="20"/>
                <w:color w:val="auto"/>
              </w:rPr>
            </w:pPr>
            <w:r>
              <w:rPr>
                <w:rFonts w:ascii="Arial" w:cs="Arial" w:eastAsia="Arial" w:hAnsi="Arial"/>
                <w:sz w:val="16"/>
                <w:szCs w:val="16"/>
                <w:color w:val="auto"/>
              </w:rPr>
              <w:t>Dividend yield</w:t>
            </w:r>
          </w:p>
        </w:tc>
        <w:tc>
          <w:tcPr>
            <w:tcW w:w="1120" w:type="dxa"/>
            <w:vAlign w:val="bottom"/>
          </w:tcPr>
          <w:p>
            <w:pPr>
              <w:jc w:val="center"/>
              <w:ind w:left="439"/>
              <w:spacing w:after="0"/>
              <w:rPr>
                <w:sz w:val="20"/>
                <w:szCs w:val="20"/>
                <w:color w:val="auto"/>
              </w:rPr>
            </w:pPr>
            <w:r>
              <w:rPr>
                <w:rFonts w:ascii="Arial" w:cs="Arial" w:eastAsia="Arial" w:hAnsi="Arial"/>
                <w:sz w:val="16"/>
                <w:szCs w:val="16"/>
                <w:color w:val="auto"/>
                <w:w w:val="98"/>
              </w:rPr>
              <w:t>0.0%</w:t>
            </w:r>
          </w:p>
        </w:tc>
        <w:tc>
          <w:tcPr>
            <w:tcW w:w="2260" w:type="dxa"/>
            <w:vAlign w:val="bottom"/>
            <w:gridSpan w:val="3"/>
          </w:tcPr>
          <w:p>
            <w:pPr>
              <w:jc w:val="center"/>
              <w:ind w:left="559"/>
              <w:spacing w:after="0"/>
              <w:rPr>
                <w:sz w:val="20"/>
                <w:szCs w:val="20"/>
                <w:color w:val="auto"/>
              </w:rPr>
            </w:pPr>
            <w:r>
              <w:rPr>
                <w:rFonts w:ascii="Arial" w:cs="Arial" w:eastAsia="Arial" w:hAnsi="Arial"/>
                <w:sz w:val="16"/>
                <w:szCs w:val="16"/>
                <w:color w:val="auto"/>
              </w:rPr>
              <w:t>0.0%</w:t>
            </w:r>
          </w:p>
        </w:tc>
      </w:tr>
    </w:tbl>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40"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Time-Based RSUs</w:t>
            </w:r>
          </w:p>
        </w:tc>
        <w:tc>
          <w:tcPr>
            <w:tcW w:w="10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Market-Based RSUs</w:t>
            </w:r>
          </w:p>
        </w:tc>
        <w:tc>
          <w:tcPr>
            <w:tcW w:w="12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1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2014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1,308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95"/>
        </w:trPr>
        <w:tc>
          <w:tcPr>
            <w:tcW w:w="36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42.05</w:t>
            </w:r>
          </w:p>
        </w:tc>
        <w:tc>
          <w:tcPr>
            <w:tcW w:w="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42.03</w:t>
            </w:r>
          </w:p>
        </w:tc>
        <w:tc>
          <w:tcPr>
            <w:tcW w:w="1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620" w:type="dxa"/>
            <w:vAlign w:val="bottom"/>
          </w:tcPr>
          <w:p>
            <w:pPr>
              <w:ind w:left="2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620" w:type="dxa"/>
            <w:vAlign w:val="bottom"/>
          </w:tcPr>
          <w:p>
            <w:pPr>
              <w:ind w:left="2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23.92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September 30, 2014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27.27</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19.19</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440" w:hanging="326"/>
        <w:spacing w:after="0" w:line="220"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performance-based and market-based RSUs, and cash units granted during the nine months ended September 30, 2013 was $21.77, $20.03 and $17.14,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nine months ended September 30, 2014 and 2013 was $15 million and $14 million, respectively.</w:t>
      </w:r>
    </w:p>
    <w:p>
      <w:pPr>
        <w:ind w:left="820" w:right="60" w:hanging="326"/>
        <w:spacing w:after="0"/>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performance-based and market-based RSUs, and cash units had aggregate intrinsic value of $56 million, $104 million and $15 million, respectively. Aggregate unrecognized compensation expense related to time-based RSUs and performance-based and market-based RSUs amounted to $35 million and will be recognized over a weighted average vesting period of 0.8 years. The Company assumes that substantially all outstanding awards will vest over time.</w:t>
      </w:r>
    </w:p>
    <w:p>
      <w:pPr>
        <w:spacing w:after="0" w:line="3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20" w:type="dxa"/>
            <w:vAlign w:val="bottom"/>
          </w:tcPr>
          <w:p>
            <w:pPr>
              <w:spacing w:after="0"/>
              <w:rPr>
                <w:sz w:val="16"/>
                <w:szCs w:val="16"/>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20" w:type="dxa"/>
            <w:vAlign w:val="bottom"/>
          </w:tcPr>
          <w:p>
            <w:pPr>
              <w:spacing w:after="0"/>
              <w:rPr>
                <w:sz w:val="19"/>
                <w:szCs w:val="19"/>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Outstanding at January 1, 2014</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70"/>
        </w:trPr>
        <w:tc>
          <w:tcPr>
            <w:tcW w:w="4620" w:type="dxa"/>
            <w:vAlign w:val="bottom"/>
          </w:tcPr>
          <w:p>
            <w:pPr>
              <w:ind w:left="340"/>
              <w:spacing w:after="0"/>
              <w:rPr>
                <w:sz w:val="20"/>
                <w:szCs w:val="20"/>
                <w:color w:val="auto"/>
              </w:rPr>
            </w:pPr>
            <w:r>
              <w:rPr>
                <w:rFonts w:ascii="Arial" w:cs="Arial" w:eastAsia="Arial" w:hAnsi="Arial"/>
                <w:sz w:val="16"/>
                <w:szCs w:val="16"/>
                <w:color w:val="auto"/>
              </w:rPr>
              <w:t>Granted</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70"/>
        </w:trPr>
        <w:tc>
          <w:tcPr>
            <w:tcW w:w="4620" w:type="dxa"/>
            <w:vAlign w:val="bottom"/>
          </w:tcPr>
          <w:p>
            <w:pPr>
              <w:ind w:left="340"/>
              <w:spacing w:after="0"/>
              <w:rPr>
                <w:sz w:val="20"/>
                <w:szCs w:val="20"/>
                <w:color w:val="auto"/>
              </w:rPr>
            </w:pPr>
            <w:r>
              <w:rPr>
                <w:rFonts w:ascii="Arial" w:cs="Arial" w:eastAsia="Arial" w:hAnsi="Arial"/>
                <w:sz w:val="16"/>
                <w:szCs w:val="16"/>
                <w:color w:val="auto"/>
              </w:rPr>
              <w:t>Exercised</w:t>
            </w:r>
          </w:p>
        </w:tc>
        <w:tc>
          <w:tcPr>
            <w:tcW w:w="134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83"/>
        </w:trPr>
        <w:tc>
          <w:tcPr>
            <w:tcW w:w="4620" w:type="dxa"/>
            <w:vAlign w:val="bottom"/>
          </w:tcPr>
          <w:p>
            <w:pPr>
              <w:ind w:left="340"/>
              <w:spacing w:after="0"/>
              <w:rPr>
                <w:sz w:val="20"/>
                <w:szCs w:val="20"/>
                <w:color w:val="auto"/>
              </w:rPr>
            </w:pPr>
            <w:r>
              <w:rPr>
                <w:rFonts w:ascii="Arial" w:cs="Arial" w:eastAsia="Arial" w:hAnsi="Arial"/>
                <w:sz w:val="16"/>
                <w:szCs w:val="16"/>
                <w:color w:val="auto"/>
              </w:rPr>
              <w:t>Forfeited/expired</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Outstanding at September 30, 2014 </w:t>
            </w:r>
            <w:r>
              <w:rPr>
                <w:rFonts w:ascii="Arial" w:cs="Arial" w:eastAsia="Arial" w:hAnsi="Arial"/>
                <w:sz w:val="21"/>
                <w:szCs w:val="21"/>
                <w:color w:val="auto"/>
                <w:vertAlign w:val="superscript"/>
              </w:rPr>
              <w:t>(a)</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0"/>
        </w:trPr>
        <w:tc>
          <w:tcPr>
            <w:tcW w:w="4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4"/>
        </w:trPr>
        <w:tc>
          <w:tcPr>
            <w:tcW w:w="4620" w:type="dxa"/>
            <w:vAlign w:val="bottom"/>
          </w:tcPr>
          <w:p>
            <w:pPr>
              <w:ind w:left="20"/>
              <w:spacing w:after="0"/>
              <w:rPr>
                <w:sz w:val="20"/>
                <w:szCs w:val="20"/>
                <w:color w:val="auto"/>
              </w:rPr>
            </w:pPr>
            <w:r>
              <w:rPr>
                <w:rFonts w:ascii="Arial" w:cs="Arial" w:eastAsia="Arial" w:hAnsi="Arial"/>
                <w:sz w:val="16"/>
                <w:szCs w:val="16"/>
                <w:color w:val="auto"/>
              </w:rPr>
              <w:t>Exercisable at September 30, 2014</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826</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24"/>
        </w:trPr>
        <w:tc>
          <w:tcPr>
            <w:tcW w:w="4620" w:type="dxa"/>
            <w:vAlign w:val="bottom"/>
          </w:tcPr>
          <w:p>
            <w:pPr>
              <w:spacing w:after="0"/>
              <w:rPr>
                <w:sz w:val="20"/>
                <w:szCs w:val="20"/>
                <w:color w:val="auto"/>
              </w:rPr>
            </w:pPr>
            <w:r>
              <w:rPr>
                <w:rFonts w:ascii="Arial" w:cs="Arial" w:eastAsia="Arial" w:hAnsi="Arial"/>
                <w:sz w:val="14"/>
                <w:szCs w:val="14"/>
                <w:color w:val="auto"/>
              </w:rPr>
              <w:t>__________</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ind w:left="820" w:hanging="326"/>
        <w:spacing w:after="0" w:line="219"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The Company assumes that substantially all outstanding stock options will vest over time.</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93"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uses currency exchange contracts to manage its exposure to changes in currency exchange rates 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w:t>
      </w:r>
    </w:p>
    <w:p>
      <w:pPr>
        <w:spacing w:after="0" w:line="207" w:lineRule="exact"/>
        <w:rPr>
          <w:rFonts w:ascii="Arial" w:cs="Arial" w:eastAsia="Arial" w:hAnsi="Arial"/>
          <w:sz w:val="18"/>
          <w:szCs w:val="18"/>
          <w:b w:val="1"/>
          <w:bCs w:val="1"/>
          <w:color w:val="auto"/>
        </w:rPr>
      </w:pPr>
    </w:p>
    <w:p>
      <w:pPr>
        <w:ind w:left="50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has designated its 6% Euro-denominated notes as a hedge of its net investment in Euro-denominated foreign operations. For the nine months ended September 30, 2014, the Company recorded a $31 million gain in accumulated other comprehensive income as part of currency translation adjustments. There was no ineffectiveness related to the Company’s net investment hedges during the three and nine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months ended September 30, 2014 and the Company does not expect to reclassify any amounts from accumulated other comprehensive income into earnings over the next 12 months.</w:t>
      </w:r>
    </w:p>
    <w:p>
      <w:pPr>
        <w:spacing w:after="0" w:line="196" w:lineRule="exact"/>
        <w:rPr>
          <w:sz w:val="20"/>
          <w:szCs w:val="20"/>
          <w:color w:val="auto"/>
        </w:rPr>
      </w:pPr>
    </w:p>
    <w:p>
      <w:pPr>
        <w:ind w:left="500" w:right="160"/>
        <w:spacing w:after="0" w:line="251" w:lineRule="auto"/>
        <w:rPr>
          <w:sz w:val="20"/>
          <w:szCs w:val="20"/>
          <w:color w:val="auto"/>
        </w:rPr>
      </w:pPr>
      <w:r>
        <w:rPr>
          <w:rFonts w:ascii="Arial" w:cs="Arial" w:eastAsia="Arial" w:hAnsi="Arial"/>
          <w:sz w:val="18"/>
          <w:szCs w:val="18"/>
          <w:color w:val="auto"/>
        </w:rPr>
        <w:t>The Company uses various hedging strategies including interest rate swaps and interest rate caps to create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into earnings. There was no ineffectiveness related to the Company’s cash flow hedges during the three and nine months ended September 30, 2014. The Company estimates that $6 million of losses currently recorded in accumulated other comprehensive income will be recognized in earnings over the next 12 months.</w:t>
      </w:r>
    </w:p>
    <w:p>
      <w:pPr>
        <w:spacing w:after="0" w:line="212"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From time to time, the Company enters into derivative commodity contracts to manage its exposure to changes in the price of unleaded gasoline. Changes in the fair value of these derivatives are recorded within operating expenses.</w:t>
      </w:r>
    </w:p>
    <w:p>
      <w:pPr>
        <w:spacing w:after="0" w:line="196"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Certain of the Company’s derivative instruments contain collateral support provisions that require the Company to post cash collateral to the extent that such derivatives are in a liability position. The aggregate fair value of such derivatives and the aggregate fair value of assets needed to settle these derivatives was not material as of September 30, 2014.</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As of September</w:t>
            </w:r>
          </w:p>
        </w:tc>
      </w:tr>
      <w:tr>
        <w:trPr>
          <w:trHeight w:val="228"/>
        </w:trPr>
        <w:tc>
          <w:tcPr>
            <w:tcW w:w="8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30, 2014</w:t>
            </w:r>
          </w:p>
        </w:tc>
      </w:tr>
      <w:tr>
        <w:trPr>
          <w:trHeight w:val="272"/>
        </w:trPr>
        <w:tc>
          <w:tcPr>
            <w:tcW w:w="874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11,289</w:t>
            </w:r>
          </w:p>
        </w:tc>
      </w:tr>
      <w:tr>
        <w:trPr>
          <w:trHeight w:val="195"/>
        </w:trPr>
        <w:tc>
          <w:tcPr>
            <w:tcW w:w="87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1,874</w:t>
            </w:r>
          </w:p>
        </w:tc>
      </w:tr>
      <w:tr>
        <w:trPr>
          <w:trHeight w:val="243"/>
        </w:trPr>
        <w:tc>
          <w:tcPr>
            <w:tcW w:w="8740" w:type="dxa"/>
            <w:vAlign w:val="bottom"/>
          </w:tcPr>
          <w:p>
            <w:pPr>
              <w:ind w:left="20"/>
              <w:spacing w:after="0"/>
              <w:rPr>
                <w:sz w:val="20"/>
                <w:szCs w:val="20"/>
                <w:color w:val="auto"/>
              </w:rPr>
            </w:pPr>
            <w:r>
              <w:rPr>
                <w:rFonts w:ascii="Arial" w:cs="Arial" w:eastAsia="Arial" w:hAnsi="Arial"/>
                <w:sz w:val="16"/>
                <w:szCs w:val="16"/>
                <w:color w:val="auto"/>
              </w:rPr>
              <w:t>Foreign exchange swaps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525</w:t>
            </w:r>
          </w:p>
        </w:tc>
      </w:tr>
      <w:tr>
        <w:trPr>
          <w:trHeight w:val="243"/>
        </w:trPr>
        <w:tc>
          <w:tcPr>
            <w:tcW w:w="8740" w:type="dxa"/>
            <w:vAlign w:val="bottom"/>
          </w:tcPr>
          <w:p>
            <w:pPr>
              <w:ind w:left="20"/>
              <w:spacing w:after="0"/>
              <w:rPr>
                <w:sz w:val="20"/>
                <w:szCs w:val="20"/>
                <w:color w:val="auto"/>
              </w:rPr>
            </w:pPr>
            <w:r>
              <w:rPr>
                <w:rFonts w:ascii="Arial" w:cs="Arial" w:eastAsia="Arial" w:hAnsi="Arial"/>
                <w:sz w:val="16"/>
                <w:szCs w:val="16"/>
                <w:color w:val="auto"/>
              </w:rPr>
              <w:t>Foreign exchange forward contracts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540"/>
        </w:trPr>
        <w:tc>
          <w:tcPr>
            <w:tcW w:w="874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5"/>
        </w:trPr>
        <w:tc>
          <w:tcPr>
            <w:tcW w:w="8740" w:type="dxa"/>
            <w:vAlign w:val="bottom"/>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Represents $9.3 billion of interest rate caps sold, partially offset by approximately $1.9 billion of interest rate caps purchased. These amounts exclude $7.4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As of September 30, 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 2013</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7"/>
                <w:szCs w:val="17"/>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Liability</w:t>
            </w: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Asset</w:t>
            </w:r>
          </w:p>
        </w:tc>
        <w:tc>
          <w:tcPr>
            <w:tcW w:w="18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9"/>
                <w:szCs w:val="19"/>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3"/>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5"/>
        </w:trPr>
        <w:tc>
          <w:tcPr>
            <w:tcW w:w="4620" w:type="dxa"/>
            <w:vAlign w:val="bottom"/>
          </w:tcPr>
          <w:p>
            <w:pPr>
              <w:ind w:left="220"/>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0"/>
        </w:trPr>
        <w:tc>
          <w:tcPr>
            <w:tcW w:w="4620" w:type="dxa"/>
            <w:vAlign w:val="bottom"/>
          </w:tcPr>
          <w:p>
            <w:pPr>
              <w:ind w:left="220"/>
              <w:spacing w:after="0"/>
              <w:rPr>
                <w:sz w:val="20"/>
                <w:szCs w:val="20"/>
                <w:color w:val="auto"/>
              </w:rPr>
            </w:pPr>
            <w:r>
              <w:rPr>
                <w:rFonts w:ascii="Arial" w:cs="Arial" w:eastAsia="Arial" w:hAnsi="Arial"/>
                <w:sz w:val="16"/>
                <w:szCs w:val="16"/>
                <w:color w:val="auto"/>
              </w:rPr>
              <w:t xml:space="preserve">Foreign exchange swaps and forward contracts </w:t>
            </w:r>
            <w:r>
              <w:rPr>
                <w:rFonts w:ascii="Arial" w:cs="Arial" w:eastAsia="Arial" w:hAnsi="Arial"/>
                <w:sz w:val="21"/>
                <w:szCs w:val="21"/>
                <w:color w:val="auto"/>
                <w:vertAlign w:val="superscript"/>
              </w:rPr>
              <w:t>(c)</w:t>
            </w:r>
          </w:p>
        </w:tc>
        <w:tc>
          <w:tcPr>
            <w:tcW w:w="160" w:type="dxa"/>
            <w:vAlign w:val="bottom"/>
          </w:tcPr>
          <w:p>
            <w:pPr>
              <w:spacing w:after="0"/>
              <w:rPr>
                <w:sz w:val="24"/>
                <w:szCs w:val="24"/>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620" w:type="dxa"/>
            <w:vAlign w:val="bottom"/>
          </w:tcPr>
          <w:p>
            <w:pPr>
              <w:ind w:left="2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620" w:type="dxa"/>
            <w:vAlign w:val="bottom"/>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6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w:t>
      </w:r>
    </w:p>
    <w:p>
      <w:pPr>
        <w:ind w:left="820" w:hanging="326"/>
        <w:spacing w:after="0" w:line="195"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4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1"/>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9"/>
        </w:trPr>
        <w:tc>
          <w:tcPr>
            <w:tcW w:w="41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2"/>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20" w:type="dxa"/>
            <w:vAlign w:val="bottom"/>
          </w:tcPr>
          <w:p>
            <w:pPr>
              <w:ind w:left="180"/>
              <w:spacing w:after="0"/>
              <w:rPr>
                <w:sz w:val="20"/>
                <w:szCs w:val="20"/>
                <w:color w:val="auto"/>
              </w:rPr>
            </w:pPr>
            <w:r>
              <w:rPr>
                <w:rFonts w:ascii="Arial" w:cs="Arial" w:eastAsia="Arial" w:hAnsi="Arial"/>
                <w:sz w:val="11"/>
                <w:szCs w:val="11"/>
                <w:b w:val="1"/>
                <w:bCs w:val="1"/>
                <w:color w:val="auto"/>
              </w:rPr>
              <w:t>(b)</w:t>
            </w: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41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900" w:type="dxa"/>
            <w:vAlign w:val="bottom"/>
          </w:tcPr>
          <w:p>
            <w:pPr>
              <w:spacing w:after="0"/>
              <w:rPr>
                <w:sz w:val="24"/>
                <w:szCs w:val="2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4120" w:type="dxa"/>
            <w:vAlign w:val="bottom"/>
          </w:tcPr>
          <w:p>
            <w:pPr>
              <w:ind w:left="120"/>
              <w:spacing w:after="0"/>
              <w:rPr>
                <w:sz w:val="20"/>
                <w:szCs w:val="20"/>
                <w:color w:val="auto"/>
              </w:rPr>
            </w:pPr>
            <w:r>
              <w:rPr>
                <w:rFonts w:ascii="Arial" w:cs="Arial" w:eastAsia="Arial" w:hAnsi="Arial"/>
                <w:sz w:val="16"/>
                <w:szCs w:val="16"/>
                <w:color w:val="auto"/>
              </w:rPr>
              <w:t xml:space="preserve">Foreign exchange swaps and forward contracts </w:t>
            </w:r>
            <w:r>
              <w:rPr>
                <w:rFonts w:ascii="Arial" w:cs="Arial" w:eastAsia="Arial" w:hAnsi="Arial"/>
                <w:sz w:val="21"/>
                <w:szCs w:val="21"/>
                <w:color w:val="auto"/>
                <w:vertAlign w:val="superscript"/>
              </w:rPr>
              <w:t>(d)</w:t>
            </w:r>
          </w:p>
        </w:tc>
        <w:tc>
          <w:tcPr>
            <w:tcW w:w="900" w:type="dxa"/>
            <w:vAlign w:val="bottom"/>
          </w:tcPr>
          <w:p>
            <w:pPr>
              <w:spacing w:after="0"/>
              <w:rPr>
                <w:sz w:val="23"/>
                <w:szCs w:val="23"/>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41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120" w:type="dxa"/>
            <w:vAlign w:val="bottom"/>
          </w:tcPr>
          <w:p>
            <w:pPr>
              <w:ind w:left="120"/>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1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within stockholders’ equity.</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interest expense.</w:t>
      </w:r>
    </w:p>
    <w:p>
      <w:pPr>
        <w:ind w:left="820" w:hanging="326"/>
        <w:spacing w:after="0" w:line="225"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2014, included a $19 million gain in interest expense and a $3 million gain in operating expense and for the nine months ended September 30, 2014, included a $7 million loss in interest expense. For the three months ended September 30, 2013 included a $16 million loss in interest expense and a $3 million gain in operating expense and for the nine months ended September 30, 2013, included a $13 million gain in interest expense and a $9 million gain in operating expense.</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140"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September 30, 2014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2013</w:t>
            </w: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excluding convertible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Convertible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3,416</w:t>
            </w:r>
          </w:p>
        </w:tc>
      </w:tr>
      <w:tr>
        <w:trPr>
          <w:trHeight w:val="500"/>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6,983</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7,081</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5,656</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5,732</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1,675</w:t>
            </w:r>
          </w:p>
        </w:tc>
      </w:tr>
      <w:tr>
        <w:trPr>
          <w:trHeight w:val="289"/>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contracts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2"/>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7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3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has aggregated certain of its operating segments into its reportable segments.</w:t>
      </w:r>
    </w:p>
    <w:p>
      <w:pPr>
        <w:spacing w:after="0" w:line="204"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6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9"/>
              </w:rPr>
              <w:t>Three Months Ended September 30,</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2013</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52"/>
        </w:trPr>
        <w:tc>
          <w:tcPr>
            <w:tcW w:w="6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Truck Rental</w:t>
            </w:r>
          </w:p>
        </w:tc>
        <w:tc>
          <w:tcPr>
            <w:tcW w:w="2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4"/>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4580" w:type="dxa"/>
            <w:vAlign w:val="bottom"/>
            <w:gridSpan w:val="2"/>
          </w:tcPr>
          <w:p>
            <w:pPr>
              <w:ind w:left="420"/>
              <w:spacing w:after="0"/>
              <w:rPr>
                <w:sz w:val="20"/>
                <w:szCs w:val="20"/>
                <w:color w:val="auto"/>
              </w:rPr>
            </w:pPr>
            <w:r>
              <w:rPr>
                <w:rFonts w:ascii="Arial" w:cs="Arial" w:eastAsia="Arial" w:hAnsi="Arial"/>
                <w:sz w:val="18"/>
                <w:szCs w:val="18"/>
                <w:color w:val="auto"/>
              </w:rPr>
              <w:t>Total Company</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40" w:type="dxa"/>
            <w:vAlign w:val="bottom"/>
          </w:tcPr>
          <w:p>
            <w:pPr>
              <w:ind w:left="20"/>
              <w:spacing w:after="0"/>
              <w:rPr>
                <w:sz w:val="20"/>
                <w:szCs w:val="20"/>
                <w:color w:val="auto"/>
              </w:rPr>
            </w:pPr>
            <w:r>
              <w:rPr>
                <w:rFonts w:ascii="Arial" w:cs="Arial" w:eastAsia="Arial" w:hAnsi="Arial"/>
                <w:sz w:val="18"/>
                <w:szCs w:val="18"/>
                <w:color w:val="auto"/>
              </w:rPr>
              <w:t>Less:</w:t>
            </w:r>
          </w:p>
        </w:tc>
        <w:tc>
          <w:tcPr>
            <w:tcW w:w="418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Transaction-related costs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640" w:type="dxa"/>
            <w:vAlign w:val="bottom"/>
          </w:tcPr>
          <w:p>
            <w:pPr>
              <w:spacing w:after="0"/>
              <w:rPr>
                <w:sz w:val="24"/>
                <w:szCs w:val="24"/>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60" w:hanging="326"/>
        <w:spacing w:after="0" w:line="207" w:lineRule="auto"/>
        <w:tabs>
          <w:tab w:leader="none" w:pos="8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Previously reported amounts were recast for a change in the Company’s reportable segments, decreasing North America revenues and increasing International revenues by $13 million in the three months ended September 30, 2013.</w:t>
      </w:r>
    </w:p>
    <w:p>
      <w:pPr>
        <w:spacing w:after="0" w:line="1" w:lineRule="exact"/>
        <w:rPr>
          <w:rFonts w:ascii="Arial" w:cs="Arial" w:eastAsia="Arial" w:hAnsi="Arial"/>
          <w:sz w:val="22"/>
          <w:szCs w:val="22"/>
          <w:color w:val="auto"/>
          <w:vertAlign w:val="superscript"/>
        </w:rPr>
      </w:pPr>
    </w:p>
    <w:p>
      <w:pPr>
        <w:ind w:left="820" w:hanging="326"/>
        <w:spacing w:after="0" w:line="210" w:lineRule="auto"/>
        <w:tabs>
          <w:tab w:leader="none" w:pos="82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Amounts reflect a revision to the definition of Adjusted EBITDA to exclude restructuring expense, which resulted in an increase in Adjusted EBITDA in North America, International and Truck Rental of $3 million, $5 million and $6</w:t>
      </w:r>
    </w:p>
    <w:p>
      <w:pPr>
        <w:sectPr>
          <w:pgSz w:w="11900" w:h="16838" w:orient="portrait"/>
          <w:cols w:equalWidth="0" w:num="1">
            <w:col w:w="11360"/>
          </w:cols>
          <w:pgMar w:left="240" w:top="140" w:right="299" w:bottom="1440" w:gutter="0" w:footer="0" w:header="0"/>
        </w:sect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360"/>
          </w:cols>
          <w:pgMar w:left="240" w:top="140" w:right="2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1" w:lineRule="exact"/>
        <w:rPr>
          <w:sz w:val="20"/>
          <w:szCs w:val="20"/>
          <w:color w:val="auto"/>
        </w:rPr>
      </w:pPr>
    </w:p>
    <w:p>
      <w:pPr>
        <w:ind w:left="820"/>
        <w:spacing w:after="0" w:line="313" w:lineRule="auto"/>
        <w:rPr>
          <w:sz w:val="20"/>
          <w:szCs w:val="20"/>
          <w:color w:val="auto"/>
        </w:rPr>
      </w:pPr>
      <w:r>
        <w:rPr>
          <w:rFonts w:ascii="Arial" w:cs="Arial" w:eastAsia="Arial" w:hAnsi="Arial"/>
          <w:sz w:val="16"/>
          <w:szCs w:val="16"/>
          <w:color w:val="auto"/>
        </w:rPr>
        <w:t>million, respectively, in the three months ended September 30, 2013. The change in the Company’s reportable segments had no effect on Adjusted EBITDA for the three months ended September 30, 2013.</w:t>
      </w:r>
    </w:p>
    <w:p>
      <w:pPr>
        <w:ind w:left="820" w:hanging="326"/>
        <w:spacing w:after="0" w:line="190" w:lineRule="auto"/>
        <w:tabs>
          <w:tab w:leader="none" w:pos="8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pacing w:after="0" w:line="146"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4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Nine Months Ended September 30,</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52"/>
        </w:trPr>
        <w:tc>
          <w:tcPr>
            <w:tcW w:w="4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c>
          <w:tcPr>
            <w:tcW w:w="0" w:type="dxa"/>
            <w:vAlign w:val="bottom"/>
          </w:tcPr>
          <w:p>
            <w:pPr>
              <w:spacing w:after="0"/>
              <w:rPr>
                <w:sz w:val="1"/>
                <w:szCs w:val="1"/>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4,286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Truck Rental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4540" w:type="dxa"/>
            <w:vAlign w:val="bottom"/>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4540" w:type="dxa"/>
            <w:vAlign w:val="bottom"/>
          </w:tcPr>
          <w:p>
            <w:pPr>
              <w:ind w:left="3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Less:   Non-vehicle related depreciation and amortization</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540" w:type="dxa"/>
            <w:vAlign w:val="bottom"/>
          </w:tcPr>
          <w:p>
            <w:pPr>
              <w:ind w:left="9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0"/>
        </w:trPr>
        <w:tc>
          <w:tcPr>
            <w:tcW w:w="4540" w:type="dxa"/>
            <w:vAlign w:val="bottom"/>
          </w:tcPr>
          <w:p>
            <w:pPr>
              <w:ind w:left="92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Transaction-related costs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4540" w:type="dxa"/>
            <w:vAlign w:val="bottom"/>
          </w:tcPr>
          <w:p>
            <w:pPr>
              <w:ind w:left="72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40" w:hanging="326"/>
        <w:spacing w:after="0" w:line="207" w:lineRule="auto"/>
        <w:tabs>
          <w:tab w:leader="none" w:pos="8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Previously reported amounts were recast for a change in the Company’s reportable segments, decreasing North America revenues and increasing International revenues by $28 million in the nine months ended September 30, 2013.</w:t>
      </w:r>
    </w:p>
    <w:p>
      <w:pPr>
        <w:spacing w:after="0" w:line="1" w:lineRule="exact"/>
        <w:rPr>
          <w:rFonts w:ascii="Arial" w:cs="Arial" w:eastAsia="Arial" w:hAnsi="Arial"/>
          <w:sz w:val="22"/>
          <w:szCs w:val="22"/>
          <w:color w:val="auto"/>
          <w:vertAlign w:val="superscript"/>
        </w:rPr>
      </w:pPr>
    </w:p>
    <w:p>
      <w:pPr>
        <w:ind w:left="820" w:right="120" w:hanging="326"/>
        <w:spacing w:after="0" w:line="225" w:lineRule="auto"/>
        <w:tabs>
          <w:tab w:leader="none" w:pos="8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Amounts reflect the revised definition of Adjusted EBITDA to exclude restructuring expense, which resulted in an increase in Adjusted EBITDA in North America, International and Truck Rental of $6 million, $14 million and $19 million, respectively, and a change in the Company’s reportable segments, which resulted in an increase in North America Adjusted EBITDA and a decrease in International Adjusted EBITDA by $1 million in the nine months ended September 30, 2013.</w:t>
      </w:r>
    </w:p>
    <w:p>
      <w:pPr>
        <w:spacing w:after="0" w:line="1" w:lineRule="exact"/>
        <w:rPr>
          <w:rFonts w:ascii="Arial" w:cs="Arial" w:eastAsia="Arial" w:hAnsi="Arial"/>
          <w:sz w:val="22"/>
          <w:szCs w:val="22"/>
          <w:color w:val="auto"/>
          <w:vertAlign w:val="superscript"/>
        </w:rPr>
      </w:pPr>
    </w:p>
    <w:p>
      <w:pPr>
        <w:ind w:left="820" w:hanging="326"/>
        <w:spacing w:after="0" w:line="184" w:lineRule="auto"/>
        <w:tabs>
          <w:tab w:leader="none" w:pos="8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pacing w:after="0" w:line="208"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Since December 31, 2013, there have been no significant changes in segment assets other than in the Company’s North America and International segment assets under vehicle programs. As of September 30, 2014 and December 31, 2013, North America assets under vehicle programs were approximately $9.6 billion and $7.9 billion, respectively, and International assets under vehicle programs were approximately $2.6 billion and $2.2 billion, respectively.</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40" w:right="3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nine months ended September 30, 2014 and 2013, Consolidating Condensed Balance Sheets as of September 30, 2014 and December 31, 2013, and Consolidating Condensed Statements of Cash Flows for the nine months ended September 30, 2014 and 2013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senior notes issued by the Subsidiary Issuers. These senior notes consist of Floating rate notes due 2017, 4⅞% notes due 2017, 8¼% notes due 2019, 9¾% notes due 2020, 5</w:t>
      </w:r>
      <w:r>
        <w:rPr>
          <w:rFonts w:ascii="Arial" w:cs="Arial" w:eastAsia="Arial" w:hAnsi="Arial"/>
          <w:sz w:val="16"/>
          <w:szCs w:val="16"/>
          <w:color w:val="auto"/>
        </w:rPr>
        <w:t>⅛</w:t>
      </w:r>
      <w:r>
        <w:rPr>
          <w:rFonts w:ascii="Arial" w:cs="Arial" w:eastAsia="Arial" w:hAnsi="Arial"/>
          <w:sz w:val="18"/>
          <w:szCs w:val="18"/>
          <w:color w:val="auto"/>
        </w:rPr>
        <w:t>% notes due June 2022 and 5½% notes due April 2023 (collectively, the “Notes”). See Note 9 - Long-term Debt and Borrowing Arrangements for additional information regarding these Notes. The Notes are guaranteed by the Parent and certain subsidiaries.</w:t>
      </w:r>
    </w:p>
    <w:p>
      <w:pPr>
        <w:spacing w:after="0" w:line="211"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 Certain reclassifications have been made to the 2013 consolidating condensed financial statements to report intercompany transactions on a gross basis and to conform to the current-year presentation. The reclassified amounts had no impact on reported net income, stockholders’ equity, or the net change in cash for the periods presented for the Parent, Subsidiary Issuers, guarantor subsidiaries, non-guarantor subsidiaries, eliminations or the Company on a consolidated basis.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515"/>
        </w:trPr>
        <w:tc>
          <w:tcPr>
            <w:tcW w:w="3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66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4,692</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6,598</w:t>
            </w:r>
          </w:p>
        </w:tc>
        <w:tc>
          <w:tcPr>
            <w:tcW w:w="0" w:type="dxa"/>
            <w:vAlign w:val="bottom"/>
          </w:tcPr>
          <w:p>
            <w:pPr>
              <w:spacing w:after="0"/>
              <w:rPr>
                <w:sz w:val="1"/>
                <w:szCs w:val="1"/>
                <w:color w:val="auto"/>
              </w:rPr>
            </w:pPr>
          </w:p>
        </w:tc>
      </w:tr>
      <w:tr>
        <w:trPr>
          <w:trHeight w:val="488"/>
        </w:trPr>
        <w:tc>
          <w:tcPr>
            <w:tcW w:w="3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3,273</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4,108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66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488"/>
        </w:trPr>
        <w:tc>
          <w:tcPr>
            <w:tcW w:w="3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Impairment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66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4,388</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6,087</w:t>
            </w:r>
          </w:p>
        </w:tc>
        <w:tc>
          <w:tcPr>
            <w:tcW w:w="0" w:type="dxa"/>
            <w:vAlign w:val="bottom"/>
          </w:tcPr>
          <w:p>
            <w:pPr>
              <w:spacing w:after="0"/>
              <w:rPr>
                <w:sz w:val="1"/>
                <w:szCs w:val="1"/>
                <w:color w:val="auto"/>
              </w:rPr>
            </w:pPr>
          </w:p>
        </w:tc>
      </w:tr>
      <w:tr>
        <w:trPr>
          <w:trHeight w:val="488"/>
        </w:trPr>
        <w:tc>
          <w:tcPr>
            <w:tcW w:w="36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3,080</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66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3660" w:type="dxa"/>
            <w:vAlign w:val="bottom"/>
          </w:tcPr>
          <w:p>
            <w:pPr>
              <w:ind w:left="180"/>
              <w:spacing w:after="0"/>
              <w:rPr>
                <w:sz w:val="20"/>
                <w:szCs w:val="20"/>
                <w:color w:val="auto"/>
              </w:rPr>
            </w:pPr>
            <w:r>
              <w:rPr>
                <w:rFonts w:ascii="Arial" w:cs="Arial" w:eastAsia="Arial" w:hAnsi="Arial"/>
                <w:sz w:val="14"/>
                <w:szCs w:val="14"/>
                <w:color w:val="auto"/>
              </w:rPr>
              <w:t>Impairment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2,773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6"/>
        </w:trPr>
        <w:tc>
          <w:tcPr>
            <w:tcW w:w="366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66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487"/>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5,731</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11,484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12,465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12,565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5,119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6,130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(9,360)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18,296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4,515</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5,845</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6,983</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11,719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3,420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(7,181)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18,296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40"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487"/>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9,582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10,452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9,793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4,830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140"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2014</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(9,835)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30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6,535</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(3,277)</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11,774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11,862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(10,049)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(10,050)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2013</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receipts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(8,865)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6,371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(2,645)</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(2,344)</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Purchase of warrants</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Proceeds from sale of call options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Intercompany loan payments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474"/>
        </w:trPr>
        <w:tc>
          <w:tcPr>
            <w:tcW w:w="330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10,266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10,266</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(9,079)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(9,079)</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0"/>
        </w:trPr>
        <w:tc>
          <w:tcPr>
            <w:tcW w:w="33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30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464"/>
        </w:trPr>
        <w:tc>
          <w:tcPr>
            <w:tcW w:w="330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0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40"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ind w:left="50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In October 2014, the Company’s </w:t>
      </w:r>
      <w:r>
        <w:rPr>
          <w:rFonts w:ascii="Arial" w:cs="Arial" w:eastAsia="Arial" w:hAnsi="Arial"/>
          <w:sz w:val="18"/>
          <w:szCs w:val="18"/>
          <w:color w:val="262626"/>
        </w:rPr>
        <w:t>3½% Convertible Senior Notes due 2014 were exchanged for 4,019,009 shares of the Company</w:t>
      </w:r>
      <w:r>
        <w:rPr>
          <w:rFonts w:ascii="Arial" w:cs="Arial" w:eastAsia="Arial" w:hAnsi="Arial"/>
          <w:sz w:val="18"/>
          <w:szCs w:val="18"/>
          <w:color w:val="auto"/>
        </w:rPr>
        <w:t>’</w:t>
      </w:r>
      <w:r>
        <w:rPr>
          <w:rFonts w:ascii="Arial" w:cs="Arial" w:eastAsia="Arial" w:hAnsi="Arial"/>
          <w:sz w:val="18"/>
          <w:szCs w:val="18"/>
          <w:color w:val="262626"/>
        </w:rPr>
        <w:t>s</w:t>
      </w:r>
      <w:r>
        <w:rPr>
          <w:rFonts w:ascii="Arial" w:cs="Arial" w:eastAsia="Arial" w:hAnsi="Arial"/>
          <w:sz w:val="18"/>
          <w:szCs w:val="18"/>
          <w:color w:val="auto"/>
        </w:rPr>
        <w:t xml:space="preserve"> </w:t>
      </w:r>
      <w:r>
        <w:rPr>
          <w:rFonts w:ascii="Arial" w:cs="Arial" w:eastAsia="Arial" w:hAnsi="Arial"/>
          <w:sz w:val="18"/>
          <w:szCs w:val="18"/>
          <w:color w:val="262626"/>
        </w:rPr>
        <w:t>common stock at the initial conversion rate of 61.5385 shares of common stock per $1,000 principal amount, which is equal to a conversion price of approximately $16.25 per share.</w:t>
      </w:r>
    </w:p>
    <w:p>
      <w:pPr>
        <w:spacing w:after="0" w:line="201" w:lineRule="exact"/>
        <w:rPr>
          <w:rFonts w:ascii="Arial" w:cs="Arial" w:eastAsia="Arial" w:hAnsi="Arial"/>
          <w:sz w:val="18"/>
          <w:szCs w:val="18"/>
          <w:b w:val="1"/>
          <w:bCs w:val="1"/>
          <w:color w:val="auto"/>
        </w:rPr>
      </w:pPr>
    </w:p>
    <w:p>
      <w:pPr>
        <w:ind w:left="500" w:right="1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October 2014, the Company amended and restated its senior revolving credit facility due 2018. Pursuant to this amendment, the amount available under the facility was increased from $1.65 billion to $1.8 billion and the maturity was extended.</w:t>
      </w:r>
    </w:p>
    <w:p>
      <w:pPr>
        <w:spacing w:after="0" w:line="19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October 2014, the Company obtained Board approval to increase the Company’s share repurchase program by $200 million.</w:t>
      </w:r>
    </w:p>
    <w:p>
      <w:pPr>
        <w:spacing w:after="0" w:line="225"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October 2014, the Company announced that it had entered into a definitive agreement to acquire its Budget licensee for Southern California and Las Vegas. The acquisition is scheduled to close in the fourth quarter of 2014, and the purchase price will be approximately $210 million plus the cost of acquired fleet.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98" w:lineRule="exact"/>
        <w:rPr>
          <w:rFonts w:ascii="Arial" w:cs="Arial" w:eastAsia="Arial" w:hAnsi="Arial"/>
          <w:sz w:val="18"/>
          <w:szCs w:val="18"/>
          <w:b w:val="1"/>
          <w:bCs w:val="1"/>
          <w:color w:val="auto"/>
        </w:rPr>
      </w:pPr>
    </w:p>
    <w:p>
      <w:pPr>
        <w:ind w:left="5260"/>
        <w:spacing w:after="0"/>
        <w:rPr>
          <w:rFonts w:ascii="Arial" w:cs="Arial" w:eastAsia="Arial" w:hAnsi="Arial"/>
          <w:sz w:val="18"/>
          <w:szCs w:val="18"/>
          <w:b w:val="1"/>
          <w:bCs w:val="1"/>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240" w:top="140" w:right="6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2013 Annual Report on Form 10-K filed with the Securities and Exchange Commission on February 20, 2014 (the “2013 Form 10-K”) and our Current Report on Form 8-K filed May 12, 2014 to update the 2013 Form 10-K for a change to our reportable segments as well as a revision to our definition of Adjusted EBITDA. Our actual results of operations may differ materially from those discussed in the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2013 Form 10-K and our Current Report on Form 8-K filed May 12, 2014.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548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fleet of approximately 500,000 vehicles. We also license the use of the Avis and Budget trademarks to licensees in the areas in which we do not operate directly. We and our licensees operate the Avis, Budget and/or Zipcar brands in approximately 175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We categorize our operations into three reportable business segments: </w:t>
      </w:r>
      <w:r>
        <w:rPr>
          <w:rFonts w:ascii="Arial" w:cs="Arial" w:eastAsia="Arial" w:hAnsi="Arial"/>
          <w:sz w:val="18"/>
          <w:szCs w:val="18"/>
          <w:i w:val="1"/>
          <w:iCs w:val="1"/>
          <w:color w:val="auto"/>
        </w:rPr>
        <w:t>North America</w:t>
      </w:r>
      <w:r>
        <w:rPr>
          <w:rFonts w:ascii="Arial" w:cs="Arial" w:eastAsia="Arial" w:hAnsi="Arial"/>
          <w:sz w:val="18"/>
          <w:szCs w:val="18"/>
          <w:color w:val="auto"/>
        </w:rPr>
        <w:t xml:space="preserve">, consisting primarily of our Avis and Budget car rental operations in the United States, our Avis and Budget vehicle rental operations in Canada, and our Zipcar car sharing operations in North America;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consisting primarily of our Avis and Budget vehicle rental operations in Europe, the Middle East, Africa, Asia, South America, Central America, the Caribbean, Australia and New Zealand, and our car sharing operations in certain of these markets; and </w:t>
      </w:r>
      <w:r>
        <w:rPr>
          <w:rFonts w:ascii="Arial" w:cs="Arial" w:eastAsia="Arial" w:hAnsi="Arial"/>
          <w:sz w:val="18"/>
          <w:szCs w:val="18"/>
          <w:i w:val="1"/>
          <w:iCs w:val="1"/>
          <w:color w:val="auto"/>
        </w:rPr>
        <w:t>Truck</w:t>
      </w:r>
      <w:r>
        <w:rPr>
          <w:rFonts w:ascii="Arial" w:cs="Arial" w:eastAsia="Arial" w:hAnsi="Arial"/>
          <w:sz w:val="18"/>
          <w:szCs w:val="18"/>
          <w:color w:val="auto"/>
        </w:rPr>
        <w:t xml:space="preserve"> </w:t>
      </w:r>
      <w:r>
        <w:rPr>
          <w:rFonts w:ascii="Arial" w:cs="Arial" w:eastAsia="Arial" w:hAnsi="Arial"/>
          <w:sz w:val="18"/>
          <w:szCs w:val="18"/>
          <w:i w:val="1"/>
          <w:iCs w:val="1"/>
          <w:color w:val="auto"/>
        </w:rPr>
        <w:t>Rental</w:t>
      </w:r>
      <w:r>
        <w:rPr>
          <w:rFonts w:ascii="Arial" w:cs="Arial" w:eastAsia="Arial" w:hAnsi="Arial"/>
          <w:sz w:val="18"/>
          <w:szCs w:val="18"/>
          <w:color w:val="auto"/>
        </w:rPr>
        <w:t>, consisting of our Budget truck rental operations in the United States. Our segments include the financial results of Zipcar since our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such business in March 2013. In conjunction with a change in our management structure in first quarter 2014, we re-aligned components of our Zipcar operations among our business segments. Segment financial information presented below has been recast to conform with our current business segment reporting alignment for all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car and truck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and/or impact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acquisitions, our integration of acquired operations and our realization of synergies, particularly with respect to Zipcar and Avis Europe;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demand for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price of gasoline;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demand for truck rentals.</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Throughout 2014, we have operated in an uncertain and uneven economic environment punctuated by heightened geopolitical risks and an unprecedented level of vehicle manufacturer recalls. Nonetheless, we continue to anticipate that worldwide demand for vehicle rental and car sharing services will show an increase in 2014, most likely against a backdrop of relatively slow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further pricing increases in the remaining months of 2014 and in 2015 in order to maintain our returns on invested capital and to enhance our profitability.</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and adjustments in the size, nature and terms of our relationships with vehicle manufacturers.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Year-to-Date Highlights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2014:</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net revenues increased 8% year-over-year to $6.6 billion in 2014.</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Pricing (our average T&amp;M revenue per rental day) increased 2% in North America, driven by increases in both commercial and leisure pricing.</w:t>
      </w:r>
    </w:p>
    <w:p>
      <w:pPr>
        <w:spacing w:after="0" w:line="196"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increased 14% to $747 million in 2014, primarily as a result of higher rental volumes and increased year-over-year pricing in North America.</w:t>
      </w:r>
    </w:p>
    <w:p>
      <w:pPr>
        <w:spacing w:after="0" w:line="196"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redeemed all $687 million of our outstanding 8¼% Senior Notes due January 2019 using the proceeds from our issuance of $400 million of 5⅛% Senior Notes due 2022 and €200 million of additional euro-denominated 6% Senior Notes due 2021.</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repurchased $210 million of our common stock, reducing our shares outstanding by approximately 4.0 million shares.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140"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74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acquired our Budget licensee in Edmonton, Alberta, Canada, and also re-acquired the right to operate the Budget brand in Portugal.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24 -hour period. We believe that this methodology provides our management with the most relevant statistics in order to manage the business. Our calculation may not be comparable to other companies’ calculation of similarly-titled statistics.</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Our presentation of Adjusted EBITDA may not be comparable to similarly-titled measures used by other companies. In first quarter 2014, we revised our definition of Adjusted EBITDA to exclude restructuring expense and have recast our 2013 Adjusted EBITDA amounts to conform with the revised definition. For additional information regarding the impact of the change in our definition of Adjusted EBITDA, refer to Note 15 - Segment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vs. Three Months Ended September 30,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8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Transaction-related costs</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20"/>
                <w:szCs w:val="20"/>
                <w:color w:val="auto"/>
              </w:rPr>
            </w:pPr>
            <w:r>
              <w:rPr>
                <w:rFonts w:ascii="Arial" w:cs="Arial" w:eastAsia="Arial" w:hAnsi="Arial"/>
                <w:sz w:val="16"/>
                <w:szCs w:val="16"/>
                <w:color w:val="auto"/>
              </w:rPr>
              <w:t>*   Not meaningful.</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0"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third quarter 2014, our net revenues increased principally as a result of a 3% increase in total rental days, a 2% increase in pricing and a 10% increase in ancillary revenues. Movements in currency exchange rates did not have a significant impact on revenues during third quarter 2014 compared to 2013.</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expenses increased as a result of higher vehicle depreciation and lease charges resulting from a 5% increase in our car rental fleet and a 5% increase in our per-unit fleet costs. Total expenses also increased as a result of higher operating expenses due to increased volumes and higher selling, general and administrative costs driven by increased marketing expenses. These increases were partially offset by a one-time impairment charge recorded in the prior year. Our expenses were not materially impacted by currency exchange movements. As a result of these items, our net income increased by $74 million. Our effective tax rates were a provision of 37% and 49% for the three months ended September 30, 2014 and 2013, respectively, which reflected the non-deductibility of the impairment charge in 2013.</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the three months ended September 30, 2014, the Company reported earnings of $1.74 per diluted share, which includes after-tax restructuring expense of ($0.05) per share and after-tax transaction costs of ($0.06) per share. For the three months ended September 30, 2013, the Company reported earnings of $ 1.02 per diluted share, which includes an after-tax impairment charge of ($0.28) per share, after-tax restructuring expense of ($0.08) per share and after-tax transaction costs of ($0.06)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2014:</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decreased to 46.0% from 47.7% of revenue, driven by increased rental volumes and higher pricing.</w:t>
      </w:r>
    </w:p>
    <w:p>
      <w:pPr>
        <w:spacing w:after="0" w:line="225"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22.9% of revenue from 21.9% compared to third quarter 2013, primarily due to increased per-unit fleet costs.</w:t>
      </w:r>
    </w:p>
    <w:p>
      <w:pPr>
        <w:spacing w:after="0" w:line="196"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11.7% of revenue from 11.4% in third quarter 2013, primarily due to increased marketing expenses.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interest costs, at 3.0% of revenue, remained level compared to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8%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Truck Rental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58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8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80" w:type="dxa"/>
            <w:vAlign w:val="bottom"/>
          </w:tcPr>
          <w:p>
            <w:pPr>
              <w:ind w:left="58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60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w:t>
            </w:r>
          </w:p>
        </w:tc>
      </w:tr>
      <w:tr>
        <w:trPr>
          <w:trHeight w:val="284"/>
        </w:trPr>
        <w:tc>
          <w:tcPr>
            <w:tcW w:w="74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13%</w:t>
            </w:r>
          </w:p>
        </w:tc>
      </w:tr>
    </w:tbl>
    <w:p>
      <w:pPr>
        <w:spacing w:after="0" w:line="215"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Revenues increased 8% in third quarter 2014 compared with third quarter 2013, primarily due to 6% growth in rental volumes and a 2% increase in pricing (3% in constant currency).</w:t>
      </w:r>
    </w:p>
    <w:p>
      <w:pPr>
        <w:spacing w:after="0" w:line="1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Adjusted EBITDA increased 13% in third quarter 2014 compared with third quarter 2013, primarily due to increased pricing and rental volumes, partially offset by higher per-unit fleet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2014:</w:t>
      </w:r>
    </w:p>
    <w:p>
      <w:pPr>
        <w:spacing w:after="0" w:line="225" w:lineRule="exact"/>
        <w:rPr>
          <w:sz w:val="20"/>
          <w:szCs w:val="20"/>
          <w:color w:val="auto"/>
        </w:rPr>
      </w:pPr>
    </w:p>
    <w:p>
      <w:pPr>
        <w:ind w:left="660" w:right="50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were 45.0% of revenue, compared to 47.0% in the prior-year period, driven by increased rental volumes and higher pricing.</w:t>
      </w:r>
    </w:p>
    <w:p>
      <w:pPr>
        <w:spacing w:after="0" w:line="196"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25.4% of revenue from 23.9% in third quarter 2013, due to 6% higher per-unit fleet costs and lower utilization, as a result of manufacturer recalls, partially offset by increased pricing.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10.3% of revenue from 10.5% of revenue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increased to 3.7% of revenue compared to 3.6% in third quarter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bl>
    <w:p>
      <w:pPr>
        <w:spacing w:after="0" w:line="2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Revenues increased 4% during third quarter 2014 compared to third quarter 2013, primarily due to an 11% increase in ancillary revenues and an $11 million positive impact on revenues from currency exchange rate changes.</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Adjusted EBITDA increased 7% in third quarter 2014 compared to third quarter 2013, primarily due to an increase in ancillary revenues, as well as a $5 million positive impact from currency exchange rate changes.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2014:</w:t>
      </w:r>
    </w:p>
    <w:p>
      <w:pPr>
        <w:spacing w:after="0" w:line="225" w:lineRule="exact"/>
        <w:rPr>
          <w:sz w:val="20"/>
          <w:szCs w:val="20"/>
          <w:color w:val="auto"/>
        </w:rPr>
      </w:pPr>
    </w:p>
    <w:p>
      <w:pPr>
        <w:ind w:left="660" w:right="5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were 46.1% of revenue, a decrease from 46.9% in the prior-year period, primarily due to increased ancillary revenues.</w:t>
      </w:r>
    </w:p>
    <w:p>
      <w:pPr>
        <w:spacing w:after="0" w:line="196" w:lineRule="exact"/>
        <w:rPr>
          <w:rFonts w:ascii="Arial" w:cs="Arial" w:eastAsia="Arial" w:hAnsi="Arial"/>
          <w:sz w:val="18"/>
          <w:szCs w:val="18"/>
          <w:color w:val="auto"/>
        </w:rPr>
      </w:pPr>
    </w:p>
    <w:p>
      <w:pPr>
        <w:ind w:left="660" w:right="7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18.7% of revenue from 19.7% compared to third quarter 2013, driven by increased ancillary revenues.</w:t>
      </w:r>
    </w:p>
    <w:p>
      <w:pPr>
        <w:spacing w:after="0" w:line="196"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13.7% of revenue from 12.5% in the prior-year period, primarily due to our planned increase in spending for advertising and brand investment.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interest costs decreased to 1.8% of revenue compared to 2.0% in third quarter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Truck Rental</w:t>
            </w:r>
          </w:p>
        </w:tc>
        <w:tc>
          <w:tcPr>
            <w:tcW w:w="6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60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r>
      <w:tr>
        <w:trPr>
          <w:trHeight w:val="284"/>
        </w:trPr>
        <w:tc>
          <w:tcPr>
            <w:tcW w:w="740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r>
    </w:tbl>
    <w:p>
      <w:pPr>
        <w:spacing w:after="0" w:line="21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Revenues declined $5 million due to a 5% decrease in total rental days, as our rental fleet was 8% smaller in 2014, partially offset by a 2% increase in pricing.</w:t>
      </w:r>
    </w:p>
    <w:p>
      <w:pPr>
        <w:spacing w:after="0" w:line="19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Adjusted EBITDA decreased $1 million in third quarter 2014 compared with third quarter 2013, principally due to higher per-unit fleet costs associated with newly acquired rental fleet, partially offset by lower maintenance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2014 vs. Nine Months Ended September 30,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6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4,388</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86"/>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6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26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Transaction-related costs</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626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7"/>
        </w:trPr>
        <w:tc>
          <w:tcPr>
            <w:tcW w:w="6260" w:type="dxa"/>
            <w:vAlign w:val="bottom"/>
          </w:tcPr>
          <w:p>
            <w:pPr>
              <w:ind w:left="24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2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6,239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52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20"/>
                <w:szCs w:val="20"/>
                <w:color w:val="auto"/>
              </w:rPr>
            </w:pPr>
            <w:r>
              <w:rPr>
                <w:rFonts w:ascii="Arial" w:cs="Arial" w:eastAsia="Arial" w:hAnsi="Arial"/>
                <w:sz w:val="16"/>
                <w:szCs w:val="16"/>
                <w:color w:val="auto"/>
              </w:rPr>
              <w:t>*   Not meaningful.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nine months ended September 30, 2014, our net revenues increased principally as a result of a 5% increase in total rental days and a 1% increase in pricing, $65 million of incremental revenue from Zipcar (acquired in March 2013) and an 11% increase in ancillary revenues. Movements in currency exchange rates did not have a significant impact on revenues during the nine months ended September 30, 2014 compared to 2013.</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expenses increased as a result of higher vehicle depreciation and lease charges resulting from a 5% increase in our car rental fleet and a 4% increase in our per-unit fleet costs. Total expenses also increased as a result of higher operating expenses due to increased volumes and higher selling, general and administrative costs driven by increased marketing expenses. These increases were partially offset by decreases in debt extinguishment costs, transaction-related costs and restructuring expense and a one-time impairment charge in 2013. As a result, despite a $13 million negative pretax impact from currency exchange rate movements, our net income increased by $178 million. Our effective tax rates were a provision of 38% and 67% for the nine months ended September 30, 2014 and 2013, respectively, principally due to the non-deductibility of the impairment charge and a portion of the early extinguishment of corporate debt costs in 2013.</w:t>
      </w:r>
    </w:p>
    <w:p>
      <w:pPr>
        <w:sectPr>
          <w:pgSz w:w="11900" w:h="16838" w:orient="portrait"/>
          <w:cols w:equalWidth="0" w:num="1">
            <w:col w:w="11420"/>
          </w:cols>
          <w:pgMar w:left="240" w:top="108" w:right="2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08"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For the nine months ended September 30, 2014, the Company reported earnings of $2.00 per diluted share, which includes after-tax debt extinguishment costs of ($0.30) per share, after-tax transaction costs of ($0.18) per share and after-tax restructuring expense of ($0.10) per share. For the nine months ended September 30, 2013, the Company reported earnings of $0.39 per diluted share, which includes after-tax debt extinguishment costs of ($0.82) per share, an after-tax impairment charge of ($0.28) per share, after-tax transaction costs of ($0.25) per share and after-tax restructuring expense of ($0.21)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2014:</w:t>
      </w:r>
    </w:p>
    <w:p>
      <w:pPr>
        <w:spacing w:after="0" w:line="225" w:lineRule="exact"/>
        <w:rPr>
          <w:sz w:val="20"/>
          <w:szCs w:val="20"/>
          <w:color w:val="auto"/>
        </w:rPr>
      </w:pPr>
    </w:p>
    <w:p>
      <w:pPr>
        <w:ind w:left="660" w:right="2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expenses decreased to 49.6% of revenue from 50.6% in the first nine months of 2013, driven by increased rental volumes and higher pricing.</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23.2% of revenue from 22.8% in the first nine months of 2013, principally due to higher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12.6% of revenue from 12.7% in the first nine months of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interest costs, at 3.2% of revenue, remained level compared to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3,877</w:t>
            </w: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11%   $</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Truck Rental</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4"/>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1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gridSpan w:val="4"/>
          </w:tcPr>
          <w:p>
            <w:pPr>
              <w:ind w:left="58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3580" w:type="dxa"/>
            <w:vAlign w:val="bottom"/>
          </w:tcPr>
          <w:p>
            <w:pPr>
              <w:ind w:left="5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(b)</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580" w:type="dxa"/>
            <w:vAlign w:val="bottom"/>
          </w:tcPr>
          <w:p>
            <w:pPr>
              <w:ind w:left="5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80" w:type="dxa"/>
            <w:vAlign w:val="bottom"/>
          </w:tcPr>
          <w:p>
            <w:pPr>
              <w:ind w:left="580"/>
              <w:spacing w:after="0"/>
              <w:rPr>
                <w:sz w:val="20"/>
                <w:szCs w:val="20"/>
                <w:color w:val="auto"/>
              </w:rPr>
            </w:pPr>
            <w:r>
              <w:rPr>
                <w:rFonts w:ascii="Arial" w:cs="Arial" w:eastAsia="Arial" w:hAnsi="Arial"/>
                <w:sz w:val="18"/>
                <w:szCs w:val="18"/>
                <w:color w:val="auto"/>
              </w:rPr>
              <w:t>Impairment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North America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w:t>
            </w:r>
          </w:p>
        </w:tc>
      </w:tr>
      <w:tr>
        <w:trPr>
          <w:trHeight w:val="284"/>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w:t>
            </w:r>
          </w:p>
        </w:tc>
      </w:tr>
    </w:tbl>
    <w:p>
      <w:pPr>
        <w:spacing w:after="0" w:line="2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Revenues increased 11% in the nine months ended September 30, 2014 compared with the same period in 2013, primarily due to 7% growth in rental volumes and a 2% increase in pricing (3% in constant currency), and $51 million of incremental revenue from Zipcar.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Adjusted EBITDA increased 21% in the nine months ended September 30, 2014 compared with the same period in 2013, primarily due to increased pricing and rental volumes as well as the acquisition of Zipcar, partially offset by 5% higher per-unit fleet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2014:</w:t>
      </w:r>
    </w:p>
    <w:p>
      <w:pPr>
        <w:spacing w:after="0" w:line="225" w:lineRule="exact"/>
        <w:rPr>
          <w:sz w:val="20"/>
          <w:szCs w:val="20"/>
          <w:color w:val="auto"/>
        </w:rPr>
      </w:pPr>
    </w:p>
    <w:p>
      <w:pPr>
        <w:ind w:left="660" w:right="20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expenses were 47.9% of revenue, a decrease from 48.8% in the prior-year period, driven by increased rental volumes and higher pricing.</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25.1% of revenue from 24.7% in first nine months of 2014 compared to 2013, due to higher per-unit fleet costs.</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10.8% of revenue from 11.5% in the prior-year period, principally due to lower marketing expenses.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interest costs, at 3.9% of revenue, remained level compared to the prior-year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9"/>
        </w:trPr>
        <w:tc>
          <w:tcPr>
            <w:tcW w:w="74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DDDDDD"/>
          </w:tcPr>
          <w:p>
            <w:pPr>
              <w:spacing w:after="0"/>
              <w:rPr>
                <w:sz w:val="21"/>
                <w:szCs w:val="21"/>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r>
      <w:tr>
        <w:trPr>
          <w:trHeight w:val="284"/>
        </w:trPr>
        <w:tc>
          <w:tcPr>
            <w:tcW w:w="74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r>
    </w:tbl>
    <w:p>
      <w:pPr>
        <w:spacing w:after="0" w:line="2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Revenues increased 6% during the nine months ended September 30, 2014 compared with the same period in 2013, primarily due to an 11% increase in ancillary revenues and a $26 million positive impact on revenues from currency exchange rate changes.</w:t>
      </w:r>
    </w:p>
    <w:p>
      <w:pPr>
        <w:spacing w:after="0" w:line="196"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Adjusted EBITDA increased 4% in the nine months ended September 30, 2014 compared to the same period in 2013, driven by increased revenue, partially offset by a $9 million negative impact from currency exchange rate changes.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2014:</w:t>
      </w:r>
    </w:p>
    <w:p>
      <w:pPr>
        <w:spacing w:after="0" w:line="225" w:lineRule="exact"/>
        <w:rPr>
          <w:sz w:val="20"/>
          <w:szCs w:val="20"/>
          <w:color w:val="auto"/>
        </w:rPr>
      </w:pPr>
    </w:p>
    <w:p>
      <w:pPr>
        <w:ind w:left="660" w:right="56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expenses were 51.4% of revenue, a decrease from 51.9% in the prior-year period, primarily due to increased ancillary revenues.</w:t>
      </w:r>
    </w:p>
    <w:p>
      <w:pPr>
        <w:spacing w:after="0" w:line="196"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19.9% of revenue from 20.6% compared to the prior year period, driven by increased ancillary revenues.</w:t>
      </w:r>
    </w:p>
    <w:p>
      <w:pPr>
        <w:spacing w:after="0" w:line="196" w:lineRule="exact"/>
        <w:rPr>
          <w:rFonts w:ascii="Arial" w:cs="Arial" w:eastAsia="Arial" w:hAnsi="Arial"/>
          <w:sz w:val="18"/>
          <w:szCs w:val="18"/>
          <w:color w:val="auto"/>
        </w:rPr>
      </w:pPr>
    </w:p>
    <w:p>
      <w:pPr>
        <w:ind w:left="660" w:right="58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15.2% of revenue from 14.0% in the prior-year period, primarily due to our planned increase in spending for advertising and brand investment.</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interest costs, at 1.9% of revenue, remained level compared to the prior-year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Truck Rental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40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r>
      <w:tr>
        <w:trPr>
          <w:trHeight w:val="284"/>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r>
    </w:tbl>
    <w:p>
      <w:pPr>
        <w:spacing w:after="0" w:line="2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Revenues declined $8 million due to a 5% decrease in total rental days, as our rental fleet was 11% smaller in 2014, partially offset by a 3% increase in pricing.</w:t>
      </w:r>
    </w:p>
    <w:p>
      <w:pPr>
        <w:spacing w:after="0" w:line="1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Adjusted EBITDA decreased $2 million in the nine months ended September 30, 2014 compared with the same period in 2013, principally due to increased per-unit fleet costs associated with newly acquired rental fleet, partially offset by lower maintenance costs.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2"/>
        </w:trPr>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6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12,565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10,452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2,113</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9,793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1,926</w:t>
            </w:r>
          </w:p>
        </w:tc>
      </w:tr>
      <w:tr>
        <w:trPr>
          <w:trHeight w:val="270"/>
        </w:trPr>
        <w:tc>
          <w:tcPr>
            <w:tcW w:w="61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2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Total assets exclusive of assets under vehicle programs decreased primarily due to a $257 million decrease in deferred income taxes primarily related to the utilization of net operating losses, partially offset by a $ 135 million increase in other current assets, largely related to a seasonal increase in value-added tax receivables, which are recoverable from government agencies.</w:t>
      </w:r>
    </w:p>
    <w:p>
      <w:pPr>
        <w:spacing w:after="0" w:line="20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Total liabilities exclusive of liabilities under vehicle programs increased primarily due to a seasonal increase in accounts payable as well as value-added tax payables.</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increase in assets under vehicle programs and liabilities under vehicle programs are principally related to the seasonal increase in the size of our vehicle rental fleet and associated funding.</w:t>
      </w:r>
    </w:p>
    <w:p>
      <w:pPr>
        <w:spacing w:after="0" w:line="1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decrease in stockholders’ equity is primarily due to repurchases of our common stock and currency translation adjustments, offset by $222 million of net income for the nine months ended September 30,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nine months ended September 30, 2014, we issued €200 million (approximately $275 million) of additional 6% Euro-denominated Senior Notes due 2021 at 106.75% of their face value, for aggregate proceeds of approximately $295 million. In May 2014, we issued $400 million of 5⅛% Senior Notes due 2022 at par. The proceeds from these borrowings were used to repurchase the entire $687 million principal amount of our 8¼% Senior Notes due 2019 for $737 million plus accrued interest. In addition, we repurchased approximately 4.0 million shares of our outstanding common stock during the nine months ended September 30, 2014, and increased our borrowings under vehicle programs to fund the seasonal increase in our rental fleet.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CASH FLOWS</w:t>
            </w:r>
          </w:p>
        </w:tc>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1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Nine Months Ended September 30,</w:t>
            </w:r>
          </w:p>
        </w:tc>
      </w:tr>
      <w:tr>
        <w:trPr>
          <w:trHeight w:val="264"/>
        </w:trPr>
        <w:tc>
          <w:tcPr>
            <w:tcW w:w="140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0"/>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0"/>
        </w:trPr>
        <w:tc>
          <w:tcPr>
            <w:tcW w:w="674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w:t>
            </w:r>
          </w:p>
        </w:tc>
      </w:tr>
      <w:tr>
        <w:trPr>
          <w:trHeight w:val="25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r>
      <w:tr>
        <w:trPr>
          <w:trHeight w:val="20"/>
        </w:trPr>
        <w:tc>
          <w:tcPr>
            <w:tcW w:w="1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During the nine months ended September 30, 2014, we generated $324 million more cash from operating activities compared with the same period in 2013 principally reflecting the increase in our net earnings.</w:t>
      </w:r>
    </w:p>
    <w:p>
      <w:pPr>
        <w:spacing w:after="0" w:line="1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increase in cash used in investing activities during the nine months ended September 30, 2014 compared with the same period in 2013 is primarily due to an increase in vehicle purchases and the acquisition of our Budget licensee in Edmonton during 2014, partially offset by the acquisition of Zipcar in 2013.</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increase in cash provided by financing activities during the nine months ended September 30, 2014 compared with the same period in 2013 is primarily due to increased borrowings under vehicle programs to fund vehicle purchases in 2014, partially offset by increased corporate borrowings to fund the purchase of Zipcar in 2013 and the repurchase of common stock in 2014 with cash provided by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September 30, 2014, we had approximately $12.8 billion of indebtedness, including corporate indebtedness of approximately $3.3 billion and debt under vehicle programs of approximately $9.5 billion.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55"/>
        </w:trPr>
        <w:tc>
          <w:tcPr>
            <w:tcW w:w="64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13"/>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3½% Convertible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2014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4⅞%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16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8¼%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2019</w:t>
            </w:r>
          </w:p>
        </w:tc>
        <w:tc>
          <w:tcPr>
            <w:tcW w:w="16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16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9¾%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2020</w:t>
            </w: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6% Euro-denominated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2022</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83"/>
        </w:trPr>
        <w:tc>
          <w:tcPr>
            <w:tcW w:w="6400" w:type="dxa"/>
            <w:vAlign w:val="bottom"/>
          </w:tcPr>
          <w:p>
            <w:pPr>
              <w:ind w:left="40"/>
              <w:spacing w:after="0"/>
              <w:rPr>
                <w:sz w:val="20"/>
                <w:szCs w:val="20"/>
                <w:color w:val="auto"/>
              </w:rPr>
            </w:pPr>
            <w:r>
              <w:rPr>
                <w:rFonts w:ascii="Arial" w:cs="Arial" w:eastAsia="Arial" w:hAnsi="Arial"/>
                <w:sz w:val="16"/>
                <w:szCs w:val="16"/>
                <w:color w:val="auto"/>
              </w:rPr>
              <w:t>Other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As of September 30, 2014, the 3½% convertible notes are convertible by the holders into approximately 4.0 million shares of the Company’s common stock.</w:t>
      </w:r>
    </w:p>
    <w:p>
      <w:pPr>
        <w:ind w:left="340" w:right="140" w:hanging="332"/>
        <w:spacing w:after="0" w:line="211"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2.98% at September 30, 2014; the Company has entered into an interest rate swap to hedge its interest rate exposure related to these notes at an aggregate rate of 3.58%.</w:t>
      </w:r>
    </w:p>
    <w:p>
      <w:pPr>
        <w:ind w:left="340" w:right="80" w:hanging="332"/>
        <w:spacing w:after="0" w:line="229"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2014, the floating term rate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08"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0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North America - Debt due to Avis Budget Rental Car Funding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6,983</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5,656</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North America - Canadian borrowings </w:t>
            </w:r>
            <w:r>
              <w:rPr>
                <w:rFonts w:ascii="Arial" w:cs="Arial" w:eastAsia="Arial" w:hAnsi="Arial"/>
                <w:sz w:val="21"/>
                <w:szCs w:val="21"/>
                <w:color w:val="auto"/>
                <w:vertAlign w:val="superscript"/>
              </w:rPr>
              <w:t>(a)( b)</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75"/>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Truck Rental - Debt borrowings </w:t>
            </w:r>
            <w:r>
              <w:rPr>
                <w:rFonts w:ascii="Arial" w:cs="Arial" w:eastAsia="Arial" w:hAnsi="Arial"/>
                <w:sz w:val="21"/>
                <w:szCs w:val="21"/>
                <w:color w:val="auto"/>
                <w:vertAlign w:val="superscript"/>
              </w:rPr>
              <w:t>(c)</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a seasonal increase in the Company’s car rental fleet.</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increase includes additional borrowings to fund an increase in the Company’s fleet driven by the acquisition of its Budget licensee for Edmonton.</w:t>
      </w:r>
    </w:p>
    <w:p>
      <w:pPr>
        <w:ind w:left="340" w:hanging="332"/>
        <w:spacing w:after="0" w:line="199"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to acquire rental fleet.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the committed corporate credit facilities available to us and/or our subsidiaries included: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6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5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866</w:t>
            </w:r>
          </w:p>
        </w:tc>
      </w:tr>
      <w:tr>
        <w:trPr>
          <w:trHeight w:val="221"/>
        </w:trPr>
        <w:tc>
          <w:tcPr>
            <w:tcW w:w="5160" w:type="dxa"/>
            <w:vAlign w:val="bottom"/>
          </w:tcPr>
          <w:p>
            <w:pPr>
              <w:ind w:left="4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187"/>
        </w:trPr>
        <w:tc>
          <w:tcPr>
            <w:tcW w:w="5160" w:type="dxa"/>
            <w:vAlign w:val="bottom"/>
          </w:tcPr>
          <w:p>
            <w:pPr>
              <w:jc w:val="right"/>
              <w:ind w:right="4179"/>
              <w:spacing w:after="0"/>
              <w:rPr>
                <w:sz w:val="20"/>
                <w:szCs w:val="20"/>
                <w:color w:val="auto"/>
              </w:rPr>
            </w:pPr>
            <w:r>
              <w:rPr>
                <w:rFonts w:ascii="Arial" w:cs="Arial" w:eastAsia="Arial" w:hAnsi="Arial"/>
                <w:sz w:val="16"/>
                <w:szCs w:val="16"/>
                <w:color w:val="auto"/>
                <w:w w:val="98"/>
              </w:rPr>
              <w:t>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5" w:lineRule="exact"/>
        <w:rPr>
          <w:sz w:val="20"/>
          <w:szCs w:val="20"/>
          <w:color w:val="auto"/>
        </w:rPr>
      </w:pPr>
    </w:p>
    <w:p>
      <w:pPr>
        <w:ind w:left="340" w:right="140" w:hanging="332"/>
        <w:spacing w:after="0" w:line="211"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99"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4.50% to 5.77% as of September 30, 2014.</w:t>
      </w:r>
    </w:p>
    <w:p>
      <w:pPr>
        <w:spacing w:after="0" w:line="20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At September 30, 2014, the Company had various uncommitted credit facilities available, under which it had drawn approximately $2 million, which bear interest at rates between 0.35% and 2.50%.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September 30, 2014: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4"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301"/>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North America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8,793</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6,983</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North America - Canadian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Truck Rental - Debt borrowings </w:t>
            </w:r>
            <w:r>
              <w:rPr>
                <w:rFonts w:ascii="Arial" w:cs="Arial" w:eastAsia="Arial" w:hAnsi="Arial"/>
                <w:sz w:val="21"/>
                <w:szCs w:val="21"/>
                <w:color w:val="auto"/>
                <w:vertAlign w:val="superscript"/>
              </w:rPr>
              <w:t>(f)</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12,205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9,500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$8.7 billion of underlying vehicles and related assets.</w:t>
      </w:r>
    </w:p>
    <w:p>
      <w:pPr>
        <w:ind w:left="340" w:hanging="332"/>
        <w:spacing w:after="0" w:line="187"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$810 million of underlying vehicles and related assets.</w:t>
      </w:r>
    </w:p>
    <w:p>
      <w:pPr>
        <w:ind w:left="340" w:hanging="332"/>
        <w:spacing w:after="0" w:line="187"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$1.7 billion of underlying vehicles and related assets.</w:t>
      </w:r>
    </w:p>
    <w:p>
      <w:pPr>
        <w:ind w:left="340" w:hanging="332"/>
        <w:spacing w:after="0" w:line="187"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$409 million of underlying vehicles and related assets.</w:t>
      </w:r>
    </w:p>
    <w:p>
      <w:pPr>
        <w:ind w:left="340" w:hanging="332"/>
        <w:spacing w:after="0" w:line="199"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$359 million of underlying vehicles and related assets.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6"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As discussed above, as of September 30, 2014, we have cash and cash equivalents of $713 million, available borrowing capacity under our committed credit facilities of $866 million and available capacity under our vehicle programs of approximately $2.7 billion. During the nine months ended September 30, 2014, we repurchased the entire $687 million principal amount of our 8¼% Senior Notes for $737 million plus accrued interest and obtained Board approval to expand our original $200 million share repurchase authorization by $235 million. In October 2014, the Board authorized an additional increase to our share repurchase program of $200 million. We intend to fund share repurchases under the program with our cash flow from operations.</w:t>
      </w:r>
    </w:p>
    <w:p>
      <w:pPr>
        <w:spacing w:after="0" w:line="20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w:t>
      </w:r>
    </w:p>
    <w:p>
      <w:pPr>
        <w:spacing w:after="0" w:line="9" w:lineRule="exact"/>
        <w:rPr>
          <w:rFonts w:ascii="Arial" w:cs="Arial" w:eastAsia="Arial" w:hAnsi="Arial"/>
          <w:sz w:val="18"/>
          <w:szCs w:val="18"/>
          <w:color w:val="auto"/>
        </w:rPr>
      </w:pPr>
    </w:p>
    <w:p>
      <w:pPr>
        <w:ind w:right="300"/>
        <w:spacing w:after="0" w:line="254" w:lineRule="auto"/>
        <w:rPr>
          <w:rFonts w:ascii="Arial" w:cs="Arial" w:eastAsia="Arial" w:hAnsi="Arial"/>
          <w:sz w:val="18"/>
          <w:szCs w:val="18"/>
          <w:color w:val="auto"/>
        </w:rPr>
      </w:pPr>
      <w:r>
        <w:rPr>
          <w:rFonts w:ascii="Arial" w:cs="Arial" w:eastAsia="Arial" w:hAnsi="Arial"/>
          <w:sz w:val="18"/>
          <w:szCs w:val="18"/>
          <w:color w:val="auto"/>
        </w:rPr>
        <w:t>increased collateral needs under, our financings, (iii) the adverse impact of vehicle manufacturers, including General Motors, Ford, Chrysler, Peugeot, Volkswagen, Kia, Fiat, Mercedes, BMW, Volvo and Toyota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September 30, 2014, we were in compliance with the financial covenants governing our indebtedness. For additional information regarding our liquidity risks, see Part I, Item 1A, “Risk Factors” of our 2013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2013 Form 10-K and our Current Report on Form 8-K filed May 12, 2014 with the exception of our commitment to purchase vehicles, which decreased by approximately $1.8 billion from December 31, 2013, to approximately $4.6 billion at September 30, 2014. Changes to our obligations related to corporate indebtedness and debt under vehicle programs are presented above within the section titled “Liquidity and Capital Resources—Debt and Financing Arrangements” and also within Notes 9 and 10 to our Consolidated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2013 Form 10-K and our Current Report on Form 8-K filed May 12, 2014 are the accounting policies (related to goodwill and other indefinite-lived intangible assets, business combinations, vehicles, income taxes and public liability, property damage and other insurance liabilities) that we believe require subjective and/or complex judgments that could potentially affect 2014 reported results. There have been no significant changes to those accounting policies or our assessment of which accounting policies we would consider to be critical accounting policies.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manage our exposure to market risks through our regular operating and financing activities and, when deemed appropriate, through the use of derivative financial instruments, particularly swap contracts, futures and options contracts, to manage and reduce the interest rate risk related to our debt; foreign currency forward contracts to manage and reduce currency exchange-rate risk; and derivative commodity instruments to manage and reduce the risk of changing unleaded gasoline prices.</w:t>
      </w:r>
    </w:p>
    <w:p>
      <w:pPr>
        <w:spacing w:after="0" w:line="20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20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presented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long-term borrowings and financial instruments, see Notes 9, 10 and 14 to our Consolidated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currency exchange rate exposure to exchange rate fluctuations worldwide and particularly with respect to the Australian, Canadian and New Zealand dollars, the Euro and the British pound sterling. We use currency forward contracts and currency swaps to manage exchange rate risk that arises from certain intercompany transactions, and from non-functional currency denominated assets and liabilities and earnings denominated in non-U.S. dollar currencies. Our foreign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20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Based on our currency forward contracts as of September 30, 2014, we estimate that a 10% change in currency exchange rates would not have a material impact on our earnings. Because gains or losses related to currency forward contracts are expected to be offset by corresponding gains or losses on the underlying exposures being hedged, when combined, these currency forward contracts and the underlying exposures do not create a material impact to our results of operations, balance sheet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primary interest rate exposure at September 30, 2014, is interest rate fluctuations in the United States, specifically LIBOR and commercial paper interest rates due to their impact on variable rate borrowings and other interest rate sensitive liabilities. We use interest rate swaps and caps to manage our exposure to interest rate movements. We anticipate that LIBOR and commercial paper rates will remain a primary market risk exposure for the foreseeable future.</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derivatives as of September 30, 2014, we estimate that a 10% change in interest rates would not have a material impact on our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to our results of operations, balance sheet or liquidity.</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40"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2014.</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period ended September 30, 2014.</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quarter ended September 30, 2014, the Company had no material developments to report with respect to its legal proceedings. For additional information regarding the Company’s legal proceedings, please refer to the Company’s 2013 Annual Report on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Avis Budget Group’s common stock repurchases by month for the quarter ended September 30,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July 1-31, 2014</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368,781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59.65</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368,781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212,556,700</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August 1-31, 2014</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92,031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64.11</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92,031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206,656,940</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September 1-30, 2014</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522,697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62.36</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522,697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174,061,554</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983,509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61.51</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983,509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174,061,554</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right="100" w:hanging="332"/>
        <w:spacing w:after="0" w:line="234" w:lineRule="auto"/>
        <w:tabs>
          <w:tab w:leader="none" w:pos="340" w:val="left"/>
        </w:tabs>
        <w:numPr>
          <w:ilvl w:val="0"/>
          <w:numId w:val="57"/>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September 30, 2014, 2,850 shares which were withheld by the Company to satisfy employees</w:t>
      </w:r>
      <w:r>
        <w:rPr>
          <w:rFonts w:ascii="Arial" w:cs="Arial" w:eastAsia="Arial" w:hAnsi="Arial"/>
          <w:sz w:val="18"/>
          <w:szCs w:val="18"/>
          <w:color w:val="auto"/>
        </w:rPr>
        <w:t>’</w:t>
      </w:r>
      <w:r>
        <w:rPr>
          <w:rFonts w:ascii="Arial" w:cs="Arial" w:eastAsia="Arial" w:hAnsi="Arial"/>
          <w:sz w:val="16"/>
          <w:szCs w:val="16"/>
          <w:color w:val="auto"/>
        </w:rPr>
        <w:t xml:space="preserve"> income tax liabilities attributable to the vesting of restricted stock unit awards.</w:t>
      </w:r>
    </w:p>
    <w:p>
      <w:pPr>
        <w:spacing w:after="0" w:line="22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62626"/>
        </w:rPr>
        <w:t>In August 2013, the Company obtained Board approval to repurchase up to $200 million of its common stock. In April 2014 and October 2014, the Company obtained Board approval to increase the share repurchase program by $235 million and $200 million, respectively.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2014</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Executive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30, 2014</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240" w:top="140" w:right="5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0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Indenture dated as of May 16, 2014 among Avis Budget Car Rental, LLC and Avis Budget Finance, Inc., as Issuers, the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Guarantors from time to time parties thereto and Deutsche Bank Trust Company Americas as Trustee (incorporated by</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reference to Exhibit 4.1 to the Company’s Current Report on Form 8-K dated May 19, 2014).</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w w:val="99"/>
              </w:rPr>
              <w:t>Form of 5.125% Senior Notes Due 2022 (incorporated by reference to Exhibit 4.2 to the Company’s Current Report on Form 8-</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K dated May 19, 2014).</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w w:val="99"/>
              </w:rPr>
              <w:t>Purchase Agreement, dated as of May 13, 2014, by and among Avis Budget Car Rental, LLC and Avis Budget Finance, Inc. as</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issuers, Avis Budget Group, Inc. and certain of its subsidiaries as guarantors, Morgan Stanley &amp; Co. LLC for itself and on</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behalf of the several initial purchasers (incorporated by reference to Exhibit 10.1 the Company’s Current Report on Form 8-K</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dated May 19, 2014).</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Series 2014-2 Supplement, dated as of July 24, 2014, between Avis Budget Rental Car Funding (AESOP) LLC and The Bank</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of New York Mellon Trust Company, N.A., as trustee and as Series 2014-2 Agent (incorporated by reference to Exhibit 10.1 the</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Company’s Current Report on Form 8-K dated July 24, 2014).</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Third Amended and Restated Credit Agreement, dated as of October 3, 2014, among Avis Budget Holdings, LLC, Avis Budget</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Car Rental, LLC, Avis Budget Group, Inc., the Subsidiary Borrowers from time to time parties there, the several banks and</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other financial institutions or entities from time to time parties thereto, JPMorgan Chase Bank, N.A., as Administrative Agent,</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Deutsche Bank Securities Inc., as Syndication Agent, Citicorp USA, Inc., Bank of America, N.A., Barclays Bank plc, Credit</w:t>
            </w:r>
          </w:p>
        </w:tc>
      </w:tr>
      <w:tr>
        <w:trPr>
          <w:trHeight w:val="189"/>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300" w:type="dxa"/>
            <w:vAlign w:val="bottom"/>
            <w:gridSpan w:val="3"/>
          </w:tcPr>
          <w:p>
            <w:pPr>
              <w:ind w:left="220"/>
              <w:spacing w:after="0" w:line="189" w:lineRule="exact"/>
              <w:rPr>
                <w:sz w:val="20"/>
                <w:szCs w:val="20"/>
                <w:color w:val="auto"/>
              </w:rPr>
            </w:pPr>
            <w:r>
              <w:rPr>
                <w:rFonts w:ascii="Arial" w:cs="Arial" w:eastAsia="Arial" w:hAnsi="Arial"/>
                <w:sz w:val="18"/>
                <w:szCs w:val="18"/>
                <w:color w:val="auto"/>
              </w:rPr>
              <w:t>Agricole Corporate and Investment Bank, and The Royal Bank of Scotland plc, as Co-Documentation Agents (incorporated by</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reference to Exhibit 10.1 the Company’s Current Report on Form 8-K dated October 6, 2014).</w:t>
            </w: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Second Amendment to the Guarantee and Collateral Agreement, dated as of October 3, 2014, among Avis Budget Holdings,</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LLC, Avis Budget Car Rental, LLC, certain Subsidiaries of the Borrower from time to time parties there, in favor or JPMorgan</w:t>
            </w:r>
          </w:p>
        </w:tc>
      </w:tr>
      <w:tr>
        <w:trPr>
          <w:trHeight w:val="189"/>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300" w:type="dxa"/>
            <w:vAlign w:val="bottom"/>
            <w:gridSpan w:val="3"/>
          </w:tcPr>
          <w:p>
            <w:pPr>
              <w:ind w:left="220"/>
              <w:spacing w:after="0" w:line="189" w:lineRule="exact"/>
              <w:rPr>
                <w:sz w:val="20"/>
                <w:szCs w:val="20"/>
                <w:color w:val="auto"/>
              </w:rPr>
            </w:pPr>
            <w:r>
              <w:rPr>
                <w:rFonts w:ascii="Arial" w:cs="Arial" w:eastAsia="Arial" w:hAnsi="Arial"/>
                <w:sz w:val="18"/>
                <w:szCs w:val="18"/>
                <w:color w:val="auto"/>
              </w:rPr>
              <w:t>Chase Bank, N.A., as Administrative Agent (incorporated by reference to Exhibit 10.2 the Company’s Current Report on Form</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8-K dated October 6, 2014).</w:t>
            </w: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Avis Budget Car Rental 2015 Model Year Program Letter dated September 30, 2014 between Avis Budget Car Rental, LLC</w:t>
            </w:r>
          </w:p>
        </w:tc>
      </w:tr>
      <w:tr>
        <w:trPr>
          <w:trHeight w:val="189"/>
        </w:trPr>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300" w:type="dxa"/>
            <w:vAlign w:val="bottom"/>
            <w:gridSpan w:val="3"/>
          </w:tcPr>
          <w:p>
            <w:pPr>
              <w:ind w:left="220"/>
              <w:spacing w:after="0" w:line="189" w:lineRule="exact"/>
              <w:rPr>
                <w:sz w:val="20"/>
                <w:szCs w:val="20"/>
                <w:color w:val="auto"/>
              </w:rPr>
            </w:pPr>
            <w:r>
              <w:rPr>
                <w:rFonts w:ascii="Arial" w:cs="Arial" w:eastAsia="Arial" w:hAnsi="Arial"/>
                <w:sz w:val="18"/>
                <w:szCs w:val="18"/>
                <w:color w:val="auto"/>
              </w:rPr>
              <w:t>and Ford Motor Company (incorporated by reference to Exhibit 10.3 the Company’s Current Report on Form 8-K dated</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October 6, 2014).*</w:t>
            </w:r>
          </w:p>
        </w:tc>
      </w:tr>
      <w:tr>
        <w:trPr>
          <w:trHeight w:val="473"/>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67" w:lineRule="exact"/>
        <w:rPr>
          <w:sz w:val="20"/>
          <w:szCs w:val="20"/>
          <w:color w:val="auto"/>
        </w:rPr>
      </w:pPr>
    </w:p>
    <w:p>
      <w:pPr>
        <w:ind w:left="40" w:right="260"/>
        <w:spacing w:after="0" w:line="260" w:lineRule="auto"/>
        <w:rPr>
          <w:sz w:val="20"/>
          <w:szCs w:val="20"/>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40" w:right="2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60"/>
              <w:spacing w:after="0"/>
              <w:rPr>
                <w:sz w:val="20"/>
                <w:szCs w:val="20"/>
                <w:color w:val="auto"/>
              </w:rPr>
            </w:pPr>
            <w:r>
              <w:rPr>
                <w:rFonts w:ascii="Arial" w:cs="Arial" w:eastAsia="Arial" w:hAnsi="Arial"/>
                <w:sz w:val="18"/>
                <w:szCs w:val="18"/>
                <w:color w:val="auto"/>
              </w:rPr>
              <w:t>Income from continuing operations before income taxes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3"/>
                <w:szCs w:val="23"/>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7"/>
        </w:trPr>
        <w:tc>
          <w:tcPr>
            <w:tcW w:w="828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7"/>
        </w:trPr>
        <w:tc>
          <w:tcPr>
            <w:tcW w:w="828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Ratio of earnings to fixed charges</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1.71x</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1.23x</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540" w:right="1140" w:hanging="168"/>
        <w:spacing w:after="0" w:line="451" w:lineRule="auto"/>
        <w:tabs>
          <w:tab w:leader="none" w:pos="1540" w:val="left"/>
        </w:tabs>
        <w:numPr>
          <w:ilvl w:val="0"/>
          <w:numId w:val="58"/>
        </w:numPr>
        <w:rPr>
          <w:rFonts w:ascii="Arial" w:cs="Arial" w:eastAsia="Arial" w:hAnsi="Arial"/>
          <w:sz w:val="19"/>
          <w:szCs w:val="19"/>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2"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57"/>
        </w:trPr>
        <w:tc>
          <w:tcPr>
            <w:tcW w:w="80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37"/>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202</w:t>
            </w:r>
          </w:p>
        </w:tc>
      </w:tr>
      <w:tr>
        <w:trPr>
          <w:trHeight w:val="283"/>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w:t>
            </w:r>
          </w:p>
        </w:tc>
      </w:tr>
      <w:tr>
        <w:trPr>
          <w:trHeight w:val="237"/>
        </w:trPr>
        <w:tc>
          <w:tcPr>
            <w:tcW w:w="8020" w:type="dxa"/>
            <w:vAlign w:val="bottom"/>
          </w:tcPr>
          <w:p>
            <w:pPr>
              <w:spacing w:after="0"/>
              <w:rPr>
                <w:sz w:val="20"/>
                <w:szCs w:val="20"/>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502</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Ronald L. Nelson, certify that:</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14605</wp:posOffset>
            </wp:positionV>
            <wp:extent cx="1903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3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3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Senior Executive Vice President and</w:t>
      </w:r>
    </w:p>
    <w:p>
      <w:pPr>
        <w:jc w:val="cente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2014,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2014</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lvl w:ilvl="1">
      <w:lvlJc w:val="left"/>
      <w:lvlText w:val="•"/>
      <w:numFmt w:val="bullet"/>
      <w:start w:val="1"/>
    </w:lvl>
  </w:abstractNum>
  <w:abstractNum w:abstractNumId="3">
    <w:nsid w:val="22221A70"/>
    <w:multiLevelType w:val="hybridMultilevel"/>
    <w:lvl w:ilvl="0">
      <w:lvlJc w:val="left"/>
      <w:lvlText w:val="%1."/>
      <w:numFmt w:val="decimal"/>
      <w:start w:val="2"/>
    </w:lvl>
  </w:abstractNum>
  <w:abstractNum w:abstractNumId="4">
    <w:nsid w:val="4516DDE9"/>
    <w:multiLevelType w:val="hybridMultilevel"/>
    <w:lvl w:ilvl="0">
      <w:lvlJc w:val="left"/>
      <w:lvlText w:val="%1."/>
      <w:numFmt w:val="decimal"/>
      <w:start w:val="3"/>
    </w:lvl>
  </w:abstractNum>
  <w:abstractNum w:abstractNumId="5">
    <w:nsid w:val="3006C83E"/>
    <w:multiLevelType w:val="hybridMultilevel"/>
    <w:lvl w:ilvl="0">
      <w:lvlJc w:val="left"/>
      <w:lvlText w:val="%1"/>
      <w:numFmt w:val="decimal"/>
      <w:start w:val="1"/>
    </w:lvl>
    <w:lvl w:ilvl="1">
      <w:lvlJc w:val="left"/>
      <w:lvlText w:val="(%2)"/>
      <w:numFmt w:val="lowerLetter"/>
      <w:start w:val="1"/>
    </w:lvl>
  </w:abstractNum>
  <w:abstractNum w:abstractNumId="6">
    <w:nsid w:val="614FD4A1"/>
    <w:multiLevelType w:val="hybridMultilevel"/>
    <w:lvl w:ilvl="0">
      <w:lvlJc w:val="left"/>
      <w:lvlText w:val="%1."/>
      <w:numFmt w:val="decimal"/>
      <w:start w:val="4"/>
    </w:lvl>
    <w:lvl w:ilvl="1">
      <w:lvlJc w:val="left"/>
      <w:lvlText w:val="%2"/>
      <w:numFmt w:val="lowerLetter"/>
      <w:start w:val="1"/>
    </w:lvl>
  </w:abstractNum>
  <w:abstractNum w:abstractNumId="7">
    <w:nsid w:val="419AC241"/>
    <w:multiLevelType w:val="hybridMultilevel"/>
    <w:lvl w:ilvl="0">
      <w:lvlJc w:val="left"/>
      <w:lvlText w:val="%1."/>
      <w:numFmt w:val="decimal"/>
      <w:start w:val="5"/>
    </w:lvl>
  </w:abstractNum>
  <w:abstractNum w:abstractNumId="8">
    <w:nsid w:val="5577F8E1"/>
    <w:multiLevelType w:val="hybridMultilevel"/>
    <w:lvl w:ilvl="0">
      <w:lvlJc w:val="left"/>
      <w:lvlText w:val="%1."/>
      <w:numFmt w:val="decimal"/>
      <w:start w:val="6"/>
    </w:lvl>
  </w:abstractNum>
  <w:abstractNum w:abstractNumId="9">
    <w:nsid w:val="440BADFC"/>
    <w:multiLevelType w:val="hybridMultilevel"/>
    <w:lvl w:ilvl="0">
      <w:lvlJc w:val="left"/>
      <w:lvlText w:val="(%1)"/>
      <w:numFmt w:val="lowerLetter"/>
      <w:start w:val="1"/>
    </w:lvl>
  </w:abstractNum>
  <w:abstractNum w:abstractNumId="10">
    <w:nsid w:val="5072367"/>
    <w:multiLevelType w:val="hybridMultilevel"/>
    <w:lvl w:ilvl="0">
      <w:lvlJc w:val="left"/>
      <w:lvlText w:val="%1."/>
      <w:numFmt w:val="decimal"/>
      <w:start w:val="7"/>
    </w:lvl>
  </w:abstractNum>
  <w:abstractNum w:abstractNumId="11">
    <w:nsid w:val="3804823E"/>
    <w:multiLevelType w:val="hybridMultilevel"/>
    <w:lvl w:ilvl="0">
      <w:lvlJc w:val="left"/>
      <w:lvlText w:val="%1"/>
      <w:numFmt w:val="decimal"/>
      <w:start w:val="127"/>
    </w:lvl>
    <w:lvl w:ilvl="1">
      <w:lvlJc w:val="left"/>
      <w:lvlText w:val="(%2)"/>
      <w:numFmt w:val="decimal"/>
      <w:start w:val="12"/>
    </w:lvl>
  </w:abstractNum>
  <w:abstractNum w:abstractNumId="12">
    <w:nsid w:val="77465F01"/>
    <w:multiLevelType w:val="hybridMultilevel"/>
    <w:lvl w:ilvl="0">
      <w:lvlJc w:val="left"/>
      <w:lvlText w:val="%1."/>
      <w:numFmt w:val="decimal"/>
      <w:start w:val="8"/>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decimal"/>
      <w:start w:val="10"/>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1"/>
    </w:lvl>
  </w:abstractNum>
  <w:abstractNum w:abstractNumId="22">
    <w:nsid w:val="70A64E2A"/>
    <w:multiLevelType w:val="hybridMultilevel"/>
    <w:lvl w:ilvl="0">
      <w:lvlJc w:val="left"/>
      <w:lvlText w:val="%1."/>
      <w:numFmt w:val="decimal"/>
      <w:start w:val="12"/>
    </w:lvl>
  </w:abstractNum>
  <w:abstractNum w:abstractNumId="23">
    <w:nsid w:val="6A2342EC"/>
    <w:multiLevelType w:val="hybridMultilevel"/>
    <w:lvl w:ilvl="0">
      <w:lvlJc w:val="left"/>
      <w:lvlText w:val="(%1)"/>
      <w:numFmt w:val="lowerLetter"/>
      <w:start w:val="1"/>
    </w:lvl>
  </w:abstractNum>
  <w:abstractNum w:abstractNumId="24">
    <w:nsid w:val="2A487CB0"/>
    <w:multiLevelType w:val="hybridMultilevel"/>
    <w:lvl w:ilvl="0">
      <w:lvlJc w:val="left"/>
      <w:lvlText w:val="%1."/>
      <w:numFmt w:val="decimal"/>
      <w:start w:val="13"/>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decimal"/>
      <w:start w:val="1"/>
    </w:lvl>
    <w:lvl w:ilvl="1">
      <w:lvlJc w:val="left"/>
      <w:lvlText w:val="(%2)"/>
      <w:numFmt w:val="lowerLetter"/>
      <w:start w:val="1"/>
    </w:lvl>
  </w:abstractNum>
  <w:abstractNum w:abstractNumId="27">
    <w:nsid w:val="2CD89A32"/>
    <w:multiLevelType w:val="hybridMultilevel"/>
    <w:lvl w:ilvl="0">
      <w:lvlJc w:val="left"/>
      <w:lvlText w:val="%1."/>
      <w:numFmt w:val="decimal"/>
      <w:start w:val="14"/>
    </w:lvl>
    <w:lvl w:ilvl="1">
      <w:lvlJc w:val="left"/>
      <w:lvlText w:val="%2"/>
      <w:numFmt w:val="lowerLetter"/>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decimal"/>
      <w:start w:val="1"/>
    </w:lvl>
    <w:lvl w:ilvl="1">
      <w:lvlJc w:val="left"/>
      <w:lvlText w:val="(%2)"/>
      <w:numFmt w:val="lowerLetter"/>
      <w:start w:val="1"/>
    </w:lvl>
  </w:abstractNum>
  <w:abstractNum w:abstractNumId="32">
    <w:nsid w:val="6DE91B18"/>
    <w:multiLevelType w:val="hybridMultilevel"/>
    <w:lvl w:ilvl="0">
      <w:lvlJc w:val="left"/>
      <w:lvlText w:val="%1."/>
      <w:numFmt w:val="decimal"/>
      <w:start w:val="15"/>
    </w:lvl>
    <w:lvl w:ilvl="1">
      <w:lvlJc w:val="left"/>
      <w:lvlText w:val="%2"/>
      <w:numFmt w:val="lowerLetter"/>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3"/>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decimal"/>
      <w:start w:val="16"/>
    </w:lvl>
  </w:abstractNum>
  <w:abstractNum w:abstractNumId="37">
    <w:nsid w:val="579478FE"/>
    <w:multiLevelType w:val="hybridMultilevel"/>
    <w:lvl w:ilvl="0">
      <w:lvlJc w:val="left"/>
      <w:lvlText w:val="%1."/>
      <w:numFmt w:val="decimal"/>
      <w:start w:val="17"/>
    </w:lvl>
    <w:lvl w:ilvl="1">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Roman"/>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2019-12-05T20:26:31Z</dcterms:created>
  <dcterms:modified xsi:type="dcterms:W3CDTF">2019-12-05T20:26:31Z</dcterms:modified>
</cp:coreProperties>
</file>