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96520</wp:posOffset>
            </wp:positionV>
            <wp:extent cx="10629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27, 2026</w:t>
      </w:r>
    </w:p>
    <w:p>
      <w:pPr>
        <w:spacing w:after="0" w:line="3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Avis Budget Group,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141605</wp:posOffset>
            </wp:positionV>
            <wp:extent cx="10629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0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001-10308</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rPr>
              <w:t>06-0918165</w:t>
            </w:r>
          </w:p>
        </w:tc>
      </w:tr>
      <w:tr>
        <w:trPr>
          <w:trHeight w:val="216"/>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(Commission</w:t>
            </w:r>
          </w:p>
        </w:tc>
        <w:tc>
          <w:tcPr>
            <w:tcW w:w="300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8"/>
              </w:rPr>
              <w:t>File Number)</w:t>
            </w:r>
          </w:p>
        </w:tc>
        <w:tc>
          <w:tcPr>
            <w:tcW w:w="300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379 Interpace Parkway</w:t>
            </w:r>
          </w:p>
        </w:tc>
        <w:tc>
          <w:tcPr>
            <w:tcW w:w="24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34"/>
        </w:trPr>
        <w:tc>
          <w:tcPr>
            <w:tcW w:w="3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Parsippany, NJ</w:t>
            </w:r>
          </w:p>
        </w:tc>
        <w:tc>
          <w:tcPr>
            <w:tcW w:w="2400" w:type="dxa"/>
            <w:vAlign w:val="bottom"/>
          </w:tcPr>
          <w:p>
            <w:pPr>
              <w:spacing w:after="0"/>
              <w:rPr>
                <w:sz w:val="20"/>
                <w:szCs w:val="20"/>
                <w:color w:val="auto"/>
              </w:rPr>
            </w:pPr>
          </w:p>
        </w:tc>
        <w:tc>
          <w:tcPr>
            <w:tcW w:w="3000" w:type="dxa"/>
            <w:vAlign w:val="bottom"/>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234"/>
        </w:trPr>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400" w:type="dxa"/>
            <w:vAlign w:val="bottom"/>
          </w:tcPr>
          <w:p>
            <w:pPr>
              <w:spacing w:after="0"/>
              <w:rPr>
                <w:sz w:val="20"/>
                <w:szCs w:val="20"/>
                <w:color w:val="auto"/>
              </w:rPr>
            </w:pPr>
          </w:p>
        </w:tc>
        <w:tc>
          <w:tcPr>
            <w:tcW w:w="30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(973) 496-4700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142875</wp:posOffset>
            </wp:positionV>
            <wp:extent cx="10629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w:t>
      </w:r>
    </w:p>
    <w:p>
      <w:pPr>
        <w:spacing w:after="0" w:line="162"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0"/>
        </w:trPr>
        <w:tc>
          <w:tcPr>
            <w:tcW w:w="3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38"/>
        </w:trPr>
        <w:tc>
          <w:tcPr>
            <w:tcW w:w="41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Registered</w:t>
            </w:r>
          </w:p>
        </w:tc>
      </w:tr>
      <w:tr>
        <w:trPr>
          <w:trHeight w:val="228"/>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w:t>
            </w:r>
          </w:p>
        </w:tc>
        <w:tc>
          <w:tcPr>
            <w:tcW w:w="46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CAR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608330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8"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On October 22, 2025, plaintiffs Andrew Jones and Arjun Dua sought to voluntarily dismiss two shareholder derivative actions in the United States District Court for the District of New Jersey in which Avis Budget Group, Inc. (the “Company”) is named as a nominal defendant. On November 24, 2025, the District Court for the District of New Jersey ordered that, before the cases are dismissed, notice must be provided to the Company’s shareholders. The Court subsequently approved a proposed plan for notice to Company shareholders, which included the Company’s filing of a Current Report on Form 8-K filed with the Securities and Exchange Commission attaching a notice explaining the proposed dismissals and the Company shareholders’ right to intervene in the relevant actions (the “Notice”). A copy of the Notice is furnished herewith as Exhibit 99.1.</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hereto, shall not be deemed “filed” for purposes of Section 18 of the Securities Exchange Act of 1934 (as amended, the “Exchange Act”) or otherwise subject to the liabilities of that Section, and shall not be or be deemed to be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726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32"/>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tcPr>
          <w:p>
            <w:pPr>
              <w:spacing w:after="0"/>
              <w:rPr>
                <w:sz w:val="24"/>
                <w:szCs w:val="24"/>
                <w:color w:val="auto"/>
              </w:rPr>
            </w:pPr>
          </w:p>
        </w:tc>
        <w:tc>
          <w:tcPr>
            <w:tcW w:w="726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Notice of Proposed Voluntary Dismissal of Two Shareholder Derivative Actions, furnished herewith.</w:t>
            </w:r>
          </w:p>
        </w:tc>
        <w:tc>
          <w:tcPr>
            <w:tcW w:w="2680" w:type="dxa"/>
            <w:vAlign w:val="bottom"/>
            <w:tcBorders>
              <w:top w:val="single" w:sz="8" w:color="auto"/>
            </w:tcBorders>
          </w:tcPr>
          <w:p>
            <w:pPr>
              <w:spacing w:after="0"/>
              <w:rPr>
                <w:sz w:val="24"/>
                <w:szCs w:val="24"/>
                <w:color w:val="auto"/>
              </w:rPr>
            </w:pPr>
          </w:p>
        </w:tc>
      </w:tr>
      <w:tr>
        <w:trPr>
          <w:trHeight w:val="453"/>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63"/>
        </w:trPr>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AVIS BUDGET GROUP, INC.</w:t>
      </w:r>
    </w:p>
    <w:p>
      <w:pPr>
        <w:spacing w:after="0" w:line="200" w:lineRule="exact"/>
        <w:rPr>
          <w:sz w:val="20"/>
          <w:szCs w:val="20"/>
          <w:color w:val="auto"/>
        </w:rPr>
      </w:pPr>
    </w:p>
    <w:p>
      <w:pPr>
        <w:spacing w:after="0" w:line="245" w:lineRule="exact"/>
        <w:rPr>
          <w:sz w:val="20"/>
          <w:szCs w:val="20"/>
          <w:color w:val="auto"/>
        </w:rPr>
      </w:pPr>
    </w:p>
    <w:tbl>
      <w:tblPr>
        <w:tblLayout w:type="fixed"/>
        <w:tblInd w:w="620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 M. Sera</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3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 M. Sera</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General Counsel, Chief</w:t>
            </w:r>
          </w:p>
        </w:tc>
      </w:tr>
      <w:tr>
        <w:trPr>
          <w:trHeight w:val="234"/>
        </w:trPr>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Compliance Officer and Corporate Secretary</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92" w:right="65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ALL CURRENT HOLDERS OF AVIS BUDGET GROUP, INC. (“AVIS” OR THE “COMPANY”) SHARES OF COMMON STOCK</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PLEASE READ THIS NOTICE CAREFULLY AND COMPLETELY. YOUR RIGHTS MAY BE AFFECTED.</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THIS NOTICE RELATES TO A PROPOSED VOLUNTARY DISMISSAL OF A SHAREHOLDER DERIVATIVE ACTION AND CLAIMS ASSERTED ON BEHALF OF AVIS.</w:t>
      </w:r>
    </w:p>
    <w:p>
      <w:pPr>
        <w:spacing w:after="0" w:line="15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7"/>
          <w:szCs w:val="17"/>
          <w:color w:val="auto"/>
        </w:rPr>
        <w:t>Pursuant to an order of the United States District Court for the District of New Jersey, the Company’s shareholders are advised that the plaintiffs in two shareholder derivative actions intend to voluntarily dismiss their lawsuits, subject to approval of the Court. Additional information on the actions and Avis shareholders’ right to intervene can be found below, and the complaints filed in the actions are available at https://www.johnsonfistel.com/wp-content/uploads/2026/02/001-Complaint-7.pdf and https://weiserlawfirm.com/wp-content/uploads/2026/02/Jones-v.-Phawa-25-cv-07934-Avis-FILED.pdf.</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Shareholder Derivative 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On June 6, 2025 and September 9, 2025 respectively, plaintiff Andrew Jones and plaintiff Arjun Dua each filed a shareholder derivative complaint in the United States District Court for the District of New Jersey against certain of Avis’s current or former officers and directors (the “Individual Defendants”) seeking relief on behalf of Avis, a nominal defendant. </w:t>
      </w:r>
      <w:r>
        <w:rPr>
          <w:rFonts w:ascii="Times New Roman" w:cs="Times New Roman" w:eastAsia="Times New Roman" w:hAnsi="Times New Roman"/>
          <w:sz w:val="18"/>
          <w:szCs w:val="18"/>
          <w:i w:val="1"/>
          <w:iCs w:val="1"/>
          <w:color w:val="auto"/>
        </w:rPr>
        <w:t>See Jones</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Pahwa</w:t>
      </w:r>
      <w:r>
        <w:rPr>
          <w:rFonts w:ascii="Times New Roman" w:cs="Times New Roman" w:eastAsia="Times New Roman" w:hAnsi="Times New Roman"/>
          <w:sz w:val="18"/>
          <w:szCs w:val="18"/>
          <w:color w:val="auto"/>
        </w:rPr>
        <w:t xml:space="preserve">, No. 2:25-cv-07934-MEF-CF and </w:t>
      </w:r>
      <w:r>
        <w:rPr>
          <w:rFonts w:ascii="Times New Roman" w:cs="Times New Roman" w:eastAsia="Times New Roman" w:hAnsi="Times New Roman"/>
          <w:sz w:val="18"/>
          <w:szCs w:val="18"/>
          <w:i w:val="1"/>
          <w:iCs w:val="1"/>
          <w:color w:val="auto"/>
        </w:rPr>
        <w:t>Dua</w:t>
      </w:r>
      <w:r>
        <w:rPr>
          <w:rFonts w:ascii="Times New Roman" w:cs="Times New Roman" w:eastAsia="Times New Roman" w:hAnsi="Times New Roman"/>
          <w:sz w:val="18"/>
          <w:szCs w:val="18"/>
          <w:color w:val="auto"/>
        </w:rPr>
        <w:t xml:space="preserve"> v. </w:t>
      </w:r>
      <w:r>
        <w:rPr>
          <w:rFonts w:ascii="Times New Roman" w:cs="Times New Roman" w:eastAsia="Times New Roman" w:hAnsi="Times New Roman"/>
          <w:sz w:val="18"/>
          <w:szCs w:val="18"/>
          <w:i w:val="1"/>
          <w:iCs w:val="1"/>
          <w:color w:val="auto"/>
        </w:rPr>
        <w:t>Ferraro</w:t>
      </w:r>
      <w:r>
        <w:rPr>
          <w:rFonts w:ascii="Times New Roman" w:cs="Times New Roman" w:eastAsia="Times New Roman" w:hAnsi="Times New Roman"/>
          <w:sz w:val="18"/>
          <w:szCs w:val="18"/>
          <w:color w:val="auto"/>
        </w:rPr>
        <w:t>, No. 2:25-cv-15382-MEF-CF.</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Both derivative suits arise from Avis’s announcement in February 2025 that it was accelerating its fleet rotation, and as a result, taking a non-cash impairment for the fourth quarter of 2024. The suits allege that the Individual Defendants permitted or caused Avis to make certain representations concerning fleet rotation, vehicle utilization, and impairment, which allegedly were revealed to be misleading by the impairment disclosure. The suits assert the following causes of action: breach of fiduciary duties, unjust enrichment, violations of Section 14(a) of the Securities Exchange Act, and/or waste of corporate assets. The relief sought includes an unspecified amount of damages, restitution, equitable, injunctive, and/or declaratory relief, corporate governance changes, and costs.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shareholder plaintiffs in the two derivative actions have advised Avis, the Individual Defendants, and the Court of their intent to voluntarily dismiss the derivative actions. On November 24, 2025, the District Court for the District of New Jersey ordered that notice of the voluntary dismissals be provided to Avis shareholders. If no other Avis shareholder seeks to intervene in either of the derivative actions, the voluntary dismissals will be approved and the </w:t>
      </w:r>
      <w:r>
        <w:rPr>
          <w:rFonts w:ascii="Times New Roman" w:cs="Times New Roman" w:eastAsia="Times New Roman" w:hAnsi="Times New Roman"/>
          <w:sz w:val="18"/>
          <w:szCs w:val="18"/>
          <w:i w:val="1"/>
          <w:iCs w:val="1"/>
          <w:color w:val="auto"/>
        </w:rPr>
        <w:t>Jones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Dua</w:t>
      </w:r>
      <w:r>
        <w:rPr>
          <w:rFonts w:ascii="Times New Roman" w:cs="Times New Roman" w:eastAsia="Times New Roman" w:hAnsi="Times New Roman"/>
          <w:sz w:val="18"/>
          <w:szCs w:val="18"/>
          <w:color w:val="auto"/>
        </w:rPr>
        <w:t xml:space="preserve"> Derivative Actions will be dismissed without prejudice.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The Right to Intervene in the </w:t>
      </w:r>
      <w:r>
        <w:rPr>
          <w:rFonts w:ascii="Times New Roman" w:cs="Times New Roman" w:eastAsia="Times New Roman" w:hAnsi="Times New Roman"/>
          <w:sz w:val="18"/>
          <w:szCs w:val="18"/>
          <w:b w:val="1"/>
          <w:bCs w:val="1"/>
          <w:i w:val="1"/>
          <w:iCs w:val="1"/>
          <w:u w:val="single" w:color="auto"/>
          <w:color w:val="auto"/>
        </w:rPr>
        <w:t>Jones</w:t>
      </w:r>
      <w:r>
        <w:rPr>
          <w:rFonts w:ascii="Times New Roman" w:cs="Times New Roman" w:eastAsia="Times New Roman" w:hAnsi="Times New Roman"/>
          <w:sz w:val="18"/>
          <w:szCs w:val="18"/>
          <w:b w:val="1"/>
          <w:bCs w:val="1"/>
          <w:u w:val="single" w:color="auto"/>
          <w:color w:val="auto"/>
        </w:rPr>
        <w:t xml:space="preserve"> or </w:t>
      </w:r>
      <w:r>
        <w:rPr>
          <w:rFonts w:ascii="Times New Roman" w:cs="Times New Roman" w:eastAsia="Times New Roman" w:hAnsi="Times New Roman"/>
          <w:sz w:val="18"/>
          <w:szCs w:val="18"/>
          <w:b w:val="1"/>
          <w:bCs w:val="1"/>
          <w:i w:val="1"/>
          <w:iCs w:val="1"/>
          <w:u w:val="single" w:color="auto"/>
          <w:color w:val="auto"/>
        </w:rPr>
        <w:t>Dua</w:t>
      </w:r>
      <w:r>
        <w:rPr>
          <w:rFonts w:ascii="Times New Roman" w:cs="Times New Roman" w:eastAsia="Times New Roman" w:hAnsi="Times New Roman"/>
          <w:sz w:val="18"/>
          <w:szCs w:val="18"/>
          <w:b w:val="1"/>
          <w:bCs w:val="1"/>
          <w:u w:val="single" w:color="auto"/>
          <w:color w:val="auto"/>
        </w:rPr>
        <w:t xml:space="preserve"> Derivative Actions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Any Avis shareholder may seek to intervene as a plaintiff in the </w:t>
      </w:r>
      <w:r>
        <w:rPr>
          <w:rFonts w:ascii="Times New Roman" w:cs="Times New Roman" w:eastAsia="Times New Roman" w:hAnsi="Times New Roman"/>
          <w:sz w:val="18"/>
          <w:szCs w:val="18"/>
          <w:i w:val="1"/>
          <w:iCs w:val="1"/>
          <w:color w:val="auto"/>
        </w:rPr>
        <w:t>Jones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Dua</w:t>
      </w:r>
      <w:r>
        <w:rPr>
          <w:rFonts w:ascii="Times New Roman" w:cs="Times New Roman" w:eastAsia="Times New Roman" w:hAnsi="Times New Roman"/>
          <w:sz w:val="18"/>
          <w:szCs w:val="18"/>
          <w:color w:val="auto"/>
        </w:rPr>
        <w:t xml:space="preserve"> Derivative Actions if he, she, they, or it (1) owns shares in Avis and</w:t>
      </w:r>
    </w:p>
    <w:p>
      <w:pPr>
        <w:spacing w:after="0" w:line="29" w:lineRule="exact"/>
        <w:rPr>
          <w:sz w:val="20"/>
          <w:szCs w:val="20"/>
          <w:color w:val="auto"/>
        </w:rPr>
      </w:pPr>
    </w:p>
    <w:p>
      <w:pPr>
        <w:jc w:val="both"/>
        <w:ind w:firstLine="8"/>
        <w:spacing w:after="0" w:line="253" w:lineRule="auto"/>
        <w:tabs>
          <w:tab w:leader="none" w:pos="2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wishes to pursue the claims in the </w:t>
      </w:r>
      <w:r>
        <w:rPr>
          <w:rFonts w:ascii="Times New Roman" w:cs="Times New Roman" w:eastAsia="Times New Roman" w:hAnsi="Times New Roman"/>
          <w:sz w:val="18"/>
          <w:szCs w:val="18"/>
          <w:i w:val="1"/>
          <w:iCs w:val="1"/>
          <w:color w:val="auto"/>
        </w:rPr>
        <w:t>Jones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Dua</w:t>
      </w:r>
      <w:r>
        <w:rPr>
          <w:rFonts w:ascii="Times New Roman" w:cs="Times New Roman" w:eastAsia="Times New Roman" w:hAnsi="Times New Roman"/>
          <w:sz w:val="18"/>
          <w:szCs w:val="18"/>
          <w:color w:val="auto"/>
        </w:rPr>
        <w:t xml:space="preserve"> Derivative Actions or has any reason why the actions should not be voluntarily dismissed. All motions to intervene must be filed with the Clerk of the Court no later than April 13, 2026. Every motion to intervene must comply with Federal Rule of Civil Procedure 24 and must contain: (1) the caption of the </w:t>
      </w:r>
      <w:r>
        <w:rPr>
          <w:rFonts w:ascii="Times New Roman" w:cs="Times New Roman" w:eastAsia="Times New Roman" w:hAnsi="Times New Roman"/>
          <w:sz w:val="18"/>
          <w:szCs w:val="18"/>
          <w:i w:val="1"/>
          <w:iCs w:val="1"/>
          <w:color w:val="auto"/>
        </w:rPr>
        <w:t>Jones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Dua</w:t>
      </w:r>
      <w:r>
        <w:rPr>
          <w:rFonts w:ascii="Times New Roman" w:cs="Times New Roman" w:eastAsia="Times New Roman" w:hAnsi="Times New Roman"/>
          <w:sz w:val="18"/>
          <w:szCs w:val="18"/>
          <w:color w:val="auto"/>
        </w:rPr>
        <w:t xml:space="preserve"> Derivative Actions; (2) the intervenor’s name, address, and phone number; (3) proof or certification of the date the intervenor purchased Avis stock; and (4) any supporting papers, including all documents and writings that the intervenor desires the Court to consider.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Any motions to intervene must be filed with the District Court of New Jersey at: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Clerk of Court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United States District Court for the District of New Jersey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Martin Luther King Building &amp; United States Courthouse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 Walnut Street, Room 4015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Newark, NJ 07101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897255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2026-02-27T15:56:43Z</dcterms:created>
  <dcterms:modified xsi:type="dcterms:W3CDTF">2026-02-27T15:56:43Z</dcterms:modified>
</cp:coreProperties>
</file>