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429260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454660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tbl>
      <w:tblPr>
        <w:tblLayout w:type="fixed"/>
        <w:tblInd w:w="460" w:type="dxa"/>
        <w:tblCellMar>
          <w:top w:w="0" w:type="dxa"/>
          <w:left w:w="0" w:type="dxa"/>
          <w:bottom w:w="0" w:type="dxa"/>
          <w:right w:w="0" w:type="dxa"/>
        </w:tblCellMar>
      </w:tblPr>
      <w:tr>
        <w:trPr>
          <w:trHeight w:val="196"/>
        </w:trPr>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1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WASHINGTON, D.C. 20549</w:t>
            </w:r>
          </w:p>
        </w:tc>
        <w:tc>
          <w:tcPr>
            <w:tcW w:w="3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60" w:type="dxa"/>
            <w:vAlign w:val="bottom"/>
            <w:gridSpan w:val="2"/>
          </w:tcPr>
          <w:p>
            <w:pPr>
              <w:jc w:val="center"/>
              <w:ind w:right="860"/>
              <w:spacing w:after="0"/>
              <w:rPr>
                <w:sz w:val="20"/>
                <w:szCs w:val="20"/>
                <w:color w:val="auto"/>
              </w:rPr>
            </w:pPr>
            <w:r>
              <w:rPr>
                <w:rFonts w:ascii="Arial" w:cs="Arial" w:eastAsia="Arial" w:hAnsi="Arial"/>
                <w:sz w:val="32"/>
                <w:szCs w:val="32"/>
                <w:b w:val="1"/>
                <w:bCs w:val="1"/>
                <w:color w:val="auto"/>
              </w:rPr>
              <w:t>Form 10-Q</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580" w:type="dxa"/>
            <w:vAlign w:val="bottom"/>
            <w:vMerge w:val="restart"/>
          </w:tcPr>
          <w:p>
            <w:pPr>
              <w:spacing w:after="0" w:line="201" w:lineRule="exact"/>
              <w:rPr>
                <w:sz w:val="20"/>
                <w:szCs w:val="20"/>
                <w:color w:val="auto"/>
              </w:rPr>
            </w:pPr>
            <w:r>
              <w:rPr>
                <w:rFonts w:ascii="MS PGothic" w:cs="MS PGothic" w:eastAsia="MS PGothic" w:hAnsi="MS PGothic"/>
                <w:sz w:val="20"/>
                <w:szCs w:val="20"/>
                <w:color w:val="auto"/>
              </w:rPr>
              <w:t>☒</w:t>
            </w:r>
          </w:p>
        </w:tc>
        <w:tc>
          <w:tcPr>
            <w:tcW w:w="2440" w:type="dxa"/>
            <w:vAlign w:val="bottom"/>
            <w:gridSpan w:val="2"/>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23"/>
        </w:trPr>
        <w:tc>
          <w:tcPr>
            <w:tcW w:w="1580" w:type="dxa"/>
            <w:vAlign w:val="bottom"/>
            <w:vMerge w:val="continue"/>
          </w:tcPr>
          <w:p>
            <w:pPr>
              <w:spacing w:after="0"/>
              <w:rPr>
                <w:sz w:val="24"/>
                <w:szCs w:val="24"/>
                <w:color w:val="auto"/>
              </w:rPr>
            </w:pPr>
          </w:p>
        </w:tc>
        <w:tc>
          <w:tcPr>
            <w:tcW w:w="8840" w:type="dxa"/>
            <w:vAlign w:val="bottom"/>
            <w:gridSpan w:val="5"/>
          </w:tcPr>
          <w:p>
            <w:pPr>
              <w:ind w:left="22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40" w:type="dxa"/>
            <w:vAlign w:val="bottom"/>
            <w:gridSpan w:val="3"/>
          </w:tcPr>
          <w:p>
            <w:pPr>
              <w:jc w:val="center"/>
              <w:ind w:left="120"/>
              <w:spacing w:after="0"/>
              <w:rPr>
                <w:sz w:val="20"/>
                <w:szCs w:val="20"/>
                <w:color w:val="auto"/>
              </w:rPr>
            </w:pPr>
            <w:r>
              <w:rPr>
                <w:rFonts w:ascii="Arial" w:cs="Arial" w:eastAsia="Arial" w:hAnsi="Arial"/>
                <w:sz w:val="14"/>
                <w:szCs w:val="14"/>
                <w:b w:val="1"/>
                <w:bCs w:val="1"/>
                <w:color w:val="auto"/>
              </w:rPr>
              <w:t>For the quarterly period ended March 31, 2024</w:t>
            </w:r>
          </w:p>
        </w:tc>
        <w:tc>
          <w:tcPr>
            <w:tcW w:w="3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158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OR</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1580" w:type="dxa"/>
            <w:vAlign w:val="bottom"/>
            <w:vMerge w:val="continue"/>
          </w:tcPr>
          <w:p>
            <w:pPr>
              <w:spacing w:after="0"/>
              <w:rPr>
                <w:sz w:val="24"/>
                <w:szCs w:val="24"/>
                <w:color w:val="auto"/>
              </w:rPr>
            </w:pPr>
          </w:p>
        </w:tc>
        <w:tc>
          <w:tcPr>
            <w:tcW w:w="8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64"/>
        </w:trPr>
        <w:tc>
          <w:tcPr>
            <w:tcW w:w="15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240" w:type="dxa"/>
            <w:vAlign w:val="bottom"/>
            <w:gridSpan w:val="3"/>
          </w:tcPr>
          <w:p>
            <w:pPr>
              <w:jc w:val="center"/>
              <w:ind w:left="120"/>
              <w:spacing w:after="0"/>
              <w:rPr>
                <w:sz w:val="20"/>
                <w:szCs w:val="20"/>
                <w:color w:val="auto"/>
              </w:rPr>
            </w:pPr>
            <w:r>
              <w:rPr>
                <w:rFonts w:ascii="Arial" w:cs="Arial" w:eastAsia="Arial" w:hAnsi="Arial"/>
                <w:sz w:val="14"/>
                <w:szCs w:val="14"/>
                <w:b w:val="1"/>
                <w:bCs w:val="1"/>
                <w:color w:val="auto"/>
              </w:rPr>
              <w:t>For the transition period from _____ to _____</w:t>
            </w:r>
          </w:p>
        </w:tc>
        <w:tc>
          <w:tcPr>
            <w:tcW w:w="3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Commission File No. 001-10308</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40" w:type="dxa"/>
            <w:vAlign w:val="bottom"/>
            <w:gridSpan w:val="3"/>
          </w:tcPr>
          <w:p>
            <w:pPr>
              <w:jc w:val="center"/>
              <w:ind w:left="140"/>
              <w:spacing w:after="0"/>
              <w:rPr>
                <w:sz w:val="20"/>
                <w:szCs w:val="20"/>
                <w:color w:val="auto"/>
              </w:rPr>
            </w:pPr>
            <w:r>
              <w:rPr>
                <w:rFonts w:ascii="Arial" w:cs="Arial" w:eastAsia="Arial" w:hAnsi="Arial"/>
                <w:sz w:val="25"/>
                <w:szCs w:val="25"/>
                <w:b w:val="1"/>
                <w:bCs w:val="1"/>
                <w:color w:val="auto"/>
              </w:rPr>
              <w:t>Avis Budget Group, Inc.</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40" w:type="dxa"/>
            <w:vAlign w:val="bottom"/>
            <w:gridSpan w:val="3"/>
          </w:tcPr>
          <w:p>
            <w:pPr>
              <w:jc w:val="center"/>
              <w:ind w:left="10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580" w:type="dxa"/>
            <w:vAlign w:val="bottom"/>
          </w:tcPr>
          <w:p>
            <w:pPr>
              <w:ind w:left="880"/>
              <w:spacing w:after="0"/>
              <w:rPr>
                <w:sz w:val="20"/>
                <w:szCs w:val="20"/>
                <w:color w:val="auto"/>
              </w:rPr>
            </w:pPr>
            <w:r>
              <w:rPr>
                <w:rFonts w:ascii="Arial" w:cs="Arial" w:eastAsia="Arial" w:hAnsi="Arial"/>
                <w:sz w:val="14"/>
                <w:szCs w:val="14"/>
                <w:b w:val="1"/>
                <w:bCs w:val="1"/>
                <w:color w:val="auto"/>
              </w:rPr>
              <w:t>Delaware</w:t>
            </w: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40" w:type="dxa"/>
            <w:vAlign w:val="bottom"/>
          </w:tcPr>
          <w:p>
            <w:pPr>
              <w:jc w:val="right"/>
              <w:ind w:right="868"/>
              <w:spacing w:after="0"/>
              <w:rPr>
                <w:sz w:val="20"/>
                <w:szCs w:val="20"/>
                <w:color w:val="auto"/>
              </w:rPr>
            </w:pPr>
            <w:r>
              <w:rPr>
                <w:rFonts w:ascii="Arial" w:cs="Arial" w:eastAsia="Arial" w:hAnsi="Arial"/>
                <w:sz w:val="14"/>
                <w:szCs w:val="14"/>
                <w:b w:val="1"/>
                <w:bCs w:val="1"/>
                <w:color w:val="auto"/>
              </w:rPr>
              <w:t>06-0918165</w:t>
            </w:r>
          </w:p>
        </w:tc>
        <w:tc>
          <w:tcPr>
            <w:tcW w:w="0" w:type="dxa"/>
            <w:vAlign w:val="bottom"/>
          </w:tcPr>
          <w:p>
            <w:pPr>
              <w:spacing w:after="0"/>
              <w:rPr>
                <w:sz w:val="1"/>
                <w:szCs w:val="1"/>
                <w:color w:val="auto"/>
              </w:rPr>
            </w:pPr>
          </w:p>
        </w:tc>
      </w:tr>
      <w:tr>
        <w:trPr>
          <w:trHeight w:val="157"/>
        </w:trPr>
        <w:tc>
          <w:tcPr>
            <w:tcW w:w="2940" w:type="dxa"/>
            <w:vAlign w:val="bottom"/>
            <w:gridSpan w:val="2"/>
          </w:tcPr>
          <w:p>
            <w:pPr>
              <w:jc w:val="center"/>
              <w:ind w:right="268"/>
              <w:spacing w:after="0" w:line="157" w:lineRule="exact"/>
              <w:rPr>
                <w:sz w:val="20"/>
                <w:szCs w:val="20"/>
                <w:color w:val="auto"/>
              </w:rPr>
            </w:pPr>
            <w:r>
              <w:rPr>
                <w:rFonts w:ascii="Arial" w:cs="Arial" w:eastAsia="Arial" w:hAnsi="Arial"/>
                <w:sz w:val="14"/>
                <w:szCs w:val="14"/>
                <w:i w:val="1"/>
                <w:iCs w:val="1"/>
                <w:color w:val="auto"/>
              </w:rPr>
              <w:t>(State or other jurisdiction of</w:t>
            </w:r>
          </w:p>
        </w:tc>
        <w:tc>
          <w:tcPr>
            <w:tcW w:w="10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40" w:type="dxa"/>
            <w:vAlign w:val="bottom"/>
          </w:tcPr>
          <w:p>
            <w:pPr>
              <w:jc w:val="center"/>
              <w:ind w:left="528"/>
              <w:spacing w:after="0" w:line="157" w:lineRule="exact"/>
              <w:rPr>
                <w:sz w:val="20"/>
                <w:szCs w:val="20"/>
                <w:color w:val="auto"/>
              </w:rPr>
            </w:pPr>
            <w:r>
              <w:rPr>
                <w:rFonts w:ascii="Arial" w:cs="Arial" w:eastAsia="Arial" w:hAnsi="Arial"/>
                <w:sz w:val="14"/>
                <w:szCs w:val="14"/>
                <w:i w:val="1"/>
                <w:iCs w:val="1"/>
                <w:color w:val="auto"/>
              </w:rPr>
              <w:t>(I.R.S. Employer</w:t>
            </w:r>
          </w:p>
        </w:tc>
        <w:tc>
          <w:tcPr>
            <w:tcW w:w="0" w:type="dxa"/>
            <w:vAlign w:val="bottom"/>
          </w:tcPr>
          <w:p>
            <w:pPr>
              <w:spacing w:after="0"/>
              <w:rPr>
                <w:sz w:val="1"/>
                <w:szCs w:val="1"/>
                <w:color w:val="auto"/>
              </w:rPr>
            </w:pPr>
          </w:p>
        </w:tc>
      </w:tr>
      <w:tr>
        <w:trPr>
          <w:trHeight w:val="187"/>
        </w:trPr>
        <w:tc>
          <w:tcPr>
            <w:tcW w:w="2940" w:type="dxa"/>
            <w:vAlign w:val="bottom"/>
            <w:gridSpan w:val="2"/>
          </w:tcPr>
          <w:p>
            <w:pPr>
              <w:jc w:val="center"/>
              <w:ind w:right="268"/>
              <w:spacing w:after="0"/>
              <w:rPr>
                <w:sz w:val="20"/>
                <w:szCs w:val="20"/>
                <w:color w:val="auto"/>
              </w:rPr>
            </w:pPr>
            <w:r>
              <w:rPr>
                <w:rFonts w:ascii="Arial" w:cs="Arial" w:eastAsia="Arial" w:hAnsi="Arial"/>
                <w:sz w:val="14"/>
                <w:szCs w:val="14"/>
                <w:i w:val="1"/>
                <w:iCs w:val="1"/>
                <w:color w:val="auto"/>
              </w:rPr>
              <w:t>incorporation or organization)</w:t>
            </w:r>
          </w:p>
        </w:tc>
        <w:tc>
          <w:tcPr>
            <w:tcW w:w="10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40" w:type="dxa"/>
            <w:vAlign w:val="bottom"/>
          </w:tcPr>
          <w:p>
            <w:pPr>
              <w:jc w:val="center"/>
              <w:ind w:left="528"/>
              <w:spacing w:after="0"/>
              <w:rPr>
                <w:sz w:val="20"/>
                <w:szCs w:val="20"/>
                <w:color w:val="auto"/>
              </w:rPr>
            </w:pPr>
            <w:r>
              <w:rPr>
                <w:rFonts w:ascii="Arial" w:cs="Arial" w:eastAsia="Arial" w:hAnsi="Arial"/>
                <w:sz w:val="14"/>
                <w:szCs w:val="14"/>
                <w:i w:val="1"/>
                <w:iCs w:val="1"/>
                <w:color w:val="auto"/>
              </w:rPr>
              <w:t>Identification Number)</w:t>
            </w:r>
          </w:p>
        </w:tc>
        <w:tc>
          <w:tcPr>
            <w:tcW w:w="0" w:type="dxa"/>
            <w:vAlign w:val="bottom"/>
          </w:tcPr>
          <w:p>
            <w:pPr>
              <w:spacing w:after="0"/>
              <w:rPr>
                <w:sz w:val="1"/>
                <w:szCs w:val="1"/>
                <w:color w:val="auto"/>
              </w:rPr>
            </w:pPr>
          </w:p>
        </w:tc>
      </w:tr>
      <w:tr>
        <w:trPr>
          <w:trHeight w:val="196"/>
        </w:trPr>
        <w:tc>
          <w:tcPr>
            <w:tcW w:w="294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rPr>
              <w:t>379 Interpace Parkway</w:t>
            </w:r>
          </w:p>
        </w:tc>
        <w:tc>
          <w:tcPr>
            <w:tcW w:w="10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ind w:left="600"/>
              <w:spacing w:after="0"/>
              <w:rPr>
                <w:sz w:val="20"/>
                <w:szCs w:val="20"/>
                <w:color w:val="auto"/>
              </w:rPr>
            </w:pPr>
            <w:r>
              <w:rPr>
                <w:rFonts w:ascii="Arial" w:cs="Arial" w:eastAsia="Arial" w:hAnsi="Arial"/>
                <w:sz w:val="14"/>
                <w:szCs w:val="14"/>
                <w:b w:val="1"/>
                <w:bCs w:val="1"/>
                <w:color w:val="auto"/>
              </w:rPr>
              <w:t>Parsippany,</w:t>
            </w:r>
          </w:p>
        </w:tc>
        <w:tc>
          <w:tcPr>
            <w:tcW w:w="1360" w:type="dxa"/>
            <w:vAlign w:val="bottom"/>
          </w:tcPr>
          <w:p>
            <w:pPr>
              <w:ind w:left="80"/>
              <w:spacing w:after="0"/>
              <w:rPr>
                <w:sz w:val="20"/>
                <w:szCs w:val="20"/>
                <w:color w:val="auto"/>
              </w:rPr>
            </w:pPr>
            <w:r>
              <w:rPr>
                <w:rFonts w:ascii="Arial" w:cs="Arial" w:eastAsia="Arial" w:hAnsi="Arial"/>
                <w:sz w:val="14"/>
                <w:szCs w:val="14"/>
                <w:b w:val="1"/>
                <w:bCs w:val="1"/>
                <w:color w:val="auto"/>
              </w:rPr>
              <w:t>NJ</w:t>
            </w:r>
          </w:p>
        </w:tc>
        <w:tc>
          <w:tcPr>
            <w:tcW w:w="10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40" w:type="dxa"/>
            <w:vAlign w:val="bottom"/>
          </w:tcPr>
          <w:p>
            <w:pPr>
              <w:jc w:val="right"/>
              <w:ind w:right="1048"/>
              <w:spacing w:after="0"/>
              <w:rPr>
                <w:sz w:val="20"/>
                <w:szCs w:val="20"/>
                <w:color w:val="auto"/>
              </w:rPr>
            </w:pPr>
            <w:r>
              <w:rPr>
                <w:rFonts w:ascii="Arial" w:cs="Arial" w:eastAsia="Arial" w:hAnsi="Arial"/>
                <w:sz w:val="14"/>
                <w:szCs w:val="14"/>
                <w:b w:val="1"/>
                <w:bCs w:val="1"/>
                <w:color w:val="auto"/>
              </w:rPr>
              <w:t>07054</w:t>
            </w:r>
          </w:p>
        </w:tc>
        <w:tc>
          <w:tcPr>
            <w:tcW w:w="0" w:type="dxa"/>
            <w:vAlign w:val="bottom"/>
          </w:tcPr>
          <w:p>
            <w:pPr>
              <w:spacing w:after="0"/>
              <w:rPr>
                <w:sz w:val="1"/>
                <w:szCs w:val="1"/>
                <w:color w:val="auto"/>
              </w:rPr>
            </w:pPr>
          </w:p>
        </w:tc>
      </w:tr>
      <w:tr>
        <w:trPr>
          <w:trHeight w:val="196"/>
        </w:trPr>
        <w:tc>
          <w:tcPr>
            <w:tcW w:w="2940" w:type="dxa"/>
            <w:vAlign w:val="bottom"/>
            <w:gridSpan w:val="2"/>
          </w:tcPr>
          <w:p>
            <w:pPr>
              <w:jc w:val="center"/>
              <w:ind w:right="288"/>
              <w:spacing w:after="0"/>
              <w:rPr>
                <w:sz w:val="20"/>
                <w:szCs w:val="20"/>
                <w:color w:val="auto"/>
              </w:rPr>
            </w:pPr>
            <w:r>
              <w:rPr>
                <w:rFonts w:ascii="Arial" w:cs="Arial" w:eastAsia="Arial" w:hAnsi="Arial"/>
                <w:sz w:val="14"/>
                <w:szCs w:val="14"/>
                <w:i w:val="1"/>
                <w:iCs w:val="1"/>
                <w:color w:val="auto"/>
              </w:rPr>
              <w:t>(Address of principal executive offices)</w:t>
            </w:r>
          </w:p>
        </w:tc>
        <w:tc>
          <w:tcPr>
            <w:tcW w:w="10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40" w:type="dxa"/>
            <w:vAlign w:val="bottom"/>
          </w:tcPr>
          <w:p>
            <w:pPr>
              <w:jc w:val="center"/>
              <w:ind w:left="52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380" w:type="dxa"/>
            <w:vAlign w:val="bottom"/>
            <w:gridSpan w:val="2"/>
          </w:tcPr>
          <w:p>
            <w:pPr>
              <w:jc w:val="right"/>
              <w:ind w:right="453"/>
              <w:spacing w:after="0"/>
              <w:rPr>
                <w:sz w:val="20"/>
                <w:szCs w:val="20"/>
                <w:color w:val="auto"/>
              </w:rPr>
            </w:pPr>
            <w:r>
              <w:rPr>
                <w:rFonts w:ascii="Arial" w:cs="Arial" w:eastAsia="Arial" w:hAnsi="Arial"/>
                <w:sz w:val="14"/>
                <w:szCs w:val="14"/>
                <w:b w:val="1"/>
                <w:bCs w:val="1"/>
                <w:color w:val="auto"/>
              </w:rPr>
              <w:t>(973)   496-4700</w:t>
            </w:r>
          </w:p>
        </w:tc>
        <w:tc>
          <w:tcPr>
            <w:tcW w:w="8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40" w:type="dxa"/>
            <w:vAlign w:val="bottom"/>
            <w:gridSpan w:val="3"/>
          </w:tcPr>
          <w:p>
            <w:pPr>
              <w:ind w:left="600"/>
              <w:spacing w:after="0"/>
              <w:rPr>
                <w:sz w:val="20"/>
                <w:szCs w:val="20"/>
                <w:color w:val="auto"/>
              </w:rPr>
            </w:pPr>
            <w:r>
              <w:rPr>
                <w:rFonts w:ascii="Arial" w:cs="Arial" w:eastAsia="Arial" w:hAnsi="Arial"/>
                <w:sz w:val="14"/>
                <w:szCs w:val="14"/>
                <w:color w:val="auto"/>
              </w:rPr>
              <w:t>(Registrant’s telephone number, including area code)</w:t>
            </w:r>
          </w:p>
        </w:tc>
        <w:tc>
          <w:tcPr>
            <w:tcW w:w="3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1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40" w:type="dxa"/>
            <w:vAlign w:val="bottom"/>
            <w:gridSpan w:val="3"/>
          </w:tcPr>
          <w:p>
            <w:pPr>
              <w:jc w:val="center"/>
              <w:ind w:left="140"/>
              <w:spacing w:after="0"/>
              <w:rPr>
                <w:sz w:val="20"/>
                <w:szCs w:val="20"/>
                <w:color w:val="auto"/>
              </w:rPr>
            </w:pPr>
            <w:r>
              <w:rPr>
                <w:rFonts w:ascii="Arial" w:cs="Arial" w:eastAsia="Arial" w:hAnsi="Arial"/>
                <w:sz w:val="14"/>
                <w:szCs w:val="14"/>
                <w:color w:val="auto"/>
              </w:rPr>
              <w:t>Securities registered pursuant to Section 12(b) of the Act: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rPr>
              <w:t>Title of each class</w:t>
            </w:r>
          </w:p>
        </w:tc>
        <w:tc>
          <w:tcPr>
            <w:tcW w:w="1080" w:type="dxa"/>
            <w:vAlign w:val="bottom"/>
          </w:tcPr>
          <w:p>
            <w:pPr>
              <w:spacing w:after="0"/>
              <w:rPr>
                <w:sz w:val="19"/>
                <w:szCs w:val="19"/>
                <w:color w:val="auto"/>
              </w:rPr>
            </w:pPr>
          </w:p>
        </w:tc>
        <w:tc>
          <w:tcPr>
            <w:tcW w:w="31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rPr>
              <w:t>Trading Symbol(s)</w:t>
            </w:r>
          </w:p>
        </w:tc>
        <w:tc>
          <w:tcPr>
            <w:tcW w:w="3240" w:type="dxa"/>
            <w:vAlign w:val="bottom"/>
          </w:tcPr>
          <w:p>
            <w:pPr>
              <w:jc w:val="center"/>
              <w:ind w:left="12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2940" w:type="dxa"/>
            <w:vAlign w:val="bottom"/>
            <w:gridSpan w:val="2"/>
          </w:tcPr>
          <w:p>
            <w:pPr>
              <w:jc w:val="center"/>
              <w:ind w:right="48"/>
              <w:spacing w:after="0"/>
              <w:rPr>
                <w:sz w:val="20"/>
                <w:szCs w:val="20"/>
                <w:color w:val="auto"/>
              </w:rPr>
            </w:pPr>
            <w:r>
              <w:rPr>
                <w:rFonts w:ascii="Arial" w:cs="Arial" w:eastAsia="Arial" w:hAnsi="Arial"/>
                <w:sz w:val="14"/>
                <w:szCs w:val="14"/>
                <w:color w:val="auto"/>
              </w:rPr>
              <w:t>Common Stock, Par Value $0.01</w:t>
            </w:r>
          </w:p>
        </w:tc>
        <w:tc>
          <w:tcPr>
            <w:tcW w:w="1080" w:type="dxa"/>
            <w:vAlign w:val="bottom"/>
          </w:tcPr>
          <w:p>
            <w:pPr>
              <w:spacing w:after="0"/>
              <w:rPr>
                <w:sz w:val="17"/>
                <w:szCs w:val="17"/>
                <w:color w:val="auto"/>
              </w:rPr>
            </w:pPr>
          </w:p>
        </w:tc>
        <w:tc>
          <w:tcPr>
            <w:tcW w:w="3160" w:type="dxa"/>
            <w:vAlign w:val="bottom"/>
            <w:gridSpan w:val="2"/>
          </w:tcPr>
          <w:p>
            <w:pPr>
              <w:jc w:val="center"/>
              <w:ind w:right="900"/>
              <w:spacing w:after="0"/>
              <w:rPr>
                <w:sz w:val="20"/>
                <w:szCs w:val="20"/>
                <w:color w:val="auto"/>
              </w:rPr>
            </w:pPr>
            <w:r>
              <w:rPr>
                <w:rFonts w:ascii="Arial" w:cs="Arial" w:eastAsia="Arial" w:hAnsi="Arial"/>
                <w:sz w:val="14"/>
                <w:szCs w:val="14"/>
                <w:color w:val="auto"/>
              </w:rPr>
              <w:t>CAR</w:t>
            </w:r>
          </w:p>
        </w:tc>
        <w:tc>
          <w:tcPr>
            <w:tcW w:w="3240" w:type="dxa"/>
            <w:vAlign w:val="bottom"/>
          </w:tcPr>
          <w:p>
            <w:pPr>
              <w:jc w:val="center"/>
              <w:ind w:left="128"/>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1" w:lineRule="exact"/>
        <w:rPr>
          <w:sz w:val="24"/>
          <w:szCs w:val="24"/>
          <w:color w:val="auto"/>
        </w:rPr>
      </w:pPr>
    </w:p>
    <w:p>
      <w:pPr>
        <w:ind w:right="80"/>
        <w:spacing w:after="0" w:line="25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2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ind w:right="66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9" w:right="359" w:bottom="1440" w:gutter="0" w:footer="0" w:header="0"/>
        </w:sectPr>
      </w:pPr>
    </w:p>
    <w:p>
      <w:pPr>
        <w:spacing w:after="0" w:line="82" w:lineRule="exact"/>
        <w:rPr>
          <w:sz w:val="24"/>
          <w:szCs w:val="24"/>
          <w:color w:val="auto"/>
        </w:rPr>
      </w:pPr>
    </w:p>
    <w:p>
      <w:pPr>
        <w:ind w:left="100" w:right="880"/>
        <w:spacing w:after="0" w:line="412"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392" w:lineRule="exact"/>
        <w:rPr>
          <w:sz w:val="24"/>
          <w:szCs w:val="24"/>
          <w:color w:val="auto"/>
        </w:rPr>
      </w:pPr>
    </w:p>
    <w:p>
      <w:pPr>
        <w:sectPr>
          <w:pgSz w:w="11900" w:h="16838" w:orient="portrait"/>
          <w:cols w:equalWidth="0" w:num="5">
            <w:col w:w="2780" w:space="720"/>
            <w:col w:w="180" w:space="100"/>
            <w:col w:w="2700" w:space="720"/>
            <w:col w:w="180" w:space="100"/>
            <w:col w:w="3740"/>
          </w:cols>
          <w:pgMar w:left="320" w:top="229" w:right="359" w:bottom="1440" w:gutter="0" w:footer="0" w:header="0"/>
          <w:type w:val="continuous"/>
        </w:sectPr>
      </w:pPr>
    </w:p>
    <w:p>
      <w:pPr>
        <w:ind w:right="280"/>
        <w:spacing w:after="0" w:line="20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tabs>
          <w:tab w:leader="none" w:pos="7300" w:val="left"/>
          <w:tab w:leader="none" w:pos="79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35,647,164 shares as of April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1680" w:type="dxa"/>
            <w:vAlign w:val="bottom"/>
            <w:gridSpan w:val="8"/>
            <w:vMerge w:val="restart"/>
          </w:tcPr>
          <w:p>
            <w:pPr>
              <w:spacing w:after="0"/>
              <w:rPr>
                <w:sz w:val="20"/>
                <w:szCs w:val="20"/>
                <w:color w:val="auto"/>
              </w:rPr>
            </w:pPr>
            <w:r>
              <w:rPr>
                <w:rFonts w:ascii="Arial" w:cs="Arial" w:eastAsia="Arial" w:hAnsi="Arial"/>
                <w:sz w:val="18"/>
                <w:szCs w:val="18"/>
                <w:color w:val="0000FF"/>
                <w:w w:val="99"/>
              </w:rPr>
              <w:t>Financial Information</w:t>
            </w:r>
          </w:p>
        </w:tc>
        <w:tc>
          <w:tcPr>
            <w:tcW w:w="8140" w:type="dxa"/>
            <w:vAlign w:val="bottom"/>
            <w:gridSpan w:val="11"/>
            <w:vMerge w:val="restart"/>
          </w:tcPr>
          <w:p>
            <w:pPr>
              <w:spacing w:after="0"/>
              <w:rPr>
                <w:sz w:val="14"/>
                <w:szCs w:val="14"/>
                <w:color w:val="auto"/>
              </w:rPr>
            </w:pPr>
          </w:p>
        </w:tc>
        <w:tc>
          <w:tcPr>
            <w:tcW w:w="4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15"/>
        </w:trPr>
        <w:tc>
          <w:tcPr>
            <w:tcW w:w="1020" w:type="dxa"/>
            <w:vAlign w:val="bottom"/>
            <w:vMerge w:val="continue"/>
          </w:tcPr>
          <w:p>
            <w:pPr>
              <w:spacing w:after="0"/>
              <w:rPr>
                <w:sz w:val="18"/>
                <w:szCs w:val="18"/>
                <w:color w:val="auto"/>
              </w:rPr>
            </w:pPr>
          </w:p>
        </w:tc>
        <w:tc>
          <w:tcPr>
            <w:tcW w:w="1680" w:type="dxa"/>
            <w:vAlign w:val="bottom"/>
            <w:tcBorders>
              <w:bottom w:val="single" w:sz="8" w:color="0000FF"/>
            </w:tcBorders>
            <w:gridSpan w:val="8"/>
            <w:vMerge w:val="continue"/>
          </w:tcPr>
          <w:p>
            <w:pPr>
              <w:spacing w:after="0"/>
              <w:rPr>
                <w:sz w:val="18"/>
                <w:szCs w:val="18"/>
                <w:color w:val="auto"/>
              </w:rPr>
            </w:pPr>
          </w:p>
        </w:tc>
        <w:tc>
          <w:tcPr>
            <w:tcW w:w="8140" w:type="dxa"/>
            <w:vAlign w:val="bottom"/>
            <w:gridSpan w:val="11"/>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9820" w:type="dxa"/>
            <w:vAlign w:val="bottom"/>
            <w:gridSpan w:val="19"/>
          </w:tcPr>
          <w:p>
            <w:pPr>
              <w:spacing w:after="0"/>
              <w:rPr>
                <w:sz w:val="20"/>
                <w:szCs w:val="20"/>
                <w:color w:val="auto"/>
              </w:rPr>
            </w:pPr>
            <w:r>
              <w:rPr>
                <w:rFonts w:ascii="Arial" w:cs="Arial" w:eastAsia="Arial" w:hAnsi="Arial"/>
                <w:sz w:val="18"/>
                <w:szCs w:val="18"/>
                <w:color w:val="0000FF"/>
              </w:rPr>
              <w:t>Financial Statements</w:t>
            </w:r>
          </w:p>
        </w:tc>
        <w:tc>
          <w:tcPr>
            <w:tcW w:w="400" w:type="dxa"/>
            <w:vAlign w:val="bottom"/>
            <w:gridSpan w:val="4"/>
            <w:vMerge w:val="restart"/>
          </w:tcPr>
          <w:p>
            <w:pPr>
              <w:jc w:val="right"/>
              <w:ind w:right="6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9820" w:type="dxa"/>
            <w:vAlign w:val="bottom"/>
            <w:gridSpan w:val="19"/>
          </w:tcPr>
          <w:p>
            <w:pPr>
              <w:spacing w:after="0" w:line="196" w:lineRule="exact"/>
              <w:rPr>
                <w:sz w:val="20"/>
                <w:szCs w:val="20"/>
                <w:color w:val="auto"/>
              </w:rPr>
            </w:pPr>
            <w:r>
              <w:rPr>
                <w:rFonts w:ascii="Arial" w:cs="Arial" w:eastAsia="Arial" w:hAnsi="Arial"/>
                <w:sz w:val="18"/>
                <w:szCs w:val="18"/>
                <w:color w:val="0000FF"/>
              </w:rPr>
              <w:t>Consolidated Condensed Statements of Comprehensive Income for the Three Months Ended March 31, 2024</w:t>
            </w:r>
          </w:p>
        </w:tc>
        <w:tc>
          <w:tcPr>
            <w:tcW w:w="4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8720" w:type="dxa"/>
            <w:vAlign w:val="bottom"/>
            <w:tcBorders>
              <w:top w:val="single" w:sz="8" w:color="0000FF"/>
            </w:tcBorders>
            <w:gridSpan w:val="17"/>
          </w:tcPr>
          <w:p>
            <w:pPr>
              <w:spacing w:after="0" w:line="202" w:lineRule="exact"/>
              <w:rPr>
                <w:sz w:val="20"/>
                <w:szCs w:val="20"/>
                <w:color w:val="auto"/>
              </w:rPr>
            </w:pPr>
            <w:r>
              <w:rPr>
                <w:rFonts w:ascii="Arial" w:cs="Arial" w:eastAsia="Arial" w:hAnsi="Arial"/>
                <w:sz w:val="18"/>
                <w:szCs w:val="18"/>
                <w:color w:val="0000FF"/>
              </w:rPr>
              <w:t>and 2023 (Unaudited)</w:t>
            </w:r>
          </w:p>
        </w:tc>
        <w:tc>
          <w:tcPr>
            <w:tcW w:w="11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gridSpan w:val="4"/>
            <w:vMerge w:val="restart"/>
          </w:tcPr>
          <w:p>
            <w:pPr>
              <w:jc w:val="right"/>
              <w:ind w:right="6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820" w:type="dxa"/>
            <w:vAlign w:val="bottom"/>
            <w:gridSpan w:val="19"/>
          </w:tcPr>
          <w:p>
            <w:pPr>
              <w:spacing w:after="0"/>
              <w:rPr>
                <w:sz w:val="20"/>
                <w:szCs w:val="20"/>
                <w:color w:val="auto"/>
              </w:rPr>
            </w:pPr>
            <w:r>
              <w:rPr>
                <w:rFonts w:ascii="Arial" w:cs="Arial" w:eastAsia="Arial" w:hAnsi="Arial"/>
                <w:sz w:val="18"/>
                <w:szCs w:val="18"/>
                <w:color w:val="0000FF"/>
              </w:rPr>
              <w:t>Consolidated Condensed Balance Sheets as of March 31, 2024 and December 31, 2023 (Unaudited)</w:t>
            </w:r>
          </w:p>
        </w:tc>
        <w:tc>
          <w:tcPr>
            <w:tcW w:w="4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Borders>
              <w:bottom w:val="single" w:sz="8" w:color="0000FF"/>
            </w:tcBorders>
            <w:gridSpan w:val="3"/>
            <w:shd w:val="clear" w:color="auto" w:fill="0000FF"/>
          </w:tcPr>
          <w:p>
            <w:pPr>
              <w:spacing w:after="0" w:line="20" w:lineRule="exact"/>
              <w:rPr>
                <w:sz w:val="1"/>
                <w:szCs w:val="1"/>
                <w:color w:val="auto"/>
              </w:rPr>
            </w:pPr>
          </w:p>
        </w:tc>
        <w:tc>
          <w:tcPr>
            <w:tcW w:w="270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1620" w:type="dxa"/>
            <w:vAlign w:val="bottom"/>
            <w:tcBorders>
              <w:bottom w:val="single" w:sz="8" w:color="0000FF"/>
            </w:tcBorders>
            <w:shd w:val="clear" w:color="auto" w:fill="0000FF"/>
          </w:tcPr>
          <w:p>
            <w:pPr>
              <w:spacing w:after="0" w:line="20" w:lineRule="exact"/>
              <w:rPr>
                <w:sz w:val="1"/>
                <w:szCs w:val="1"/>
                <w:color w:val="auto"/>
              </w:rPr>
            </w:pPr>
          </w:p>
        </w:tc>
        <w:tc>
          <w:tcPr>
            <w:tcW w:w="960" w:type="dxa"/>
            <w:vAlign w:val="bottom"/>
            <w:tcBorders>
              <w:bottom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820" w:type="dxa"/>
            <w:vAlign w:val="bottom"/>
            <w:gridSpan w:val="19"/>
          </w:tcPr>
          <w:p>
            <w:pPr>
              <w:spacing w:after="0"/>
              <w:rPr>
                <w:sz w:val="20"/>
                <w:szCs w:val="20"/>
                <w:color w:val="auto"/>
              </w:rPr>
            </w:pPr>
            <w:r>
              <w:rPr>
                <w:rFonts w:ascii="Arial" w:cs="Arial" w:eastAsia="Arial" w:hAnsi="Arial"/>
                <w:sz w:val="18"/>
                <w:szCs w:val="18"/>
                <w:color w:val="0000FF"/>
              </w:rPr>
              <w:t>Consolidated Condensed Statements of Cash Flows for the Three Months Ended March 31, 2024 and 2023</w:t>
            </w:r>
          </w:p>
        </w:tc>
        <w:tc>
          <w:tcPr>
            <w:tcW w:w="240" w:type="dxa"/>
            <w:vAlign w:val="bottom"/>
            <w:gridSpan w:val="2"/>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8560" w:type="dxa"/>
            <w:vAlign w:val="bottom"/>
            <w:tcBorders>
              <w:top w:val="single" w:sz="8" w:color="0000FF"/>
            </w:tcBorders>
            <w:gridSpan w:val="16"/>
          </w:tcPr>
          <w:p>
            <w:pPr>
              <w:spacing w:after="0" w:line="202" w:lineRule="exact"/>
              <w:rPr>
                <w:sz w:val="20"/>
                <w:szCs w:val="20"/>
                <w:color w:val="auto"/>
              </w:rPr>
            </w:pPr>
            <w:r>
              <w:rPr>
                <w:rFonts w:ascii="Arial" w:cs="Arial" w:eastAsia="Arial" w:hAnsi="Arial"/>
                <w:sz w:val="18"/>
                <w:szCs w:val="18"/>
                <w:color w:val="0000FF"/>
              </w:rPr>
              <w:t>(Unaudited)</w:t>
            </w:r>
          </w:p>
        </w:tc>
        <w:tc>
          <w:tcPr>
            <w:tcW w:w="126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gridSpan w:val="4"/>
            <w:vMerge w:val="restart"/>
          </w:tcPr>
          <w:p>
            <w:pPr>
              <w:jc w:val="right"/>
              <w:ind w:right="6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line="20" w:lineRule="exact"/>
              <w:rPr>
                <w:sz w:val="1"/>
                <w:szCs w:val="1"/>
                <w:color w:val="auto"/>
              </w:rPr>
            </w:pPr>
          </w:p>
        </w:tc>
      </w:tr>
      <w:tr>
        <w:trPr>
          <w:trHeight w:val="244"/>
        </w:trPr>
        <w:tc>
          <w:tcPr>
            <w:tcW w:w="1020" w:type="dxa"/>
            <w:vAlign w:val="bottom"/>
          </w:tcPr>
          <w:p>
            <w:pPr>
              <w:spacing w:after="0"/>
              <w:rPr>
                <w:sz w:val="21"/>
                <w:szCs w:val="21"/>
                <w:color w:val="auto"/>
              </w:rPr>
            </w:pPr>
          </w:p>
        </w:tc>
        <w:tc>
          <w:tcPr>
            <w:tcW w:w="9820" w:type="dxa"/>
            <w:vAlign w:val="bottom"/>
            <w:gridSpan w:val="19"/>
          </w:tcPr>
          <w:p>
            <w:pPr>
              <w:spacing w:after="0"/>
              <w:rPr>
                <w:sz w:val="20"/>
                <w:szCs w:val="20"/>
                <w:color w:val="auto"/>
              </w:rPr>
            </w:pPr>
            <w:r>
              <w:rPr>
                <w:rFonts w:ascii="Arial" w:cs="Arial" w:eastAsia="Arial" w:hAnsi="Arial"/>
                <w:sz w:val="18"/>
                <w:szCs w:val="18"/>
                <w:color w:val="0000FF"/>
              </w:rPr>
              <w:t>Consolidated Condensed Statements of Stockholders’ Equity for the Three Months Ended March 31, 2024 and</w:t>
            </w:r>
          </w:p>
        </w:tc>
        <w:tc>
          <w:tcPr>
            <w:tcW w:w="400" w:type="dxa"/>
            <w:vAlign w:val="bottom"/>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5"/>
          </w:tcPr>
          <w:p>
            <w:pPr>
              <w:spacing w:after="0" w:line="202" w:lineRule="exact"/>
              <w:rPr>
                <w:sz w:val="20"/>
                <w:szCs w:val="20"/>
                <w:color w:val="auto"/>
              </w:rPr>
            </w:pPr>
            <w:r>
              <w:rPr>
                <w:rFonts w:ascii="Arial" w:cs="Arial" w:eastAsia="Arial" w:hAnsi="Arial"/>
                <w:sz w:val="18"/>
                <w:szCs w:val="18"/>
                <w:color w:val="0000FF"/>
                <w:w w:val="99"/>
              </w:rPr>
              <w:t>2023 (Unaudited)</w:t>
            </w:r>
          </w:p>
        </w:tc>
        <w:tc>
          <w:tcPr>
            <w:tcW w:w="7400" w:type="dxa"/>
            <w:vAlign w:val="bottom"/>
            <w:tcBorders>
              <w:top w:val="single" w:sz="8" w:color="0000FF"/>
            </w:tcBorders>
            <w:gridSpan w:val="13"/>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9820" w:type="dxa"/>
            <w:vAlign w:val="bottom"/>
            <w:gridSpan w:val="19"/>
          </w:tcPr>
          <w:p>
            <w:pPr>
              <w:spacing w:after="0"/>
              <w:rPr>
                <w:sz w:val="20"/>
                <w:szCs w:val="20"/>
                <w:color w:val="auto"/>
              </w:rPr>
            </w:pPr>
            <w:r>
              <w:rPr>
                <w:rFonts w:ascii="Arial" w:cs="Arial" w:eastAsia="Arial" w:hAnsi="Arial"/>
                <w:sz w:val="18"/>
                <w:szCs w:val="18"/>
                <w:color w:val="0000FF"/>
              </w:rPr>
              <w:t>Notes to Consolidated Condensed Financial Statements (Unaudited)</w:t>
            </w: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982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0000FF"/>
              </w:rPr>
              <w:t>27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gridSpan w:val="11"/>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80" w:type="dxa"/>
            <w:vAlign w:val="bottom"/>
            <w:gridSpan w:val="3"/>
          </w:tcPr>
          <w:p>
            <w:pPr>
              <w:spacing w:after="0"/>
              <w:rPr>
                <w:sz w:val="18"/>
                <w:szCs w:val="18"/>
                <w:color w:val="auto"/>
              </w:rPr>
            </w:pPr>
          </w:p>
        </w:tc>
        <w:tc>
          <w:tcPr>
            <w:tcW w:w="274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4.</w:t>
            </w:r>
          </w:p>
        </w:tc>
        <w:tc>
          <w:tcPr>
            <w:tcW w:w="2000" w:type="dxa"/>
            <w:vAlign w:val="bottom"/>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2700" w:type="dxa"/>
            <w:vAlign w:val="bottom"/>
          </w:tcPr>
          <w:p>
            <w:pPr>
              <w:spacing w:after="0"/>
              <w:rPr>
                <w:sz w:val="18"/>
                <w:szCs w:val="18"/>
                <w:color w:val="auto"/>
              </w:rPr>
            </w:pPr>
          </w:p>
        </w:tc>
        <w:tc>
          <w:tcPr>
            <w:tcW w:w="5120" w:type="dxa"/>
            <w:vAlign w:val="bottom"/>
            <w:gridSpan w:val="8"/>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34</w:t>
            </w: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9"/>
              </w:rPr>
              <w:t>Other Information</w:t>
            </w:r>
          </w:p>
        </w:tc>
        <w:tc>
          <w:tcPr>
            <w:tcW w:w="580" w:type="dxa"/>
            <w:vAlign w:val="bottom"/>
            <w:tcBorders>
              <w:top w:val="single" w:sz="8" w:color="0000FF"/>
            </w:tcBorders>
            <w:gridSpan w:val="4"/>
          </w:tcPr>
          <w:p>
            <w:pPr>
              <w:spacing w:after="0"/>
              <w:rPr>
                <w:sz w:val="18"/>
                <w:szCs w:val="18"/>
                <w:color w:val="auto"/>
              </w:rPr>
            </w:pPr>
          </w:p>
        </w:tc>
        <w:tc>
          <w:tcPr>
            <w:tcW w:w="7820" w:type="dxa"/>
            <w:vAlign w:val="bottom"/>
            <w:gridSpan w:val="9"/>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7"/>
          </w:tcPr>
          <w:p>
            <w:pPr>
              <w:spacing w:after="0"/>
              <w:rPr>
                <w:sz w:val="20"/>
                <w:szCs w:val="20"/>
                <w:color w:val="auto"/>
              </w:rPr>
            </w:pPr>
            <w:r>
              <w:rPr>
                <w:rFonts w:ascii="Arial" w:cs="Arial" w:eastAsia="Arial" w:hAnsi="Arial"/>
                <w:sz w:val="18"/>
                <w:szCs w:val="18"/>
                <w:color w:val="0000FF"/>
                <w:w w:val="99"/>
              </w:rPr>
              <w:t>Legal Proceedings</w:t>
            </w:r>
          </w:p>
        </w:tc>
        <w:tc>
          <w:tcPr>
            <w:tcW w:w="8320" w:type="dxa"/>
            <w:vAlign w:val="bottom"/>
            <w:gridSpan w:val="12"/>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8320" w:type="dxa"/>
            <w:vAlign w:val="bottom"/>
            <w:gridSpan w:val="12"/>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2"/>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960" w:type="dxa"/>
            <w:vAlign w:val="bottom"/>
            <w:gridSpan w:val="7"/>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5.</w:t>
            </w:r>
          </w:p>
        </w:tc>
        <w:tc>
          <w:tcPr>
            <w:tcW w:w="4860" w:type="dxa"/>
            <w:vAlign w:val="bottom"/>
            <w:gridSpan w:val="12"/>
          </w:tcPr>
          <w:p>
            <w:pPr>
              <w:spacing w:after="0"/>
              <w:rPr>
                <w:sz w:val="20"/>
                <w:szCs w:val="20"/>
                <w:color w:val="auto"/>
              </w:rPr>
            </w:pPr>
            <w:r>
              <w:rPr>
                <w:rFonts w:ascii="Arial" w:cs="Arial" w:eastAsia="Arial" w:hAnsi="Arial"/>
                <w:sz w:val="18"/>
                <w:szCs w:val="18"/>
                <w:color w:val="0000FF"/>
              </w:rPr>
              <w:t>Other Information</w:t>
            </w:r>
          </w:p>
        </w:tc>
        <w:tc>
          <w:tcPr>
            <w:tcW w:w="4960" w:type="dxa"/>
            <w:vAlign w:val="bottom"/>
            <w:gridSpan w:val="7"/>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420" w:type="dxa"/>
            <w:vAlign w:val="bottom"/>
            <w:gridSpan w:val="1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8420" w:type="dxa"/>
            <w:vAlign w:val="bottom"/>
            <w:gridSpan w:val="14"/>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960" w:type="dxa"/>
            <w:vAlign w:val="bottom"/>
            <w:gridSpan w:val="1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82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1053"/>
        </w:trPr>
        <w:tc>
          <w:tcPr>
            <w:tcW w:w="10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“intends,” “projects,” “estimates,” “plans,” “forecasts,” “guidance,” and similar words, expressions or phrases. The following important factors and assumptions could affect our future results and could cause actual results to differ materially from those expressed in such forward-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looking statements. These factors include, but are not limited to:</w:t>
      </w:r>
    </w:p>
    <w:p>
      <w:pPr>
        <w:spacing w:after="0" w:line="234" w:lineRule="exact"/>
        <w:rPr>
          <w:sz w:val="20"/>
          <w:szCs w:val="20"/>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resulting from inflation or otherwise, manufacturer recalls, disruption in the supply of new vehicles, including due to labor actions or otherwise, shortages in semiconductors used in new vehicle production, and/or a change in the price at which we dispose of used vehicles either in the used vehicle market or under repurchase or guaranteed depreciation programs;</w:t>
      </w:r>
    </w:p>
    <w:p>
      <w:pPr>
        <w:spacing w:after="0" w:line="203"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levels of and volatility in travel demand, including future volatility in airline passenger traffic;</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deterioration in economic conditions, resulting in a recession or otherwise, particularly during our peak season or in key market segments;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diseases such as COVID-19, natural disasters, military conflicts, including the ongoing military conflicts in the Middle East and Eastern Europe, or civil unrest in the locations in which we operate, and the potential effects of sanctions on the world economy and markets and/or international trade;</w:t>
      </w:r>
    </w:p>
    <w:p>
      <w:pPr>
        <w:spacing w:after="0" w:line="197"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as a result of a global pandemic such as COVID-19, inflation, the ongoing military conflicts in the Middle East and Eastern Europe, and any embargoes on oil sales imposed on or by the Russian government;</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implement or achieve our business plans and strategies, achieve and maintain cost savings and adapt our business to changes in mobility;</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performance of the used vehicle market from time to time, including our ability to dispose of vehicles in the used vehicle market on attractive terms;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effectively integrate any acquired businesses or capitalize on joint ventures, partnerships and other investments;</w:t>
      </w:r>
    </w:p>
    <w:p>
      <w:pPr>
        <w:spacing w:after="0" w:line="252" w:lineRule="exact"/>
        <w:rPr>
          <w:sz w:val="20"/>
          <w:szCs w:val="20"/>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fuel prices and exchange rates, changes in government regulations and other factors;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20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third-party vendors, licensees, dealers, independent operators and independent contractors and/or disputes that may arise out of our agreements with such parties;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recent and future interest rate increases, which increase our financing costs, downgrades by rating agencies and our ability to incur substantially more debt;</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changes in the assumptions and estimates that are used in our impairment testing for goodwill or intangible assets, which could result in a significant impairment of our goodwill or intangible assets; and</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 results are materially different from those forecasted or anticipated. Other factors and assumptions not identified above, including those discussed in “Management’s Discussion and Analysis of Financial Condition and Results of Operations,” in Item 2 and “Risk Factors” in Item 1A in this quarterly report and in similarly titled sections set forth in Item 7 and in Item 1A and in other portions of our 2023 Annual Report on Form 10-K filed with the Securities and Exchange Commission (the “SEC”) on February 16, 2024 (the “2023 Form 10-K”), may cause actual results to differ materially from those projected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color w:val="auto"/>
        </w:rPr>
        <w:t>Three Months Ended</w:t>
      </w:r>
    </w:p>
    <w:p>
      <w:pPr>
        <w:jc w:val="center"/>
        <w:ind w:left="75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420" w:type="dxa"/>
        <w:tblCellMar>
          <w:top w:w="0" w:type="dxa"/>
          <w:left w:w="0" w:type="dxa"/>
          <w:bottom w:w="0" w:type="dxa"/>
          <w:right w:w="0" w:type="dxa"/>
        </w:tblCellMar>
      </w:tblPr>
      <w:tr>
        <w:trPr>
          <w:trHeight w:val="225"/>
        </w:trPr>
        <w:tc>
          <w:tcPr>
            <w:tcW w:w="750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750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474"/>
        </w:trPr>
        <w:tc>
          <w:tcPr>
            <w:tcW w:w="75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29"/>
        </w:trPr>
        <w:tc>
          <w:tcPr>
            <w:tcW w:w="7500" w:type="dxa"/>
            <w:vAlign w:val="bottom"/>
          </w:tcPr>
          <w:p>
            <w:pPr>
              <w:ind w:left="200"/>
              <w:spacing w:after="0"/>
              <w:rPr>
                <w:sz w:val="20"/>
                <w:szCs w:val="20"/>
                <w:color w:val="auto"/>
              </w:rPr>
            </w:pPr>
            <w:r>
              <w:rPr>
                <w:rFonts w:ascii="Arial" w:cs="Arial" w:eastAsia="Arial" w:hAnsi="Arial"/>
                <w:sz w:val="18"/>
                <w:szCs w:val="18"/>
                <w:color w:val="auto"/>
              </w:rPr>
              <w:t>Vehicle depreciation and lease charges,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75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7500" w:type="dxa"/>
            <w:vAlign w:val="bottom"/>
          </w:tcPr>
          <w:p>
            <w:pPr>
              <w:ind w:left="200"/>
              <w:spacing w:after="0"/>
              <w:rPr>
                <w:sz w:val="20"/>
                <w:szCs w:val="20"/>
                <w:color w:val="auto"/>
              </w:rPr>
            </w:pPr>
            <w:r>
              <w:rPr>
                <w:rFonts w:ascii="Arial" w:cs="Arial" w:eastAsia="Arial" w:hAnsi="Arial"/>
                <w:sz w:val="18"/>
                <w:szCs w:val="18"/>
                <w:color w:val="auto"/>
              </w:rPr>
              <w:t>Vehicle interest,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7500" w:type="dxa"/>
            <w:vAlign w:val="bottom"/>
          </w:tcPr>
          <w:p>
            <w:pPr>
              <w:ind w:left="200"/>
              <w:spacing w:after="0"/>
              <w:rPr>
                <w:sz w:val="20"/>
                <w:szCs w:val="20"/>
                <w:color w:val="auto"/>
              </w:rPr>
            </w:pPr>
            <w:r>
              <w:rPr>
                <w:rFonts w:ascii="Arial" w:cs="Arial" w:eastAsia="Arial" w:hAnsi="Arial"/>
                <w:sz w:val="18"/>
                <w:szCs w:val="18"/>
                <w:color w:val="auto"/>
              </w:rPr>
              <w:t>Non-vehicle related depreciation and amortization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7500" w:type="dxa"/>
            <w:vAlign w:val="bottom"/>
          </w:tcPr>
          <w:p>
            <w:pPr>
              <w:ind w:left="200"/>
              <w:spacing w:after="0"/>
              <w:rPr>
                <w:sz w:val="20"/>
                <w:szCs w:val="20"/>
                <w:color w:val="auto"/>
              </w:rPr>
            </w:pPr>
            <w:r>
              <w:rPr>
                <w:rFonts w:ascii="Arial" w:cs="Arial" w:eastAsia="Arial" w:hAnsi="Arial"/>
                <w:sz w:val="18"/>
                <w:szCs w:val="18"/>
                <w:color w:val="auto"/>
              </w:rPr>
              <w:t>Interest expense related to corporate debt,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7500" w:type="dxa"/>
            <w:vAlign w:val="bottom"/>
          </w:tcPr>
          <w:p>
            <w:pPr>
              <w:ind w:left="20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500" w:type="dxa"/>
            <w:vAlign w:val="bottom"/>
          </w:tcPr>
          <w:p>
            <w:pPr>
              <w:ind w:left="200"/>
              <w:spacing w:after="0"/>
              <w:rPr>
                <w:sz w:val="20"/>
                <w:szCs w:val="20"/>
                <w:color w:val="auto"/>
              </w:rPr>
            </w:pPr>
            <w:r>
              <w:rPr>
                <w:rFonts w:ascii="Arial" w:cs="Arial" w:eastAsia="Arial" w:hAnsi="Arial"/>
                <w:sz w:val="18"/>
                <w:szCs w:val="18"/>
                <w:color w:val="auto"/>
              </w:rPr>
              <w:t>Transaction-related costs, net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50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2"/>
        </w:trPr>
        <w:tc>
          <w:tcPr>
            <w:tcW w:w="7500" w:type="dxa"/>
            <w:vAlign w:val="bottom"/>
          </w:tcPr>
          <w:p>
            <w:pPr>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485"/>
        </w:trPr>
        <w:tc>
          <w:tcPr>
            <w:tcW w:w="75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5"/>
        </w:trPr>
        <w:tc>
          <w:tcPr>
            <w:tcW w:w="7500" w:type="dxa"/>
            <w:vAlign w:val="bottom"/>
          </w:tcPr>
          <w:p>
            <w:pPr>
              <w:ind w:left="20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7500" w:type="dxa"/>
            <w:vAlign w:val="bottom"/>
          </w:tcPr>
          <w:p>
            <w:pPr>
              <w:ind w:left="200"/>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00" w:type="dxa"/>
            <w:vAlign w:val="bottom"/>
          </w:tcPr>
          <w:p>
            <w:pPr>
              <w:spacing w:after="0"/>
              <w:rPr>
                <w:sz w:val="20"/>
                <w:szCs w:val="20"/>
                <w:color w:val="auto"/>
              </w:rPr>
            </w:pPr>
            <w:r>
              <w:rPr>
                <w:rFonts w:ascii="Arial" w:cs="Arial" w:eastAsia="Arial" w:hAnsi="Arial"/>
                <w:sz w:val="18"/>
                <w:szCs w:val="18"/>
                <w:b w:val="1"/>
                <w:bCs w:val="1"/>
                <w:color w:val="auto"/>
              </w:rPr>
              <w:t>Net income (loss) attributable to Avis Budget Group, Inc.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500" w:type="dxa"/>
            <w:vAlign w:val="bottom"/>
          </w:tcPr>
          <w:p>
            <w:pPr>
              <w:spacing w:after="0"/>
              <w:rPr>
                <w:sz w:val="20"/>
                <w:szCs w:val="20"/>
                <w:color w:val="auto"/>
              </w:rPr>
            </w:pPr>
            <w:r>
              <w:rPr>
                <w:rFonts w:ascii="Arial" w:cs="Arial" w:eastAsia="Arial" w:hAnsi="Arial"/>
                <w:sz w:val="18"/>
                <w:szCs w:val="18"/>
                <w:b w:val="1"/>
                <w:bCs w:val="1"/>
                <w:color w:val="auto"/>
              </w:rPr>
              <w:t>Comprehensive income (loss) attributable to Avis Budget Group, Inc.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474"/>
        </w:trPr>
        <w:tc>
          <w:tcPr>
            <w:tcW w:w="750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39"/>
        </w:trPr>
        <w:tc>
          <w:tcPr>
            <w:tcW w:w="7500" w:type="dxa"/>
            <w:vAlign w:val="bottom"/>
          </w:tcPr>
          <w:p>
            <w:pPr>
              <w:ind w:left="20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85"/>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760" w:type="dxa"/>
            <w:vAlign w:val="bottom"/>
          </w:tcPr>
          <w:p>
            <w:pPr>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2,139</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709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2,654</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1,868</w:t>
            </w:r>
          </w:p>
        </w:tc>
        <w:tc>
          <w:tcPr>
            <w:tcW w:w="0" w:type="dxa"/>
            <w:vAlign w:val="bottom"/>
          </w:tcPr>
          <w:p>
            <w:pPr>
              <w:spacing w:after="0"/>
              <w:rPr>
                <w:sz w:val="1"/>
                <w:szCs w:val="1"/>
                <w:color w:val="auto"/>
              </w:rPr>
            </w:pPr>
          </w:p>
        </w:tc>
      </w:tr>
      <w:tr>
        <w:trPr>
          <w:trHeight w:val="202"/>
        </w:trPr>
        <w:tc>
          <w:tcPr>
            <w:tcW w:w="7760" w:type="dxa"/>
            <w:vAlign w:val="bottom"/>
          </w:tcPr>
          <w:p>
            <w:pPr>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Other intangibles, net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04"/>
        </w:trPr>
        <w:tc>
          <w:tcPr>
            <w:tcW w:w="776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assets exclusive of assets under vehicle programs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9,590</w:t>
            </w:r>
          </w:p>
        </w:tc>
        <w:tc>
          <w:tcPr>
            <w:tcW w:w="0" w:type="dxa"/>
            <w:vAlign w:val="bottom"/>
          </w:tcPr>
          <w:p>
            <w:pPr>
              <w:spacing w:after="0"/>
              <w:rPr>
                <w:sz w:val="1"/>
                <w:szCs w:val="1"/>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Program cash</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Vehicles, net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21,240</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from vehicle manufacturers and other</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07"/>
        </w:trPr>
        <w:tc>
          <w:tcPr>
            <w:tcW w:w="7760" w:type="dxa"/>
            <w:vAlign w:val="bottom"/>
          </w:tcPr>
          <w:p>
            <w:pPr>
              <w:ind w:left="220"/>
              <w:spacing w:after="0"/>
              <w:rPr>
                <w:sz w:val="20"/>
                <w:szCs w:val="20"/>
                <w:color w:val="auto"/>
              </w:rPr>
            </w:pPr>
            <w:r>
              <w:rPr>
                <w:rFonts w:ascii="Arial" w:cs="Arial" w:eastAsia="Arial" w:hAnsi="Arial"/>
                <w:sz w:val="14"/>
                <w:szCs w:val="14"/>
                <w:color w:val="auto"/>
              </w:rPr>
              <w:t>Investment in Avis Budget Rental Car Funding (AESOP) LLC—related party</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23,729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22,979</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33,528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32,569</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7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Accounts payable and other current liabilities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2,669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2,627</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Short-term debt and current portion of long-term debt</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2,659</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5,032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4,791</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2,117</w:t>
            </w:r>
          </w:p>
        </w:tc>
        <w:tc>
          <w:tcPr>
            <w:tcW w:w="0" w:type="dxa"/>
            <w:vAlign w:val="bottom"/>
          </w:tcPr>
          <w:p>
            <w:pPr>
              <w:spacing w:after="0"/>
              <w:rPr>
                <w:sz w:val="1"/>
                <w:szCs w:val="1"/>
                <w:color w:val="auto"/>
              </w:rPr>
            </w:pPr>
          </w:p>
        </w:tc>
      </w:tr>
      <w:tr>
        <w:trPr>
          <w:trHeight w:val="204"/>
        </w:trPr>
        <w:tc>
          <w:tcPr>
            <w:tcW w:w="77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 programs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10,095</w:t>
            </w:r>
          </w:p>
        </w:tc>
        <w:tc>
          <w:tcPr>
            <w:tcW w:w="0" w:type="dxa"/>
            <w:vAlign w:val="bottom"/>
          </w:tcPr>
          <w:p>
            <w:pPr>
              <w:spacing w:after="0"/>
              <w:rPr>
                <w:sz w:val="1"/>
                <w:szCs w:val="1"/>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Debt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3,241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3,496</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Debt due to Avis Budget Rental Car Funding (AESOP) LLC—related party</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15,949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15,441</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3,418</w:t>
            </w:r>
          </w:p>
        </w:tc>
        <w:tc>
          <w:tcPr>
            <w:tcW w:w="0" w:type="dxa"/>
            <w:vAlign w:val="bottom"/>
          </w:tcPr>
          <w:p>
            <w:pPr>
              <w:spacing w:after="0"/>
              <w:rPr>
                <w:sz w:val="1"/>
                <w:szCs w:val="1"/>
                <w:color w:val="auto"/>
              </w:rPr>
            </w:pPr>
          </w:p>
        </w:tc>
      </w:tr>
      <w:tr>
        <w:trPr>
          <w:trHeight w:val="207"/>
        </w:trPr>
        <w:tc>
          <w:tcPr>
            <w:tcW w:w="7760" w:type="dxa"/>
            <w:vAlign w:val="bottom"/>
          </w:tcPr>
          <w:p>
            <w:pPr>
              <w:ind w:left="2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23,187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22,817</w:t>
            </w:r>
          </w:p>
        </w:tc>
        <w:tc>
          <w:tcPr>
            <w:tcW w:w="0" w:type="dxa"/>
            <w:vAlign w:val="bottom"/>
          </w:tcPr>
          <w:p>
            <w:pPr>
              <w:spacing w:after="0"/>
              <w:rPr>
                <w:sz w:val="1"/>
                <w:szCs w:val="1"/>
                <w:color w:val="auto"/>
              </w:rPr>
            </w:pPr>
          </w:p>
        </w:tc>
      </w:tr>
      <w:tr>
        <w:trPr>
          <w:trHeight w:val="181"/>
        </w:trPr>
        <w:tc>
          <w:tcPr>
            <w:tcW w:w="7760" w:type="dxa"/>
            <w:vAlign w:val="bottom"/>
          </w:tcPr>
          <w:p>
            <w:pPr>
              <w:spacing w:after="0"/>
              <w:rPr>
                <w:sz w:val="20"/>
                <w:szCs w:val="20"/>
                <w:color w:val="auto"/>
              </w:rPr>
            </w:pPr>
            <w:r>
              <w:rPr>
                <w:rFonts w:ascii="Arial" w:cs="Arial" w:eastAsia="Arial" w:hAnsi="Arial"/>
                <w:sz w:val="14"/>
                <w:szCs w:val="14"/>
                <w:color w:val="auto"/>
              </w:rPr>
              <w:t>Commitments and contingencies (Note 12)</w:t>
            </w: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Preferred stock, $0.01 par value—authorized 10 shares; none issued and outstanding, in each period</w:t>
            </w:r>
          </w:p>
        </w:tc>
        <w:tc>
          <w:tcPr>
            <w:tcW w:w="3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Common stock, $0.01 par value—authorized 250 shares; issued 137 shares, in each period</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6,610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6,634</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Retained earnings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3,738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3,854</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Treasury stock, at cost—101 and 102 shares, respectively</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(10,742)</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Stockholders’ equity attributable to Avis Budget Group, Inc.</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Non-controlling interests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99"/>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33,528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32,569</w:t>
            </w:r>
          </w:p>
        </w:tc>
        <w:tc>
          <w:tcPr>
            <w:tcW w:w="0" w:type="dxa"/>
            <w:vAlign w:val="bottom"/>
          </w:tcPr>
          <w:p>
            <w:pPr>
              <w:spacing w:after="0"/>
              <w:rPr>
                <w:sz w:val="1"/>
                <w:szCs w:val="1"/>
                <w:color w:val="auto"/>
              </w:rPr>
            </w:pPr>
          </w:p>
        </w:tc>
      </w:tr>
      <w:tr>
        <w:trPr>
          <w:trHeight w:val="24"/>
        </w:trPr>
        <w:tc>
          <w:tcPr>
            <w:tcW w:w="7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7040" w:type="dxa"/>
            <w:vAlign w:val="bottom"/>
          </w:tcPr>
          <w:p>
            <w:pPr>
              <w:ind w:left="3520"/>
              <w:spacing w:after="0"/>
              <w:rPr>
                <w:sz w:val="20"/>
                <w:szCs w:val="20"/>
                <w:color w:val="auto"/>
              </w:rPr>
            </w:pPr>
            <w:r>
              <w:rPr>
                <w:rFonts w:ascii="Arial" w:cs="Arial" w:eastAsia="Arial" w:hAnsi="Arial"/>
                <w:sz w:val="18"/>
                <w:szCs w:val="18"/>
                <w:b w:val="1"/>
                <w:bCs w:val="1"/>
                <w:color w:val="auto"/>
              </w:rPr>
              <w:t>Avis Budget Group, Inc.</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(In millions)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4"/>
        </w:trPr>
        <w:tc>
          <w:tcPr>
            <w:tcW w:w="84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Vehicle depreciation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Amortization of right-of-use assets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(Gain) loss on sale of vehicles, net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Amortization of debt financing fees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Net change in assets and liabilities: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Income taxes and deferred income taxes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Proceeds received on asset sales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assets acquired (net of cash acquired)</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Investment in vehicles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Proceeds received on disposition of vehicles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23"/>
        </w:trPr>
        <w:tc>
          <w:tcPr>
            <w:tcW w:w="8440" w:type="dxa"/>
            <w:vAlign w:val="bottom"/>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Avis Budget Group, Inc.</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48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(In millions)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(Unaudited)</w:t>
            </w: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4"/>
        </w:trPr>
        <w:tc>
          <w:tcPr>
            <w:tcW w:w="84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Proceeds from long-term borrowings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Payments on long-term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change in short-term borrowings</w:t>
            </w: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Debt financing fees</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 exclusive of vehicle programs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Proceeds from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Payments on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(4,359)</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Debt financing fees</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3"/>
        </w:trPr>
        <w:tc>
          <w:tcPr>
            <w:tcW w:w="8440" w:type="dxa"/>
            <w:vAlign w:val="bottom"/>
            <w:gridSpan w:val="2"/>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46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decrease in cash and cash equivalents, program and restricted cash</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1340" w:type="dxa"/>
            <w:vAlign w:val="bottom"/>
            <w:gridSpan w:val="4"/>
            <w:vMerge w:val="restart"/>
          </w:tcPr>
          <w:p>
            <w:pPr>
              <w:jc w:val="right"/>
              <w:ind w:right="22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Retained</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4"/>
            <w:vMerge w:val="restart"/>
          </w:tcPr>
          <w:p>
            <w:pPr>
              <w:jc w:val="right"/>
              <w:ind w:right="206"/>
              <w:spacing w:after="0"/>
              <w:rPr>
                <w:sz w:val="20"/>
                <w:szCs w:val="20"/>
                <w:color w:val="auto"/>
              </w:rPr>
            </w:pPr>
            <w:r>
              <w:rPr>
                <w:rFonts w:ascii="Arial" w:cs="Arial" w:eastAsia="Arial" w:hAnsi="Arial"/>
                <w:sz w:val="11"/>
                <w:szCs w:val="11"/>
                <w:b w:val="1"/>
                <w:bCs w:val="1"/>
                <w:color w:val="auto"/>
              </w:rPr>
              <w:t>Treasury Stock</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Stockholders’</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260" w:type="dxa"/>
            <w:vAlign w:val="bottom"/>
          </w:tcPr>
          <w:p>
            <w:pPr>
              <w:spacing w:after="0"/>
              <w:rPr>
                <w:sz w:val="9"/>
                <w:szCs w:val="9"/>
                <w:color w:val="auto"/>
              </w:rPr>
            </w:pPr>
          </w:p>
        </w:tc>
        <w:tc>
          <w:tcPr>
            <w:tcW w:w="134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jc w:val="center"/>
              <w:ind w:right="200"/>
              <w:spacing w:after="0" w:line="88" w:lineRule="exact"/>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9"/>
                <w:szCs w:val="9"/>
                <w:color w:val="auto"/>
              </w:rPr>
            </w:pPr>
          </w:p>
        </w:tc>
        <w:tc>
          <w:tcPr>
            <w:tcW w:w="940" w:type="dxa"/>
            <w:vAlign w:val="bottom"/>
            <w:gridSpan w:val="2"/>
          </w:tcPr>
          <w:p>
            <w:pPr>
              <w:jc w:val="center"/>
              <w:ind w:right="200"/>
              <w:spacing w:after="0" w:line="88" w:lineRule="exact"/>
              <w:rPr>
                <w:sz w:val="20"/>
                <w:szCs w:val="20"/>
                <w:color w:val="auto"/>
              </w:rPr>
            </w:pPr>
            <w:r>
              <w:rPr>
                <w:rFonts w:ascii="Arial" w:cs="Arial" w:eastAsia="Arial" w:hAnsi="Arial"/>
                <w:sz w:val="10"/>
                <w:szCs w:val="10"/>
                <w:b w:val="1"/>
                <w:bCs w:val="1"/>
                <w:color w:val="auto"/>
              </w:rPr>
              <w:t>Earnings</w:t>
            </w:r>
          </w:p>
        </w:tc>
        <w:tc>
          <w:tcPr>
            <w:tcW w:w="1160" w:type="dxa"/>
            <w:vAlign w:val="bottom"/>
            <w:gridSpan w:val="3"/>
          </w:tcPr>
          <w:p>
            <w:pPr>
              <w:ind w:left="20"/>
              <w:spacing w:after="0" w:line="88" w:lineRule="exact"/>
              <w:rPr>
                <w:sz w:val="20"/>
                <w:szCs w:val="20"/>
                <w:color w:val="auto"/>
              </w:rPr>
            </w:pPr>
            <w:r>
              <w:rPr>
                <w:rFonts w:ascii="Arial" w:cs="Arial" w:eastAsia="Arial" w:hAnsi="Arial"/>
                <w:sz w:val="10"/>
                <w:szCs w:val="10"/>
                <w:b w:val="1"/>
                <w:bCs w:val="1"/>
                <w:color w:val="auto"/>
              </w:rPr>
              <w:t>Accumulated Other</w:t>
            </w:r>
          </w:p>
        </w:tc>
        <w:tc>
          <w:tcPr>
            <w:tcW w:w="128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20" w:type="dxa"/>
            <w:vAlign w:val="bottom"/>
            <w:gridSpan w:val="3"/>
          </w:tcPr>
          <w:p>
            <w:pPr>
              <w:jc w:val="center"/>
              <w:ind w:right="80"/>
              <w:spacing w:after="0" w:line="88" w:lineRule="exact"/>
              <w:rPr>
                <w:sz w:val="20"/>
                <w:szCs w:val="20"/>
                <w:color w:val="auto"/>
              </w:rPr>
            </w:pPr>
            <w:r>
              <w:rPr>
                <w:rFonts w:ascii="Arial" w:cs="Arial" w:eastAsia="Arial" w:hAnsi="Arial"/>
                <w:sz w:val="10"/>
                <w:szCs w:val="10"/>
                <w:b w:val="1"/>
                <w:bCs w:val="1"/>
                <w:color w:val="auto"/>
              </w:rPr>
              <w:t>Equity Attributable</w:t>
            </w:r>
          </w:p>
        </w:tc>
        <w:tc>
          <w:tcPr>
            <w:tcW w:w="100" w:type="dxa"/>
            <w:vAlign w:val="bottom"/>
          </w:tcPr>
          <w:p>
            <w:pPr>
              <w:spacing w:after="0"/>
              <w:rPr>
                <w:sz w:val="9"/>
                <w:szCs w:val="9"/>
                <w:color w:val="auto"/>
              </w:rPr>
            </w:pPr>
          </w:p>
        </w:tc>
        <w:tc>
          <w:tcPr>
            <w:tcW w:w="760" w:type="dxa"/>
            <w:vAlign w:val="bottom"/>
            <w:gridSpan w:val="2"/>
          </w:tcPr>
          <w:p>
            <w:pPr>
              <w:jc w:val="center"/>
              <w:ind w:right="180"/>
              <w:spacing w:after="0" w:line="88" w:lineRule="exact"/>
              <w:rPr>
                <w:sz w:val="20"/>
                <w:szCs w:val="20"/>
                <w:color w:val="auto"/>
              </w:rPr>
            </w:pPr>
            <w:r>
              <w:rPr>
                <w:rFonts w:ascii="Arial" w:cs="Arial" w:eastAsia="Arial" w:hAnsi="Arial"/>
                <w:sz w:val="10"/>
                <w:szCs w:val="10"/>
                <w:b w:val="1"/>
                <w:bCs w:val="1"/>
                <w:color w:val="auto"/>
              </w:rPr>
              <w:t>Non-</w:t>
            </w:r>
          </w:p>
        </w:tc>
        <w:tc>
          <w:tcPr>
            <w:tcW w:w="100" w:type="dxa"/>
            <w:vAlign w:val="bottom"/>
          </w:tcPr>
          <w:p>
            <w:pPr>
              <w:spacing w:after="0"/>
              <w:rPr>
                <w:sz w:val="9"/>
                <w:szCs w:val="9"/>
                <w:color w:val="auto"/>
              </w:rPr>
            </w:pPr>
          </w:p>
        </w:tc>
        <w:tc>
          <w:tcPr>
            <w:tcW w:w="840" w:type="dxa"/>
            <w:vAlign w:val="bottom"/>
          </w:tcPr>
          <w:p>
            <w:pPr>
              <w:jc w:val="center"/>
              <w:ind w:right="47"/>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2260" w:type="dxa"/>
            <w:vAlign w:val="bottom"/>
          </w:tcPr>
          <w:p>
            <w:pPr>
              <w:spacing w:after="0"/>
              <w:rPr>
                <w:sz w:val="7"/>
                <w:szCs w:val="7"/>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7"/>
                <w:szCs w:val="7"/>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7"/>
                <w:szCs w:val="7"/>
                <w:color w:val="auto"/>
              </w:rPr>
            </w:pPr>
          </w:p>
        </w:tc>
        <w:tc>
          <w:tcPr>
            <w:tcW w:w="7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7"/>
                <w:szCs w:val="7"/>
                <w:color w:val="auto"/>
              </w:rPr>
            </w:pPr>
          </w:p>
        </w:tc>
        <w:tc>
          <w:tcPr>
            <w:tcW w:w="94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7"/>
                <w:szCs w:val="7"/>
                <w:color w:val="auto"/>
              </w:rPr>
            </w:pPr>
          </w:p>
        </w:tc>
        <w:tc>
          <w:tcPr>
            <w:tcW w:w="1060" w:type="dxa"/>
            <w:vAlign w:val="bottom"/>
            <w:gridSpan w:val="2"/>
          </w:tcPr>
          <w:p>
            <w:pPr>
              <w:jc w:val="center"/>
              <w:ind w:right="220"/>
              <w:spacing w:after="0" w:line="89" w:lineRule="exact"/>
              <w:rPr>
                <w:sz w:val="20"/>
                <w:szCs w:val="20"/>
                <w:color w:val="auto"/>
              </w:rPr>
            </w:pPr>
            <w:r>
              <w:rPr>
                <w:rFonts w:ascii="Arial" w:cs="Arial" w:eastAsia="Arial" w:hAnsi="Arial"/>
                <w:sz w:val="10"/>
                <w:szCs w:val="10"/>
                <w:b w:val="1"/>
                <w:bCs w:val="1"/>
                <w:color w:val="auto"/>
              </w:rPr>
              <w:t>Comprehensive</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1020" w:type="dxa"/>
            <w:vAlign w:val="bottom"/>
            <w:gridSpan w:val="2"/>
          </w:tcPr>
          <w:p>
            <w:pPr>
              <w:jc w:val="center"/>
              <w:ind w:right="180"/>
              <w:spacing w:after="0" w:line="89" w:lineRule="exact"/>
              <w:rPr>
                <w:sz w:val="20"/>
                <w:szCs w:val="20"/>
                <w:color w:val="auto"/>
              </w:rPr>
            </w:pPr>
            <w:r>
              <w:rPr>
                <w:rFonts w:ascii="Arial" w:cs="Arial" w:eastAsia="Arial" w:hAnsi="Arial"/>
                <w:sz w:val="10"/>
                <w:szCs w:val="10"/>
                <w:b w:val="1"/>
                <w:bCs w:val="1"/>
                <w:color w:val="auto"/>
              </w:rPr>
              <w:t>to Avis Budget</w:t>
            </w:r>
          </w:p>
        </w:tc>
        <w:tc>
          <w:tcPr>
            <w:tcW w:w="100" w:type="dxa"/>
            <w:vAlign w:val="bottom"/>
          </w:tcPr>
          <w:p>
            <w:pPr>
              <w:spacing w:after="0"/>
              <w:rPr>
                <w:sz w:val="7"/>
                <w:szCs w:val="7"/>
                <w:color w:val="auto"/>
              </w:rPr>
            </w:pPr>
          </w:p>
        </w:tc>
        <w:tc>
          <w:tcPr>
            <w:tcW w:w="7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controlling</w:t>
            </w:r>
          </w:p>
        </w:tc>
        <w:tc>
          <w:tcPr>
            <w:tcW w:w="100" w:type="dxa"/>
            <w:vAlign w:val="bottom"/>
          </w:tcPr>
          <w:p>
            <w:pPr>
              <w:spacing w:after="0"/>
              <w:rPr>
                <w:sz w:val="7"/>
                <w:szCs w:val="7"/>
                <w:color w:val="auto"/>
              </w:rPr>
            </w:pPr>
          </w:p>
        </w:tc>
        <w:tc>
          <w:tcPr>
            <w:tcW w:w="840" w:type="dxa"/>
            <w:vAlign w:val="bottom"/>
          </w:tcPr>
          <w:p>
            <w:pPr>
              <w:jc w:val="center"/>
              <w:ind w:right="67"/>
              <w:spacing w:after="0" w:line="89"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10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Group, Inc.</w:t>
            </w:r>
          </w:p>
        </w:tc>
        <w:tc>
          <w:tcPr>
            <w:tcW w:w="10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Interests</w:t>
            </w:r>
          </w:p>
        </w:tc>
        <w:tc>
          <w:tcPr>
            <w:tcW w:w="100" w:type="dxa"/>
            <w:vAlign w:val="bottom"/>
          </w:tcPr>
          <w:p>
            <w:pPr>
              <w:spacing w:after="0"/>
              <w:rPr>
                <w:sz w:val="13"/>
                <w:szCs w:val="13"/>
                <w:color w:val="auto"/>
              </w:rPr>
            </w:pPr>
          </w:p>
        </w:tc>
        <w:tc>
          <w:tcPr>
            <w:tcW w:w="840" w:type="dxa"/>
            <w:vAlign w:val="bottom"/>
          </w:tcPr>
          <w:p>
            <w:pPr>
              <w:jc w:val="center"/>
              <w:ind w:right="4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20"/>
                <w:szCs w:val="20"/>
                <w:color w:val="auto"/>
              </w:rPr>
            </w:pPr>
            <w:r>
              <w:rPr>
                <w:rFonts w:ascii="Arial" w:cs="Arial" w:eastAsia="Arial" w:hAnsi="Arial"/>
                <w:sz w:val="11"/>
                <w:szCs w:val="11"/>
                <w:b w:val="1"/>
                <w:bCs w:val="1"/>
                <w:color w:val="auto"/>
              </w:rPr>
              <w:t>Balance at December 31, 2023</w:t>
            </w: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6,634</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3,854</w:t>
            </w:r>
          </w:p>
        </w:tc>
        <w:tc>
          <w:tcPr>
            <w:tcW w:w="10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(101.6)</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(10,742)</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(349)</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(343)</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260" w:type="dxa"/>
            <w:vAlign w:val="bottom"/>
          </w:tcPr>
          <w:p>
            <w:pPr>
              <w:ind w:left="120"/>
              <w:spacing w:after="0"/>
              <w:rPr>
                <w:sz w:val="20"/>
                <w:szCs w:val="20"/>
                <w:color w:val="auto"/>
              </w:rPr>
            </w:pPr>
            <w:r>
              <w:rPr>
                <w:rFonts w:ascii="Arial" w:cs="Arial" w:eastAsia="Arial" w:hAnsi="Arial"/>
                <w:sz w:val="11"/>
                <w:szCs w:val="11"/>
                <w:color w:val="auto"/>
              </w:rPr>
              <w:t>Net income (loss)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(113)</w:t>
            </w:r>
          </w:p>
        </w:tc>
        <w:tc>
          <w:tcPr>
            <w:tcW w:w="0" w:type="dxa"/>
            <w:vAlign w:val="bottom"/>
          </w:tcPr>
          <w:p>
            <w:pPr>
              <w:spacing w:after="0"/>
              <w:rPr>
                <w:sz w:val="1"/>
                <w:szCs w:val="1"/>
                <w:color w:val="auto"/>
              </w:rPr>
            </w:pPr>
          </w:p>
        </w:tc>
      </w:tr>
      <w:tr>
        <w:trPr>
          <w:trHeight w:val="175"/>
        </w:trPr>
        <w:tc>
          <w:tcPr>
            <w:tcW w:w="2260" w:type="dxa"/>
            <w:vAlign w:val="bottom"/>
          </w:tcPr>
          <w:p>
            <w:pPr>
              <w:ind w:left="120"/>
              <w:spacing w:after="0"/>
              <w:rPr>
                <w:sz w:val="20"/>
                <w:szCs w:val="20"/>
                <w:color w:val="auto"/>
              </w:rPr>
            </w:pPr>
            <w:r>
              <w:rPr>
                <w:rFonts w:ascii="Arial" w:cs="Arial" w:eastAsia="Arial" w:hAnsi="Arial"/>
                <w:sz w:val="11"/>
                <w:szCs w:val="11"/>
                <w:color w:val="auto"/>
              </w:rPr>
              <w:t>Other comprehensive loss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(158)</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(157)</w:t>
            </w:r>
          </w:p>
        </w:tc>
        <w:tc>
          <w:tcPr>
            <w:tcW w:w="0" w:type="dxa"/>
            <w:vAlign w:val="bottom"/>
          </w:tcPr>
          <w:p>
            <w:pPr>
              <w:spacing w:after="0"/>
              <w:rPr>
                <w:sz w:val="1"/>
                <w:szCs w:val="1"/>
                <w:color w:val="auto"/>
              </w:rPr>
            </w:pPr>
          </w:p>
        </w:tc>
      </w:tr>
      <w:tr>
        <w:trPr>
          <w:trHeight w:val="169"/>
        </w:trPr>
        <w:tc>
          <w:tcPr>
            <w:tcW w:w="226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1"/>
                <w:szCs w:val="11"/>
                <w:b w:val="1"/>
                <w:bCs w:val="1"/>
                <w:color w:val="auto"/>
              </w:rPr>
              <w:t>Balance at March 31, 2024</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6,610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3,738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(140)</w:t>
            </w:r>
          </w:p>
        </w:tc>
        <w:tc>
          <w:tcPr>
            <w:tcW w:w="1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(10,724)</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(508)</w:t>
            </w: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260" w:type="dxa"/>
            <w:vAlign w:val="bottom"/>
          </w:tcPr>
          <w:p>
            <w:pPr>
              <w:spacing w:after="0"/>
              <w:rPr>
                <w:sz w:val="20"/>
                <w:szCs w:val="20"/>
                <w:color w:val="auto"/>
              </w:rPr>
            </w:pPr>
            <w:r>
              <w:rPr>
                <w:rFonts w:ascii="Arial" w:cs="Arial" w:eastAsia="Arial" w:hAnsi="Arial"/>
                <w:sz w:val="11"/>
                <w:szCs w:val="11"/>
                <w:b w:val="1"/>
                <w:bCs w:val="1"/>
                <w:color w:val="auto"/>
              </w:rPr>
              <w:t>Balance at December 31, 2022</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6,666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2,579</w:t>
            </w: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(9,848)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(703)</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(700)</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26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312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312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312</w:t>
            </w:r>
          </w:p>
        </w:tc>
        <w:tc>
          <w:tcPr>
            <w:tcW w:w="0" w:type="dxa"/>
            <w:vAlign w:val="bottom"/>
          </w:tcPr>
          <w:p>
            <w:pPr>
              <w:spacing w:after="0"/>
              <w:rPr>
                <w:sz w:val="1"/>
                <w:szCs w:val="1"/>
                <w:color w:val="auto"/>
              </w:rPr>
            </w:pPr>
          </w:p>
        </w:tc>
      </w:tr>
      <w:tr>
        <w:trPr>
          <w:trHeight w:val="176"/>
        </w:trPr>
        <w:tc>
          <w:tcPr>
            <w:tcW w:w="2260" w:type="dxa"/>
            <w:vAlign w:val="bottom"/>
          </w:tcPr>
          <w:p>
            <w:pPr>
              <w:ind w:left="120"/>
              <w:spacing w:after="0"/>
              <w:rPr>
                <w:sz w:val="20"/>
                <w:szCs w:val="20"/>
                <w:color w:val="auto"/>
              </w:rPr>
            </w:pPr>
            <w:r>
              <w:rPr>
                <w:rFonts w:ascii="Arial" w:cs="Arial" w:eastAsia="Arial" w:hAnsi="Arial"/>
                <w:sz w:val="11"/>
                <w:szCs w:val="11"/>
                <w:color w:val="auto"/>
              </w:rPr>
              <w:t>Other comprehensive loss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312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302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302</w:t>
            </w:r>
          </w:p>
        </w:tc>
        <w:tc>
          <w:tcPr>
            <w:tcW w:w="0" w:type="dxa"/>
            <w:vAlign w:val="bottom"/>
          </w:tcPr>
          <w:p>
            <w:pPr>
              <w:spacing w:after="0"/>
              <w:rPr>
                <w:sz w:val="1"/>
                <w:szCs w:val="1"/>
                <w:color w:val="auto"/>
              </w:rPr>
            </w:pPr>
          </w:p>
        </w:tc>
      </w:tr>
      <w:tr>
        <w:trPr>
          <w:trHeight w:val="169"/>
        </w:trPr>
        <w:tc>
          <w:tcPr>
            <w:tcW w:w="226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1"/>
                <w:szCs w:val="11"/>
                <w:b w:val="1"/>
                <w:bCs w:val="1"/>
                <w:color w:val="auto"/>
              </w:rPr>
              <w:t>Balance at March 31, 2023</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6,620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2,891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(111)</w:t>
            </w:r>
          </w:p>
        </w:tc>
        <w:tc>
          <w:tcPr>
            <w:tcW w:w="1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(97.3)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(9,845)</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(441)</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100"/>
          </w:cols>
          <w:pgMar w:left="320" w:top="121" w:right="479" w:bottom="1440" w:gutter="0" w:footer="0" w:header="0"/>
        </w:sectPr>
      </w:pP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10" w:name="page11"/>
    <w:bookmarkEnd w:id="10"/>
    <w:p>
      <w:pPr>
        <w:jc w:val="center"/>
        <w:ind w:right="38"/>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(Unless otherwise noted, all dollar amounts are in millions, except per share amounts)</w:t>
      </w:r>
    </w:p>
    <w:p>
      <w:pPr>
        <w:spacing w:after="0" w:line="234" w:lineRule="exact"/>
        <w:rPr>
          <w:sz w:val="20"/>
          <w:szCs w:val="20"/>
          <w:color w:val="auto"/>
        </w:rPr>
      </w:pPr>
    </w:p>
    <w:p>
      <w:pPr>
        <w:ind w:left="342" w:hanging="342"/>
        <w:spacing w:after="0"/>
        <w:tabs>
          <w:tab w:leader="none" w:pos="34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“we”, “our”, “us”, or the “Company”), and have been prepared pursuant to the rules and regulations of the U.S. Securities and Exchange Commission for interim financial reporting.</w:t>
      </w:r>
    </w:p>
    <w:p>
      <w:pPr>
        <w:spacing w:after="0" w:line="206" w:lineRule="exact"/>
        <w:rPr>
          <w:sz w:val="20"/>
          <w:szCs w:val="20"/>
          <w:color w:val="auto"/>
        </w:rPr>
      </w:pPr>
    </w:p>
    <w:p>
      <w:pPr>
        <w:ind w:left="442"/>
        <w:spacing w:after="0"/>
        <w:rPr>
          <w:sz w:val="20"/>
          <w:szCs w:val="20"/>
          <w:color w:val="auto"/>
        </w:rPr>
      </w:pPr>
      <w:r>
        <w:rPr>
          <w:rFonts w:ascii="Arial" w:cs="Arial" w:eastAsia="Arial" w:hAnsi="Arial"/>
          <w:sz w:val="18"/>
          <w:szCs w:val="18"/>
          <w:color w:val="auto"/>
        </w:rPr>
        <w:t>We operate the following reportable business segments:</w:t>
      </w:r>
    </w:p>
    <w:p>
      <w:pPr>
        <w:spacing w:after="0" w:line="252" w:lineRule="exact"/>
        <w:rPr>
          <w:sz w:val="20"/>
          <w:szCs w:val="20"/>
          <w:color w:val="auto"/>
        </w:rPr>
      </w:pPr>
    </w:p>
    <w:p>
      <w:pPr>
        <w:jc w:val="both"/>
        <w:ind w:left="1242" w:hanging="482"/>
        <w:spacing w:after="0" w:line="268" w:lineRule="auto"/>
        <w:tabs>
          <w:tab w:leader="none" w:pos="1237"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Americas </w:t>
      </w:r>
      <w:r>
        <w:rPr>
          <w:rFonts w:ascii="Arial" w:cs="Arial" w:eastAsia="Arial" w:hAnsi="Arial"/>
          <w:sz w:val="18"/>
          <w:szCs w:val="18"/>
          <w:color w:val="auto"/>
        </w:rPr>
        <w:t>- 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we do not operate directly.</w:t>
      </w:r>
    </w:p>
    <w:p>
      <w:pPr>
        <w:spacing w:after="0" w:line="62" w:lineRule="exact"/>
        <w:rPr>
          <w:rFonts w:ascii="Arial" w:cs="Arial" w:eastAsia="Arial" w:hAnsi="Arial"/>
          <w:sz w:val="18"/>
          <w:szCs w:val="18"/>
          <w:color w:val="auto"/>
        </w:rPr>
      </w:pPr>
    </w:p>
    <w:p>
      <w:pPr>
        <w:ind w:left="1242" w:hanging="482"/>
        <w:spacing w:after="0" w:line="287" w:lineRule="auto"/>
        <w:tabs>
          <w:tab w:leader="none" w:pos="1237"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 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we do not operate directly.</w:t>
      </w:r>
    </w:p>
    <w:p>
      <w:pPr>
        <w:spacing w:after="0" w:line="180"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Differences between the preliminary allocation of purchase price and the final allocation for our 2023 acquisitions of various licensees were not material. We consolidate joint venture activities when we have a controlling interest and record non-controlling interests within stockholders’ equity and the statement of comprehensive income equal to the percentage of ownership interest retained in such entities by the respective non-controlling party.</w:t>
      </w:r>
    </w:p>
    <w:p>
      <w:pPr>
        <w:spacing w:after="0" w:line="206" w:lineRule="exact"/>
        <w:rPr>
          <w:sz w:val="20"/>
          <w:szCs w:val="20"/>
          <w:color w:val="auto"/>
        </w:rPr>
      </w:pPr>
    </w:p>
    <w:p>
      <w:pPr>
        <w:jc w:val="both"/>
        <w:ind w:left="442"/>
        <w:spacing w:after="0" w:line="256"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our 2023 Annual Report on Form 10-K (the “2023 Form 10-K”).</w:t>
      </w:r>
    </w:p>
    <w:p>
      <w:pPr>
        <w:spacing w:after="0" w:line="212"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0" w:lineRule="exact"/>
        <w:rPr>
          <w:sz w:val="20"/>
          <w:szCs w:val="20"/>
          <w:color w:val="auto"/>
        </w:rPr>
      </w:pPr>
    </w:p>
    <w:p>
      <w:pPr>
        <w:ind w:left="442"/>
        <w:spacing w:after="0"/>
        <w:rPr>
          <w:sz w:val="20"/>
          <w:szCs w:val="20"/>
          <w:color w:val="auto"/>
        </w:rPr>
      </w:pPr>
      <w:r>
        <w:rPr>
          <w:rFonts w:ascii="Arial" w:cs="Arial" w:eastAsia="Arial" w:hAnsi="Arial"/>
          <w:sz w:val="18"/>
          <w:szCs w:val="18"/>
          <w:color w:val="auto"/>
        </w:rPr>
        <w:t>Our significant accounting policies are fully described in Note 2 – Summary of Significant Accounting Policies in our 2023 Form 10-K.</w:t>
      </w:r>
    </w:p>
    <w:p>
      <w:pPr>
        <w:spacing w:after="0" w:line="252"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238" w:lineRule="exact"/>
        <w:rPr>
          <w:sz w:val="20"/>
          <w:szCs w:val="20"/>
          <w:color w:val="auto"/>
        </w:rPr>
      </w:pPr>
    </w:p>
    <w:tbl>
      <w:tblPr>
        <w:tblLayout w:type="fixed"/>
        <w:tblInd w:w="462"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p>
        </w:tc>
        <w:tc>
          <w:tcPr>
            <w:tcW w:w="252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8"/>
                <w:szCs w:val="18"/>
                <w:b w:val="1"/>
                <w:bCs w:val="1"/>
                <w:color w:val="auto"/>
              </w:rPr>
              <w:t>As of March 31,</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0" w:type="dxa"/>
            <w:vAlign w:val="bottom"/>
            <w:vMerge w:val="restart"/>
          </w:tcPr>
          <w:p>
            <w:pPr>
              <w:spacing w:after="0"/>
              <w:rPr>
                <w:sz w:val="20"/>
                <w:szCs w:val="20"/>
                <w:color w:val="auto"/>
              </w:rPr>
            </w:pPr>
            <w:r>
              <w:rPr>
                <w:rFonts w:ascii="Arial" w:cs="Arial" w:eastAsia="Arial" w:hAnsi="Arial"/>
                <w:sz w:val="16"/>
                <w:szCs w:val="16"/>
                <w:color w:val="auto"/>
              </w:rPr>
              <w:t>Cash and cash equivalents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200" w:type="dxa"/>
            <w:vAlign w:val="bottom"/>
            <w:vMerge w:val="continue"/>
          </w:tcPr>
          <w:p>
            <w:pPr>
              <w:spacing w:after="0"/>
              <w:rPr>
                <w:sz w:val="18"/>
                <w:szCs w:val="18"/>
                <w:color w:val="auto"/>
              </w:rPr>
            </w:pPr>
          </w:p>
        </w:tc>
        <w:tc>
          <w:tcPr>
            <w:tcW w:w="980" w:type="dxa"/>
            <w:vAlign w:val="bottom"/>
          </w:tcPr>
          <w:p>
            <w:pPr>
              <w:jc w:val="right"/>
              <w:ind w:right="795"/>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8"/>
                <w:szCs w:val="18"/>
                <w:color w:val="auto"/>
              </w:rPr>
            </w:pPr>
          </w:p>
        </w:tc>
        <w:tc>
          <w:tcPr>
            <w:tcW w:w="1000" w:type="dxa"/>
            <w:vAlign w:val="bottom"/>
          </w:tcPr>
          <w:p>
            <w:pPr>
              <w:jc w:val="right"/>
              <w:ind w:right="796"/>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Program cash</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8"/>
        </w:trPr>
        <w:tc>
          <w:tcPr>
            <w:tcW w:w="7200" w:type="dxa"/>
            <w:vAlign w:val="bottom"/>
          </w:tcPr>
          <w:p>
            <w:pPr>
              <w:spacing w:after="0" w:line="218" w:lineRule="exact"/>
              <w:rPr>
                <w:sz w:val="20"/>
                <w:szCs w:val="20"/>
                <w:color w:val="auto"/>
              </w:rPr>
            </w:pPr>
            <w:r>
              <w:rPr>
                <w:rFonts w:ascii="Arial" w:cs="Arial" w:eastAsia="Arial" w:hAnsi="Arial"/>
                <w:sz w:val="16"/>
                <w:szCs w:val="16"/>
                <w:color w:val="auto"/>
              </w:rPr>
              <w:t xml:space="preserve">Restricted cash </w:t>
            </w:r>
            <w:r>
              <w:rPr>
                <w:rFonts w:ascii="Arial" w:cs="Arial" w:eastAsia="Arial" w:hAnsi="Arial"/>
                <w:sz w:val="21"/>
                <w:szCs w:val="21"/>
                <w:color w:val="auto"/>
                <w:vertAlign w:val="superscript"/>
              </w:rPr>
              <w:t>(a)</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cash and cash equivalents, program and restricted cash</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ind w:left="762" w:hanging="326"/>
        <w:spacing w:after="0"/>
        <w:tabs>
          <w:tab w:leader="none" w:pos="762" w:val="left"/>
        </w:tabs>
        <w:numPr>
          <w:ilvl w:val="0"/>
          <w:numId w:val="5"/>
        </w:numPr>
        <w:rPr>
          <w:rFonts w:ascii="Arial" w:cs="Arial" w:eastAsia="Arial" w:hAnsi="Arial"/>
          <w:sz w:val="9"/>
          <w:szCs w:val="9"/>
          <w:color w:val="auto"/>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385"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We present separately the financial data of our vehicle programs. These programs are distinct from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primarily related to acquisition-related activities such as due diligence and other advisory costs, expenses related to the integration of the acquiree’s operations with those of our operations, including the implementation of best practices and process improvements, non-cash gains and losses related to re-acquired rights, expenses related to pre-acquisition contingencies and contingent consideration related to acquisitions.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We record the gain or loss on foreign currency transactions on certain intercompany loans and the gain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on intercompany loan hedges within interest expense related to corporate debt, net.</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Variable Interest Entity (“VIE”). </w:t>
      </w:r>
      <w:r>
        <w:rPr>
          <w:rFonts w:ascii="Arial" w:cs="Arial" w:eastAsia="Arial" w:hAnsi="Arial"/>
          <w:sz w:val="18"/>
          <w:szCs w:val="18"/>
          <w:color w:val="auto"/>
        </w:rPr>
        <w:t>We review our investments to determine if they are VIEs.</w:t>
      </w:r>
      <w:r>
        <w:rPr>
          <w:rFonts w:ascii="Arial" w:cs="Arial" w:eastAsia="Arial" w:hAnsi="Arial"/>
          <w:sz w:val="18"/>
          <w:szCs w:val="18"/>
          <w:i w:val="1"/>
          <w:iCs w:val="1"/>
          <w:color w:val="auto"/>
        </w:rPr>
        <w:t xml:space="preserve"> </w:t>
      </w:r>
      <w:r>
        <w:rPr>
          <w:rFonts w:ascii="Arial" w:cs="Arial" w:eastAsia="Arial" w:hAnsi="Arial"/>
          <w:sz w:val="18"/>
          <w:szCs w:val="18"/>
          <w:color w:val="212529"/>
        </w:rPr>
        <w:t>A VIE is an entity in which either (i) the equity</w:t>
      </w:r>
      <w:r>
        <w:rPr>
          <w:rFonts w:ascii="Arial" w:cs="Arial" w:eastAsia="Arial" w:hAnsi="Arial"/>
          <w:sz w:val="18"/>
          <w:szCs w:val="18"/>
          <w:i w:val="1"/>
          <w:iCs w:val="1"/>
          <w:color w:val="auto"/>
        </w:rPr>
        <w:t xml:space="preserve"> </w:t>
      </w:r>
      <w:r>
        <w:rPr>
          <w:rFonts w:ascii="Arial" w:cs="Arial" w:eastAsia="Arial" w:hAnsi="Arial"/>
          <w:sz w:val="18"/>
          <w:szCs w:val="18"/>
          <w:color w:val="212529"/>
        </w:rPr>
        <w:t xml:space="preserve">investors as a group lack the power through voting or similar rights to direct the activities of such entity that most significantly impact such entity’s economic performance or (ii) the equity investment at risk is insufficient to finance that entity’s activities without additional subordinated financial support. </w:t>
      </w:r>
      <w:r>
        <w:rPr>
          <w:rFonts w:ascii="Arial" w:cs="Arial" w:eastAsia="Arial" w:hAnsi="Arial"/>
          <w:sz w:val="18"/>
          <w:szCs w:val="18"/>
          <w:color w:val="000000"/>
        </w:rPr>
        <w:t>Entities that are determined to be VIEs are consolidated if we are the primary beneficiary of the entity.</w:t>
      </w:r>
      <w:r>
        <w:rPr>
          <w:rFonts w:ascii="Arial" w:cs="Arial" w:eastAsia="Arial" w:hAnsi="Arial"/>
          <w:sz w:val="18"/>
          <w:szCs w:val="18"/>
          <w:color w:val="212529"/>
        </w:rPr>
        <w:t xml:space="preserve"> </w:t>
      </w:r>
      <w:r>
        <w:rPr>
          <w:rFonts w:ascii="Arial" w:cs="Arial" w:eastAsia="Arial" w:hAnsi="Arial"/>
          <w:sz w:val="18"/>
          <w:szCs w:val="18"/>
          <w:color w:val="000000"/>
        </w:rPr>
        <w:t>The primary beneficiary possesses the power to direct the activities of the VIE that most significantly impact its economic performance and has the obligation to absorb losses or the right to receive benefits from the VIE that are significant to it. We will reconsider our original assessment of a VIE upon the occurrence of certain events such as contributions and redemptions, either by us, or third parties, or amendments to an entity’s governing documents. On an ongoing basis, we reconsider whether we are deemed to be a VIE’s primary beneficiary. See Note 14 – Related Party Transactions for our VIE investment in our former subsidiary.</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March 31, 2024 and December 31, 2023, we had equity method investments with a carrying value of $95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$93 million, respectively, which are included in other non-current assets. Earnings from our equity method investments are included within operating expenses. For the three months ended March 31, 2024 and 2023 we recorded $3 million and an immaterial amount related to our equity method investments, respectively. See Note 14 – Related Party Transactions for our equity method investment in our former subsidiary.</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are recognized under “Leases (Topic 842),” with the exception of royalty fee revenue derived from our licensees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revenue related to our customer loyalty program, which were approximately $42 million and $44 million during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17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presents our revenues disaggregated by geography:</w:t>
      </w:r>
    </w:p>
    <w:p>
      <w:pPr>
        <w:spacing w:after="0" w:line="36"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Three Months Ended</w:t>
      </w:r>
    </w:p>
    <w:p>
      <w:pPr>
        <w:jc w:val="center"/>
        <w:ind w:left="71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7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2023</w:t>
            </w:r>
          </w:p>
        </w:tc>
      </w:tr>
      <w:tr>
        <w:trPr>
          <w:trHeight w:val="208"/>
        </w:trPr>
        <w:tc>
          <w:tcPr>
            <w:tcW w:w="7200" w:type="dxa"/>
            <w:vAlign w:val="bottom"/>
          </w:tcPr>
          <w:p>
            <w:pPr>
              <w:spacing w:after="0"/>
              <w:rPr>
                <w:sz w:val="20"/>
                <w:szCs w:val="20"/>
                <w:color w:val="auto"/>
              </w:rPr>
            </w:pPr>
            <w:r>
              <w:rPr>
                <w:rFonts w:ascii="Arial" w:cs="Arial" w:eastAsia="Arial" w:hAnsi="Arial"/>
                <w:sz w:val="16"/>
                <w:szCs w:val="16"/>
                <w:color w:val="auto"/>
              </w:rPr>
              <w:t>Americas</w:t>
            </w:r>
          </w:p>
        </w:tc>
        <w:tc>
          <w:tcPr>
            <w:tcW w:w="920" w:type="dxa"/>
            <w:vAlign w:val="bottom"/>
          </w:tcPr>
          <w:p>
            <w:pPr>
              <w:jc w:val="right"/>
              <w:ind w:right="73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1,993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2,016</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217"/>
        </w:trPr>
        <w:tc>
          <w:tcPr>
            <w:tcW w:w="7200" w:type="dxa"/>
            <w:vAlign w:val="bottom"/>
          </w:tcPr>
          <w:p>
            <w:pPr>
              <w:spacing w:after="0"/>
              <w:rPr>
                <w:sz w:val="20"/>
                <w:szCs w:val="20"/>
                <w:color w:val="auto"/>
              </w:rPr>
            </w:pPr>
            <w:r>
              <w:rPr>
                <w:rFonts w:ascii="Arial" w:cs="Arial" w:eastAsia="Arial" w:hAnsi="Arial"/>
                <w:sz w:val="16"/>
                <w:szCs w:val="16"/>
                <w:color w:val="auto"/>
              </w:rPr>
              <w:t>Asia and Australasia</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r>
      <w:tr>
        <w:trPr>
          <w:trHeight w:val="211"/>
        </w:trPr>
        <w:tc>
          <w:tcPr>
            <w:tcW w:w="7200" w:type="dxa"/>
            <w:vAlign w:val="bottom"/>
          </w:tcPr>
          <w:p>
            <w:pPr>
              <w:spacing w:after="0"/>
              <w:rPr>
                <w:sz w:val="20"/>
                <w:szCs w:val="20"/>
                <w:color w:val="auto"/>
              </w:rPr>
            </w:pPr>
            <w:r>
              <w:rPr>
                <w:rFonts w:ascii="Arial" w:cs="Arial" w:eastAsia="Arial" w:hAnsi="Arial"/>
                <w:sz w:val="16"/>
                <w:szCs w:val="16"/>
                <w:color w:val="auto"/>
              </w:rPr>
              <w:t>Total revenues</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2,551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2,557</w:t>
            </w:r>
          </w:p>
        </w:tc>
      </w:tr>
      <w:tr>
        <w:trPr>
          <w:trHeight w:val="20"/>
        </w:trPr>
        <w:tc>
          <w:tcPr>
            <w:tcW w:w="7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brand:</w:t>
      </w:r>
    </w:p>
    <w:p>
      <w:pPr>
        <w:spacing w:after="0" w:line="36"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Three Months Ended</w:t>
      </w:r>
    </w:p>
    <w:p>
      <w:pPr>
        <w:jc w:val="center"/>
        <w:ind w:left="71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7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2023</w:t>
            </w:r>
          </w:p>
        </w:tc>
      </w:tr>
      <w:tr>
        <w:trPr>
          <w:trHeight w:val="208"/>
        </w:trPr>
        <w:tc>
          <w:tcPr>
            <w:tcW w:w="7200" w:type="dxa"/>
            <w:vAlign w:val="bottom"/>
          </w:tcPr>
          <w:p>
            <w:pPr>
              <w:spacing w:after="0"/>
              <w:rPr>
                <w:sz w:val="20"/>
                <w:szCs w:val="20"/>
                <w:color w:val="auto"/>
              </w:rPr>
            </w:pPr>
            <w:r>
              <w:rPr>
                <w:rFonts w:ascii="Arial" w:cs="Arial" w:eastAsia="Arial" w:hAnsi="Arial"/>
                <w:sz w:val="16"/>
                <w:szCs w:val="16"/>
                <w:color w:val="auto"/>
              </w:rPr>
              <w:t>Avis</w:t>
            </w:r>
          </w:p>
        </w:tc>
        <w:tc>
          <w:tcPr>
            <w:tcW w:w="920" w:type="dxa"/>
            <w:vAlign w:val="bottom"/>
          </w:tcPr>
          <w:p>
            <w:pPr>
              <w:jc w:val="right"/>
              <w:ind w:right="73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1,460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1,415</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Budget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977</w:t>
            </w:r>
          </w:p>
        </w:tc>
      </w:tr>
      <w:tr>
        <w:trPr>
          <w:trHeight w:val="217"/>
        </w:trPr>
        <w:tc>
          <w:tcPr>
            <w:tcW w:w="7200" w:type="dxa"/>
            <w:vAlign w:val="bottom"/>
          </w:tcPr>
          <w:p>
            <w:pPr>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Total revenues</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2,551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2,557</w:t>
            </w:r>
          </w:p>
        </w:tc>
      </w:tr>
      <w:tr>
        <w:trPr>
          <w:trHeight w:val="21"/>
        </w:trPr>
        <w:tc>
          <w:tcPr>
            <w:tcW w:w="7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Other includes Zipcar and other operating brands.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Improvements to Income Tax Disclosures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2023, the FASB issued ASU 2023-09, “Improvements to Income Tax Disclosures,” which amends Topic 740 primarily through enhanced disclosures about an entity’s tax risks and tax planning. The amendments are effective for public business entities in annual periods beginning after December 15, 2024, with early adoption permitted on a prospective or retrospective basis. ASU 2023-09 will become effective for us on January 1, 2025. We are currently evaluating the impact of the adoption of this accounting pronouncement on our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Improvements to Reportable Segment Disclosures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2023, the FASB issued ASU 2023-07, “Improvements to Reportable Segment Disclosures,” which amends Topic 280 primarily through enhanced disclosures about significant segment expenses. The amendments are effective for fiscal years beginning after December 15, 2023 and interim periods within fiscal years beginning after December 15, 2024, with early adoption permitted. ASU 2023-07 became effective for us on January 1, 2024. We are currently evaluating the impact of the adoption of this accounting pronouncement on our Consolidated Condensed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2021, the FASB issued ASU 2021-01, “Reference Rate Reform (Topic 848),” which amends ASU 2020-04 and clarifies the scope and guidance of Topic 848 to allow derivatives impacted by the reference rate reform to qualify for certain optional expedients and exceptions for contract modifications and hedge accounting. The guidance is optional and is effective for a limited period of time. In December 2022, the FASB also issued ASU 2022-06, “Reference Rate Reform (Topic 848): Deferral of the Sunset Date of Topic 848,” to defer the sunset date of ASC 848 from December 31, 2022 to December 31, 2024. As of March 31, 2024, this guidance had no impact on our Consolidated Condensed Financial Statements, and we will continue to evaluate this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931" w:right="339" w:bottom="1440" w:gutter="0" w:footer="0" w:header="0"/>
        </w:sectPr>
      </w:pPr>
    </w:p>
    <w:bookmarkStart w:id="13" w:name="page14"/>
    <w:bookmarkEnd w:id="13"/>
    <w:p>
      <w:pPr>
        <w:jc w:val="right"/>
        <w:ind w:left="442" w:right="10160" w:hanging="442"/>
        <w:spacing w:after="0" w:line="563" w:lineRule="auto"/>
        <w:tabs>
          <w:tab w:leader="none" w:pos="356"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ind w:left="442"/>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presents our lease revenues disaggregated by geography:</w:t>
      </w:r>
    </w:p>
    <w:p>
      <w:pPr>
        <w:spacing w:after="0" w:line="36"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Three Months Ended</w:t>
      </w:r>
    </w:p>
    <w:p>
      <w:pPr>
        <w:jc w:val="center"/>
        <w:ind w:left="71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462" w:type="dxa"/>
        <w:tblCellMar>
          <w:top w:w="0" w:type="dxa"/>
          <w:left w:w="0" w:type="dxa"/>
          <w:bottom w:w="0" w:type="dxa"/>
          <w:right w:w="0" w:type="dxa"/>
        </w:tblCellMar>
      </w:tblPr>
      <w:tr>
        <w:trPr>
          <w:trHeight w:val="224"/>
        </w:trPr>
        <w:tc>
          <w:tcPr>
            <w:tcW w:w="7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2023</w:t>
            </w:r>
          </w:p>
        </w:tc>
      </w:tr>
      <w:tr>
        <w:trPr>
          <w:trHeight w:val="208"/>
        </w:trPr>
        <w:tc>
          <w:tcPr>
            <w:tcW w:w="7200" w:type="dxa"/>
            <w:vAlign w:val="bottom"/>
          </w:tcPr>
          <w:p>
            <w:pPr>
              <w:spacing w:after="0"/>
              <w:rPr>
                <w:sz w:val="20"/>
                <w:szCs w:val="20"/>
                <w:color w:val="auto"/>
              </w:rPr>
            </w:pPr>
            <w:r>
              <w:rPr>
                <w:rFonts w:ascii="Arial" w:cs="Arial" w:eastAsia="Arial" w:hAnsi="Arial"/>
                <w:sz w:val="16"/>
                <w:szCs w:val="16"/>
                <w:color w:val="auto"/>
              </w:rPr>
              <w:t>Americas</w:t>
            </w:r>
          </w:p>
        </w:tc>
        <w:tc>
          <w:tcPr>
            <w:tcW w:w="920" w:type="dxa"/>
            <w:vAlign w:val="bottom"/>
          </w:tcPr>
          <w:p>
            <w:pPr>
              <w:jc w:val="right"/>
              <w:ind w:right="73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1,974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1,995</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17"/>
        </w:trPr>
        <w:tc>
          <w:tcPr>
            <w:tcW w:w="7200" w:type="dxa"/>
            <w:vAlign w:val="bottom"/>
          </w:tcPr>
          <w:p>
            <w:pPr>
              <w:spacing w:after="0"/>
              <w:rPr>
                <w:sz w:val="20"/>
                <w:szCs w:val="20"/>
                <w:color w:val="auto"/>
              </w:rPr>
            </w:pPr>
            <w:r>
              <w:rPr>
                <w:rFonts w:ascii="Arial" w:cs="Arial" w:eastAsia="Arial" w:hAnsi="Arial"/>
                <w:sz w:val="16"/>
                <w:szCs w:val="16"/>
                <w:color w:val="auto"/>
              </w:rPr>
              <w:t>Asia and Australasia</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211"/>
        </w:trPr>
        <w:tc>
          <w:tcPr>
            <w:tcW w:w="7200" w:type="dxa"/>
            <w:vAlign w:val="bottom"/>
          </w:tcPr>
          <w:p>
            <w:pPr>
              <w:spacing w:after="0"/>
              <w:rPr>
                <w:sz w:val="20"/>
                <w:szCs w:val="20"/>
                <w:color w:val="auto"/>
              </w:rPr>
            </w:pPr>
            <w:r>
              <w:rPr>
                <w:rFonts w:ascii="Arial" w:cs="Arial" w:eastAsia="Arial" w:hAnsi="Arial"/>
                <w:sz w:val="16"/>
                <w:szCs w:val="16"/>
                <w:color w:val="auto"/>
              </w:rPr>
              <w:t>Total lease revenues</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2,509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w:t>
            </w:r>
          </w:p>
        </w:tc>
      </w:tr>
      <w:tr>
        <w:trPr>
          <w:trHeight w:val="21"/>
        </w:trPr>
        <w:tc>
          <w:tcPr>
            <w:tcW w:w="7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presents our lease revenues disaggregated by brand:</w:t>
      </w:r>
    </w:p>
    <w:p>
      <w:pPr>
        <w:spacing w:after="0" w:line="36"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Three Months Ended</w:t>
      </w:r>
    </w:p>
    <w:p>
      <w:pPr>
        <w:jc w:val="center"/>
        <w:ind w:left="71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462" w:type="dxa"/>
        <w:tblCellMar>
          <w:top w:w="0" w:type="dxa"/>
          <w:left w:w="0" w:type="dxa"/>
          <w:bottom w:w="0" w:type="dxa"/>
          <w:right w:w="0" w:type="dxa"/>
        </w:tblCellMar>
      </w:tblPr>
      <w:tr>
        <w:trPr>
          <w:trHeight w:val="224"/>
        </w:trPr>
        <w:tc>
          <w:tcPr>
            <w:tcW w:w="7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2023</w:t>
            </w:r>
          </w:p>
        </w:tc>
      </w:tr>
      <w:tr>
        <w:trPr>
          <w:trHeight w:val="208"/>
        </w:trPr>
        <w:tc>
          <w:tcPr>
            <w:tcW w:w="7200" w:type="dxa"/>
            <w:vAlign w:val="bottom"/>
          </w:tcPr>
          <w:p>
            <w:pPr>
              <w:spacing w:after="0"/>
              <w:rPr>
                <w:sz w:val="20"/>
                <w:szCs w:val="20"/>
                <w:color w:val="auto"/>
              </w:rPr>
            </w:pPr>
            <w:r>
              <w:rPr>
                <w:rFonts w:ascii="Arial" w:cs="Arial" w:eastAsia="Arial" w:hAnsi="Arial"/>
                <w:sz w:val="16"/>
                <w:szCs w:val="16"/>
                <w:color w:val="auto"/>
              </w:rPr>
              <w:t>Avis</w:t>
            </w:r>
          </w:p>
        </w:tc>
        <w:tc>
          <w:tcPr>
            <w:tcW w:w="920" w:type="dxa"/>
            <w:vAlign w:val="bottom"/>
          </w:tcPr>
          <w:p>
            <w:pPr>
              <w:jc w:val="right"/>
              <w:ind w:right="73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1,434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1,388</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Budget</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964</w:t>
            </w:r>
          </w:p>
        </w:tc>
      </w:tr>
      <w:tr>
        <w:trPr>
          <w:trHeight w:val="217"/>
        </w:trPr>
        <w:tc>
          <w:tcPr>
            <w:tcW w:w="7200" w:type="dxa"/>
            <w:vAlign w:val="bottom"/>
          </w:tcPr>
          <w:p>
            <w:pPr>
              <w:spacing w:after="0"/>
              <w:rPr>
                <w:sz w:val="20"/>
                <w:szCs w:val="20"/>
                <w:color w:val="auto"/>
              </w:rPr>
            </w:pPr>
            <w:r>
              <w:rPr>
                <w:rFonts w:ascii="Arial" w:cs="Arial" w:eastAsia="Arial" w:hAnsi="Arial"/>
                <w:sz w:val="16"/>
                <w:szCs w:val="16"/>
                <w:color w:val="auto"/>
              </w:rPr>
              <w:t>Other</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r>
      <w:tr>
        <w:trPr>
          <w:trHeight w:val="211"/>
        </w:trPr>
        <w:tc>
          <w:tcPr>
            <w:tcW w:w="7200" w:type="dxa"/>
            <w:vAlign w:val="bottom"/>
          </w:tcPr>
          <w:p>
            <w:pPr>
              <w:spacing w:after="0"/>
              <w:rPr>
                <w:sz w:val="20"/>
                <w:szCs w:val="20"/>
                <w:color w:val="auto"/>
              </w:rPr>
            </w:pPr>
            <w:r>
              <w:rPr>
                <w:rFonts w:ascii="Arial" w:cs="Arial" w:eastAsia="Arial" w:hAnsi="Arial"/>
                <w:sz w:val="16"/>
                <w:szCs w:val="16"/>
                <w:color w:val="auto"/>
              </w:rPr>
              <w:t>Total lease revenues</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2,509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w:t>
            </w:r>
          </w:p>
        </w:tc>
      </w:tr>
      <w:tr>
        <w:trPr>
          <w:trHeight w:val="20"/>
        </w:trPr>
        <w:tc>
          <w:tcPr>
            <w:tcW w:w="7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31" w:lineRule="exact"/>
        <w:rPr>
          <w:sz w:val="20"/>
          <w:szCs w:val="20"/>
          <w:color w:val="auto"/>
        </w:rPr>
      </w:pPr>
    </w:p>
    <w:p>
      <w:pPr>
        <w:ind w:left="442"/>
        <w:spacing w:after="0"/>
        <w:rPr>
          <w:sz w:val="20"/>
          <w:szCs w:val="20"/>
          <w:color w:val="auto"/>
        </w:rPr>
      </w:pPr>
      <w:r>
        <w:rPr>
          <w:rFonts w:ascii="Arial" w:cs="Arial" w:eastAsia="Arial" w:hAnsi="Arial"/>
          <w:sz w:val="14"/>
          <w:szCs w:val="14"/>
          <w:color w:val="auto"/>
        </w:rPr>
        <w:t>Other includes Zipcar and other operating brands.</w:t>
      </w:r>
    </w:p>
    <w:p>
      <w:pPr>
        <w:spacing w:after="0" w:line="243"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Lessee</w:t>
      </w:r>
    </w:p>
    <w:p>
      <w:pPr>
        <w:spacing w:after="0" w:line="250" w:lineRule="exact"/>
        <w:rPr>
          <w:sz w:val="20"/>
          <w:szCs w:val="20"/>
          <w:color w:val="auto"/>
        </w:rPr>
      </w:pPr>
    </w:p>
    <w:p>
      <w:pPr>
        <w:jc w:val="both"/>
        <w:ind w:left="442"/>
        <w:spacing w:after="0" w:line="256" w:lineRule="auto"/>
        <w:rPr>
          <w:sz w:val="20"/>
          <w:szCs w:val="20"/>
          <w:color w:val="auto"/>
        </w:rPr>
      </w:pPr>
      <w:r>
        <w:rPr>
          <w:rFonts w:ascii="Arial" w:cs="Arial" w:eastAsia="Arial" w:hAnsi="Arial"/>
          <w:sz w:val="18"/>
          <w:szCs w:val="18"/>
          <w:color w:val="auto"/>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 of use (“ROU”) assets and operating lease liabilities, and are recorded as variable lease expense as incurred. Our operating leases for rental locations often also require us to pay or reimburse operating expenses.</w:t>
      </w:r>
    </w:p>
    <w:p>
      <w:pPr>
        <w:sectPr>
          <w:pgSz w:w="11900" w:h="16838" w:orient="portrait"/>
          <w:cols w:equalWidth="0" w:num="1">
            <w:col w:w="11182"/>
          </w:cols>
          <w:pgMar w:left="378" w:top="931" w:right="339" w:bottom="1440" w:gutter="0" w:footer="0" w:header="0"/>
        </w:sectPr>
      </w:pPr>
    </w:p>
    <w:p>
      <w:pPr>
        <w:spacing w:after="0" w:line="210" w:lineRule="exact"/>
        <w:rPr>
          <w:sz w:val="20"/>
          <w:szCs w:val="20"/>
          <w:color w:val="auto"/>
        </w:rPr>
      </w:pPr>
    </w:p>
    <w:p>
      <w:pPr>
        <w:ind w:left="442"/>
        <w:spacing w:after="0"/>
        <w:rPr>
          <w:sz w:val="20"/>
          <w:szCs w:val="20"/>
          <w:color w:val="auto"/>
        </w:rPr>
      </w:pPr>
      <w:r>
        <w:rPr>
          <w:rFonts w:ascii="Arial" w:cs="Arial" w:eastAsia="Arial" w:hAnsi="Arial"/>
          <w:sz w:val="17"/>
          <w:szCs w:val="17"/>
          <w:color w:val="auto"/>
        </w:rPr>
        <w:t>The components of lease expense are as follows: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2"/>
        <w:spacing w:after="0"/>
        <w:rPr>
          <w:sz w:val="20"/>
          <w:szCs w:val="20"/>
          <w:color w:val="auto"/>
        </w:rPr>
      </w:pPr>
      <w:r>
        <w:rPr>
          <w:rFonts w:ascii="Arial" w:cs="Arial" w:eastAsia="Arial" w:hAnsi="Arial"/>
          <w:sz w:val="16"/>
          <w:szCs w:val="16"/>
          <w:b w:val="1"/>
          <w:bCs w:val="1"/>
          <w:color w:val="auto"/>
        </w:rPr>
        <w:t xml:space="preserve">Property leases </w:t>
      </w:r>
      <w:r>
        <w:rPr>
          <w:rFonts w:ascii="Arial" w:cs="Arial" w:eastAsia="Arial" w:hAnsi="Arial"/>
          <w:sz w:val="21"/>
          <w:szCs w:val="21"/>
          <w:b w:val="1"/>
          <w:bCs w:val="1"/>
          <w:color w:val="auto"/>
          <w:vertAlign w:val="superscript"/>
        </w:rPr>
        <w:t>(a)</w:t>
      </w:r>
    </w:p>
    <w:p>
      <w:pPr>
        <w:spacing w:after="0" w:line="1" w:lineRule="exact"/>
        <w:rPr>
          <w:sz w:val="20"/>
          <w:szCs w:val="20"/>
          <w:color w:val="auto"/>
        </w:rPr>
      </w:pPr>
    </w:p>
    <w:p>
      <w:pPr>
        <w:ind w:left="462"/>
        <w:spacing w:after="0"/>
        <w:rPr>
          <w:sz w:val="20"/>
          <w:szCs w:val="20"/>
          <w:color w:val="auto"/>
        </w:rPr>
      </w:pPr>
      <w:r>
        <w:rPr>
          <w:rFonts w:ascii="Arial" w:cs="Arial" w:eastAsia="Arial" w:hAnsi="Arial"/>
          <w:sz w:val="16"/>
          <w:szCs w:val="16"/>
          <w:color w:val="auto"/>
        </w:rPr>
        <w:t>Operating lease expense</w:t>
      </w:r>
    </w:p>
    <w:p>
      <w:pPr>
        <w:spacing w:after="0" w:line="16" w:lineRule="exact"/>
        <w:rPr>
          <w:sz w:val="20"/>
          <w:szCs w:val="20"/>
          <w:color w:val="auto"/>
        </w:rPr>
      </w:pPr>
    </w:p>
    <w:p>
      <w:pPr>
        <w:ind w:left="462"/>
        <w:spacing w:after="0"/>
        <w:rPr>
          <w:sz w:val="20"/>
          <w:szCs w:val="20"/>
          <w:color w:val="auto"/>
        </w:rPr>
      </w:pPr>
      <w:r>
        <w:rPr>
          <w:rFonts w:ascii="Arial" w:cs="Arial" w:eastAsia="Arial" w:hAnsi="Arial"/>
          <w:sz w:val="16"/>
          <w:szCs w:val="16"/>
          <w:color w:val="auto"/>
        </w:rPr>
        <w:t>Variable lease expense</w:t>
      </w:r>
    </w:p>
    <w:p>
      <w:pPr>
        <w:spacing w:after="0" w:line="73" w:lineRule="exact"/>
        <w:rPr>
          <w:sz w:val="20"/>
          <w:szCs w:val="20"/>
          <w:color w:val="auto"/>
        </w:rPr>
      </w:pPr>
    </w:p>
    <w:p>
      <w:pPr>
        <w:ind w:left="462"/>
        <w:spacing w:after="0"/>
        <w:rPr>
          <w:sz w:val="20"/>
          <w:szCs w:val="20"/>
          <w:color w:val="auto"/>
        </w:rPr>
      </w:pPr>
      <w:r>
        <w:rPr>
          <w:rFonts w:ascii="Arial" w:cs="Arial" w:eastAsia="Arial" w:hAnsi="Arial"/>
          <w:sz w:val="16"/>
          <w:szCs w:val="16"/>
          <w:b w:val="1"/>
          <w:bCs w:val="1"/>
          <w:color w:val="auto"/>
        </w:rPr>
        <w:t>Total property lease expense</w:t>
      </w:r>
    </w:p>
    <w:p>
      <w:pPr>
        <w:spacing w:after="0" w:line="140"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ind w:left="702" w:hanging="266"/>
        <w:spacing w:after="0" w:line="234" w:lineRule="auto"/>
        <w:tabs>
          <w:tab w:leader="none" w:pos="702"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Primarily within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Three Months Ended</w:t>
      </w:r>
    </w:p>
    <w:p>
      <w:pPr>
        <w:jc w:val="center"/>
        <w:ind w:right="58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2023</w:t>
            </w:r>
          </w:p>
        </w:tc>
      </w:tr>
      <w:tr>
        <w:trPr>
          <w:trHeight w:val="410"/>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217"/>
        </w:trPr>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10"/>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7" w:lineRule="exact"/>
        <w:rPr>
          <w:sz w:val="20"/>
          <w:szCs w:val="20"/>
          <w:color w:val="auto"/>
        </w:rPr>
      </w:pPr>
    </w:p>
    <w:p>
      <w:pPr>
        <w:sectPr>
          <w:pgSz w:w="11900" w:h="16838" w:orient="portrait"/>
          <w:cols w:equalWidth="0" w:num="2">
            <w:col w:w="6942" w:space="720"/>
            <w:col w:w="3520"/>
          </w:cols>
          <w:pgMar w:left="378"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8"/>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type w:val="continuous"/>
        </w:sectPr>
      </w:pPr>
    </w:p>
    <w:bookmarkStart w:id="14" w:name="page15"/>
    <w:bookmarkEnd w:id="14"/>
    <w:p>
      <w:pPr>
        <w:ind w:left="442"/>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23"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17"/>
                <w:szCs w:val="17"/>
                <w:color w:val="auto"/>
              </w:rPr>
            </w:pPr>
          </w:p>
        </w:tc>
        <w:tc>
          <w:tcPr>
            <w:tcW w:w="2040" w:type="dxa"/>
            <w:vAlign w:val="bottom"/>
          </w:tcPr>
          <w:p>
            <w:pPr>
              <w:jc w:val="right"/>
              <w:ind w:right="837"/>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March 31, 2024</w:t>
            </w:r>
          </w:p>
        </w:tc>
        <w:tc>
          <w:tcPr>
            <w:tcW w:w="200" w:type="dxa"/>
            <w:vAlign w:val="bottom"/>
          </w:tcPr>
          <w:p>
            <w:pPr>
              <w:spacing w:after="0"/>
              <w:rPr>
                <w:sz w:val="21"/>
                <w:szCs w:val="21"/>
                <w:color w:val="auto"/>
              </w:rPr>
            </w:pPr>
          </w:p>
        </w:tc>
        <w:tc>
          <w:tcPr>
            <w:tcW w:w="2040" w:type="dxa"/>
            <w:vAlign w:val="bottom"/>
          </w:tcPr>
          <w:p>
            <w:pPr>
              <w:jc w:val="right"/>
              <w:ind w:right="237"/>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203"/>
        </w:trPr>
        <w:tc>
          <w:tcPr>
            <w:tcW w:w="5560" w:type="dxa"/>
            <w:vAlign w:val="bottom"/>
          </w:tcPr>
          <w:p>
            <w:pPr>
              <w:spacing w:after="0"/>
              <w:rPr>
                <w:sz w:val="20"/>
                <w:szCs w:val="20"/>
                <w:color w:val="auto"/>
              </w:rPr>
            </w:pPr>
            <w:r>
              <w:rPr>
                <w:rFonts w:ascii="Arial" w:cs="Arial" w:eastAsia="Arial" w:hAnsi="Arial"/>
                <w:sz w:val="16"/>
                <w:szCs w:val="16"/>
                <w:b w:val="1"/>
                <w:bCs w:val="1"/>
                <w:color w:val="auto"/>
              </w:rPr>
              <w:t>Property leases</w:t>
            </w:r>
          </w:p>
        </w:tc>
        <w:tc>
          <w:tcPr>
            <w:tcW w:w="30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20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214"/>
        </w:trPr>
        <w:tc>
          <w:tcPr>
            <w:tcW w:w="5560" w:type="dxa"/>
            <w:vAlign w:val="bottom"/>
          </w:tcPr>
          <w:p>
            <w:pPr>
              <w:ind w:left="200"/>
              <w:spacing w:after="0"/>
              <w:rPr>
                <w:sz w:val="20"/>
                <w:szCs w:val="20"/>
                <w:color w:val="auto"/>
              </w:rPr>
            </w:pPr>
            <w:r>
              <w:rPr>
                <w:rFonts w:ascii="Arial" w:cs="Arial" w:eastAsia="Arial" w:hAnsi="Arial"/>
                <w:sz w:val="16"/>
                <w:szCs w:val="16"/>
                <w:color w:val="auto"/>
              </w:rPr>
              <w:t>Operating lease ROU assets</w:t>
            </w:r>
          </w:p>
        </w:tc>
        <w:tc>
          <w:tcPr>
            <w:tcW w:w="300" w:type="dxa"/>
            <w:vAlign w:val="bottom"/>
            <w:tcBorders>
              <w:bottom w:val="single" w:sz="8" w:color="auto"/>
            </w:tcBorders>
            <w:vMerge w:val="continue"/>
          </w:tcPr>
          <w:p>
            <w:pPr>
              <w:spacing w:after="0"/>
              <w:rPr>
                <w:sz w:val="18"/>
                <w:szCs w:val="18"/>
                <w:color w:val="auto"/>
              </w:rPr>
            </w:pPr>
          </w:p>
        </w:tc>
        <w:tc>
          <w:tcPr>
            <w:tcW w:w="1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5560" w:type="dxa"/>
            <w:vAlign w:val="bottom"/>
          </w:tcPr>
          <w:p>
            <w:pPr>
              <w:ind w:left="200"/>
              <w:spacing w:after="0"/>
              <w:rPr>
                <w:sz w:val="20"/>
                <w:szCs w:val="20"/>
                <w:color w:val="auto"/>
              </w:rPr>
            </w:pPr>
            <w:r>
              <w:rPr>
                <w:rFonts w:ascii="Arial" w:cs="Arial" w:eastAsia="Arial" w:hAnsi="Arial"/>
                <w:sz w:val="16"/>
                <w:szCs w:val="16"/>
                <w:color w:val="auto"/>
              </w:rPr>
              <w:t xml:space="preserve">Short-term operating lease liabilities </w:t>
            </w:r>
            <w:r>
              <w:rPr>
                <w:rFonts w:ascii="Arial" w:cs="Arial" w:eastAsia="Arial" w:hAnsi="Arial"/>
                <w:sz w:val="21"/>
                <w:szCs w:val="21"/>
                <w:color w:val="auto"/>
                <w:vertAlign w:val="superscript"/>
              </w:rPr>
              <w:t>(a)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57"/>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ind w:right="37"/>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2,234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210"/>
        </w:trPr>
        <w:tc>
          <w:tcPr>
            <w:tcW w:w="556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color w:val="auto"/>
              </w:rPr>
              <w:t>2,792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5560" w:type="dxa"/>
            <w:vAlign w:val="bottom"/>
          </w:tcPr>
          <w:p>
            <w:pPr>
              <w:ind w:left="200"/>
              <w:spacing w:after="0"/>
              <w:rPr>
                <w:sz w:val="20"/>
                <w:szCs w:val="20"/>
                <w:color w:val="auto"/>
              </w:rPr>
            </w:pPr>
            <w:r>
              <w:rPr>
                <w:rFonts w:ascii="Arial" w:cs="Arial" w:eastAsia="Arial" w:hAnsi="Arial"/>
                <w:sz w:val="16"/>
                <w:szCs w:val="16"/>
                <w:color w:val="auto"/>
              </w:rPr>
              <w:t>Weighted average remaining lease term</w:t>
            </w:r>
          </w:p>
        </w:tc>
        <w:tc>
          <w:tcPr>
            <w:tcW w:w="300" w:type="dxa"/>
            <w:vAlign w:val="bottom"/>
          </w:tcPr>
          <w:p>
            <w:pPr>
              <w:spacing w:after="0"/>
              <w:rPr>
                <w:sz w:val="24"/>
                <w:szCs w:val="24"/>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6"/>
                <w:szCs w:val="16"/>
                <w:color w:val="auto"/>
              </w:rPr>
              <w:t>8.0 years</w:t>
            </w:r>
          </w:p>
        </w:tc>
        <w:tc>
          <w:tcPr>
            <w:tcW w:w="2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8.1 years</w:t>
            </w:r>
          </w:p>
        </w:tc>
        <w:tc>
          <w:tcPr>
            <w:tcW w:w="0" w:type="dxa"/>
            <w:vAlign w:val="bottom"/>
          </w:tcPr>
          <w:p>
            <w:pPr>
              <w:spacing w:after="0"/>
              <w:rPr>
                <w:sz w:val="1"/>
                <w:szCs w:val="1"/>
                <w:color w:val="auto"/>
              </w:rPr>
            </w:pPr>
          </w:p>
        </w:tc>
      </w:tr>
      <w:tr>
        <w:trPr>
          <w:trHeight w:val="216"/>
        </w:trPr>
        <w:tc>
          <w:tcPr>
            <w:tcW w:w="5560" w:type="dxa"/>
            <w:vAlign w:val="bottom"/>
          </w:tcPr>
          <w:p>
            <w:pPr>
              <w:ind w:left="200"/>
              <w:spacing w:after="0"/>
              <w:rPr>
                <w:sz w:val="20"/>
                <w:szCs w:val="20"/>
                <w:color w:val="auto"/>
              </w:rPr>
            </w:pPr>
            <w:r>
              <w:rPr>
                <w:rFonts w:ascii="Arial" w:cs="Arial" w:eastAsia="Arial" w:hAnsi="Arial"/>
                <w:sz w:val="16"/>
                <w:szCs w:val="16"/>
                <w:color w:val="auto"/>
              </w:rPr>
              <w:t>Weighted average discount rate</w:t>
            </w: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4.88 %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4.83 %</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ind w:left="702" w:hanging="266"/>
        <w:spacing w:after="0"/>
        <w:tabs>
          <w:tab w:leader="none" w:pos="702" w:val="left"/>
        </w:tabs>
        <w:numPr>
          <w:ilvl w:val="0"/>
          <w:numId w:val="8"/>
        </w:numPr>
        <w:rPr>
          <w:rFonts w:ascii="Arial" w:cs="Arial" w:eastAsia="Arial" w:hAnsi="Arial"/>
          <w:sz w:val="9"/>
          <w:szCs w:val="9"/>
          <w:color w:val="auto"/>
        </w:rPr>
      </w:pPr>
      <w:r>
        <w:rPr>
          <w:rFonts w:ascii="Arial" w:cs="Arial" w:eastAsia="Arial" w:hAnsi="Arial"/>
          <w:sz w:val="14"/>
          <w:szCs w:val="14"/>
          <w:color w:val="auto"/>
        </w:rPr>
        <w:t>Included in accounts payable and other current liabilities.</w:t>
      </w:r>
    </w:p>
    <w:p>
      <w:pPr>
        <w:spacing w:after="0" w:line="234" w:lineRule="exact"/>
        <w:rPr>
          <w:sz w:val="20"/>
          <w:szCs w:val="20"/>
          <w:color w:val="auto"/>
        </w:rPr>
      </w:pPr>
    </w:p>
    <w:p>
      <w:pPr>
        <w:ind w:left="442"/>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50"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Three Months Ended</w:t>
      </w:r>
    </w:p>
    <w:p>
      <w:pPr>
        <w:jc w:val="center"/>
        <w:ind w:left="696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462" w:type="dxa"/>
        <w:tblCellMar>
          <w:top w:w="0" w:type="dxa"/>
          <w:left w:w="0" w:type="dxa"/>
          <w:bottom w:w="0" w:type="dxa"/>
          <w:right w:w="0" w:type="dxa"/>
        </w:tblCellMar>
      </w:tblPr>
      <w:tr>
        <w:trPr>
          <w:trHeight w:val="223"/>
        </w:trPr>
        <w:tc>
          <w:tcPr>
            <w:tcW w:w="7120" w:type="dxa"/>
            <w:vAlign w:val="bottom"/>
            <w:vMerge w:val="restart"/>
          </w:tcPr>
          <w:p>
            <w:pPr>
              <w:spacing w:after="0"/>
              <w:rPr>
                <w:sz w:val="20"/>
                <w:szCs w:val="20"/>
                <w:color w:val="auto"/>
              </w:rPr>
            </w:pPr>
            <w:r>
              <w:rPr>
                <w:rFonts w:ascii="Arial" w:cs="Arial" w:eastAsia="Arial" w:hAnsi="Arial"/>
                <w:sz w:val="16"/>
                <w:szCs w:val="16"/>
                <w:color w:val="auto"/>
              </w:rPr>
              <w:t>Cash payments for lease liabilities within operating activities: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4"/>
        </w:trPr>
        <w:tc>
          <w:tcPr>
            <w:tcW w:w="7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Non-cash activities - increase (decrease) in ROU assets in exchange for lease liabilities: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342" w:hanging="342"/>
        <w:spacing w:after="0"/>
        <w:tabs>
          <w:tab w:leader="none" w:pos="34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Related Charges</w:t>
      </w:r>
    </w:p>
    <w:p>
      <w:pPr>
        <w:spacing w:after="0" w:line="252"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During the first quarter of 2024, we initiated a global restructuring plan to further right size our operations (“Global Rightsizing”). The costs associated with this initiative are primarily related to the operational scaling of processes, locations, and lines of business. We expect further restructuring expense of approximately $35 million related to this initiative to be incurred this year.</w:t>
      </w:r>
    </w:p>
    <w:p>
      <w:pPr>
        <w:spacing w:after="0" w:line="198" w:lineRule="exact"/>
        <w:rPr>
          <w:sz w:val="20"/>
          <w:szCs w:val="20"/>
          <w:color w:val="auto"/>
        </w:rPr>
      </w:pPr>
    </w:p>
    <w:p>
      <w:pPr>
        <w:jc w:val="both"/>
        <w:ind w:left="442"/>
        <w:spacing w:after="0" w:line="287" w:lineRule="auto"/>
        <w:rPr>
          <w:sz w:val="20"/>
          <w:szCs w:val="20"/>
          <w:color w:val="auto"/>
        </w:rPr>
      </w:pPr>
      <w:r>
        <w:rPr>
          <w:rFonts w:ascii="Arial" w:cs="Arial" w:eastAsia="Arial" w:hAnsi="Arial"/>
          <w:sz w:val="18"/>
          <w:szCs w:val="18"/>
          <w:color w:val="auto"/>
        </w:rPr>
        <w:t>During the second quarter of 2022, we initiated a restructuring plan to focus on consolidating our global operations by designing new processes and implementing new systems (“Cost Optimization”). We expect this initiative to be completed this year.</w:t>
      </w:r>
    </w:p>
    <w:p>
      <w:pPr>
        <w:spacing w:after="0" w:line="180" w:lineRule="exact"/>
        <w:rPr>
          <w:sz w:val="20"/>
          <w:szCs w:val="20"/>
          <w:color w:val="auto"/>
        </w:rPr>
      </w:pPr>
    </w:p>
    <w:p>
      <w:pPr>
        <w:jc w:val="both"/>
        <w:ind w:left="442"/>
        <w:spacing w:after="0" w:line="287" w:lineRule="auto"/>
        <w:rPr>
          <w:sz w:val="20"/>
          <w:szCs w:val="20"/>
          <w:color w:val="auto"/>
        </w:rPr>
      </w:pPr>
      <w:r>
        <w:rPr>
          <w:rFonts w:ascii="Arial" w:cs="Arial" w:eastAsia="Arial" w:hAnsi="Arial"/>
          <w:sz w:val="18"/>
          <w:szCs w:val="18"/>
          <w:color w:val="auto"/>
        </w:rPr>
        <w:t>The following tables summarize the change to our restructuring-related liabilities and identifies the amounts recorded within our reporting segments for restructuring charges and corresponding payments and utilizations:</w:t>
      </w:r>
    </w:p>
    <w:p>
      <w:pPr>
        <w:spacing w:after="0" w:line="220" w:lineRule="exact"/>
        <w:rPr>
          <w:sz w:val="20"/>
          <w:szCs w:val="20"/>
          <w:color w:val="auto"/>
        </w:rPr>
      </w:pPr>
    </w:p>
    <w:tbl>
      <w:tblPr>
        <w:tblLayout w:type="fixed"/>
        <w:tblInd w:w="462" w:type="dxa"/>
        <w:tblCellMar>
          <w:top w:w="0" w:type="dxa"/>
          <w:left w:w="0" w:type="dxa"/>
          <w:bottom w:w="0" w:type="dxa"/>
          <w:right w:w="0" w:type="dxa"/>
        </w:tblCellMar>
      </w:tblPr>
      <w:tr>
        <w:trPr>
          <w:trHeight w:val="235"/>
        </w:trPr>
        <w:tc>
          <w:tcPr>
            <w:tcW w:w="5080" w:type="dxa"/>
            <w:vAlign w:val="bottom"/>
            <w:vMerge w:val="restart"/>
          </w:tcPr>
          <w:p>
            <w:pPr>
              <w:spacing w:after="0"/>
              <w:rPr>
                <w:sz w:val="20"/>
                <w:szCs w:val="20"/>
                <w:color w:val="auto"/>
              </w:rPr>
            </w:pPr>
            <w:r>
              <w:rPr>
                <w:rFonts w:ascii="Arial" w:cs="Arial" w:eastAsia="Arial" w:hAnsi="Arial"/>
                <w:sz w:val="18"/>
                <w:szCs w:val="18"/>
                <w:color w:val="auto"/>
              </w:rPr>
              <w:t>Balance as of January 1, 2024</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Americas</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2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2"/>
        </w:trPr>
        <w:tc>
          <w:tcPr>
            <w:tcW w:w="5080" w:type="dxa"/>
            <w:vAlign w:val="bottom"/>
            <w:vMerge w:val="continue"/>
          </w:tcPr>
          <w:p>
            <w:pPr>
              <w:spacing w:after="0"/>
              <w:rPr>
                <w:sz w:val="20"/>
                <w:szCs w:val="20"/>
                <w:color w:val="auto"/>
              </w:rPr>
            </w:pP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ind w:left="91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309"/>
        </w:trPr>
        <w:tc>
          <w:tcPr>
            <w:tcW w:w="5080" w:type="dxa"/>
            <w:vAlign w:val="bottom"/>
          </w:tcPr>
          <w:p>
            <w:pPr>
              <w:ind w:left="120"/>
              <w:spacing w:after="0"/>
              <w:rPr>
                <w:sz w:val="20"/>
                <w:szCs w:val="20"/>
                <w:color w:val="auto"/>
              </w:rPr>
            </w:pPr>
            <w:r>
              <w:rPr>
                <w:rFonts w:ascii="Arial" w:cs="Arial" w:eastAsia="Arial" w:hAnsi="Arial"/>
                <w:sz w:val="18"/>
                <w:szCs w:val="18"/>
                <w:color w:val="auto"/>
              </w:rPr>
              <w:t>Restructuring expense:</w:t>
            </w: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220"/>
              <w:spacing w:after="0"/>
              <w:rPr>
                <w:sz w:val="20"/>
                <w:szCs w:val="20"/>
                <w:color w:val="auto"/>
              </w:rPr>
            </w:pPr>
            <w:r>
              <w:rPr>
                <w:rFonts w:ascii="Arial" w:cs="Arial" w:eastAsia="Arial" w:hAnsi="Arial"/>
                <w:sz w:val="18"/>
                <w:szCs w:val="18"/>
                <w:color w:val="auto"/>
              </w:rPr>
              <w:t>Global Rightsizing</w:t>
            </w:r>
          </w:p>
        </w:tc>
        <w:tc>
          <w:tcPr>
            <w:tcW w:w="12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center"/>
              <w:ind w:left="9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315"/>
        </w:trPr>
        <w:tc>
          <w:tcPr>
            <w:tcW w:w="5080" w:type="dxa"/>
            <w:vAlign w:val="bottom"/>
          </w:tcPr>
          <w:p>
            <w:pPr>
              <w:ind w:left="120"/>
              <w:spacing w:after="0"/>
              <w:rPr>
                <w:sz w:val="20"/>
                <w:szCs w:val="20"/>
                <w:color w:val="auto"/>
              </w:rPr>
            </w:pPr>
            <w:r>
              <w:rPr>
                <w:rFonts w:ascii="Arial" w:cs="Arial" w:eastAsia="Arial" w:hAnsi="Arial"/>
                <w:sz w:val="18"/>
                <w:szCs w:val="18"/>
                <w:color w:val="auto"/>
              </w:rPr>
              <w:t>Restructuring payments and utilization:</w:t>
            </w: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0"/>
              <w:spacing w:after="0"/>
              <w:rPr>
                <w:sz w:val="20"/>
                <w:szCs w:val="20"/>
                <w:color w:val="auto"/>
              </w:rPr>
            </w:pPr>
            <w:r>
              <w:rPr>
                <w:rFonts w:ascii="Arial" w:cs="Arial" w:eastAsia="Arial" w:hAnsi="Arial"/>
                <w:sz w:val="18"/>
                <w:szCs w:val="18"/>
                <w:color w:val="auto"/>
              </w:rPr>
              <w:t>Global Rightsizing</w:t>
            </w:r>
          </w:p>
        </w:tc>
        <w:tc>
          <w:tcPr>
            <w:tcW w:w="12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center"/>
              <w:ind w:left="9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39"/>
        </w:trPr>
        <w:tc>
          <w:tcPr>
            <w:tcW w:w="5080" w:type="dxa"/>
            <w:vAlign w:val="bottom"/>
          </w:tcPr>
          <w:p>
            <w:pPr>
              <w:ind w:left="200"/>
              <w:spacing w:after="0"/>
              <w:rPr>
                <w:sz w:val="20"/>
                <w:szCs w:val="20"/>
                <w:color w:val="auto"/>
              </w:rPr>
            </w:pPr>
            <w:r>
              <w:rPr>
                <w:rFonts w:ascii="Arial" w:cs="Arial" w:eastAsia="Arial" w:hAnsi="Arial"/>
                <w:sz w:val="18"/>
                <w:szCs w:val="18"/>
                <w:color w:val="auto"/>
              </w:rPr>
              <w:t>Cost Optimization</w:t>
            </w:r>
          </w:p>
        </w:tc>
        <w:tc>
          <w:tcPr>
            <w:tcW w:w="128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0"/>
                <w:szCs w:val="20"/>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center"/>
              <w:ind w:left="9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91"/>
        </w:trPr>
        <w:tc>
          <w:tcPr>
            <w:tcW w:w="508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Balance as of March 31, 2024</w:t>
            </w: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5" w:name="page16"/>
    <w:bookmarkEnd w:id="15"/>
    <w:p>
      <w:pPr>
        <w:ind w:left="342" w:hanging="342"/>
        <w:spacing w:after="0"/>
        <w:tabs>
          <w:tab w:leader="none" w:pos="34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7"/>
          <w:szCs w:val="17"/>
          <w:color w:val="auto"/>
        </w:rPr>
        <w:t>The following table sets forth the computation of basic and diluted earnings (loss) per share (“EPS”) (shares in millions):</w:t>
      </w:r>
    </w:p>
    <w:p>
      <w:pPr>
        <w:sectPr>
          <w:pgSz w:w="11900" w:h="16838" w:orient="portrait"/>
          <w:cols w:equalWidth="0" w:num="1">
            <w:col w:w="11182"/>
          </w:cols>
          <w:pgMar w:left="378"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62"/>
        <w:spacing w:after="0"/>
        <w:rPr>
          <w:sz w:val="20"/>
          <w:szCs w:val="20"/>
          <w:color w:val="auto"/>
        </w:rPr>
      </w:pPr>
      <w:r>
        <w:rPr>
          <w:rFonts w:ascii="Arial" w:cs="Arial" w:eastAsia="Arial" w:hAnsi="Arial"/>
          <w:sz w:val="17"/>
          <w:szCs w:val="17"/>
          <w:color w:val="auto"/>
        </w:rPr>
        <w:t>Net income (loss) attributable to Avis Budget Group, Inc. for basic and diluted EPS</w:t>
      </w:r>
    </w:p>
    <w:p>
      <w:pPr>
        <w:spacing w:after="0" w:line="183" w:lineRule="exact"/>
        <w:rPr>
          <w:sz w:val="20"/>
          <w:szCs w:val="20"/>
          <w:color w:val="auto"/>
        </w:rPr>
      </w:pPr>
    </w:p>
    <w:p>
      <w:pPr>
        <w:ind w:left="462"/>
        <w:spacing w:after="0"/>
        <w:rPr>
          <w:sz w:val="20"/>
          <w:szCs w:val="20"/>
          <w:color w:val="auto"/>
        </w:rPr>
      </w:pPr>
      <w:r>
        <w:rPr>
          <w:rFonts w:ascii="Arial" w:cs="Arial" w:eastAsia="Arial" w:hAnsi="Arial"/>
          <w:sz w:val="18"/>
          <w:szCs w:val="18"/>
          <w:color w:val="auto"/>
        </w:rPr>
        <w:t>Basic weighted average shares outstanding</w:t>
      </w:r>
    </w:p>
    <w:p>
      <w:pPr>
        <w:spacing w:after="0" w:line="30" w:lineRule="exact"/>
        <w:rPr>
          <w:sz w:val="20"/>
          <w:szCs w:val="20"/>
          <w:color w:val="auto"/>
        </w:rPr>
      </w:pPr>
    </w:p>
    <w:p>
      <w:pPr>
        <w:ind w:left="462"/>
        <w:spacing w:after="0"/>
        <w:rPr>
          <w:sz w:val="20"/>
          <w:szCs w:val="20"/>
          <w:color w:val="auto"/>
        </w:rPr>
      </w:pPr>
      <w:r>
        <w:rPr>
          <w:rFonts w:ascii="Arial" w:cs="Arial" w:eastAsia="Arial" w:hAnsi="Arial"/>
          <w:sz w:val="18"/>
          <w:szCs w:val="18"/>
          <w:color w:val="auto"/>
        </w:rPr>
        <w:t xml:space="preserve">Non-vested stock </w:t>
      </w:r>
      <w:r>
        <w:rPr>
          <w:rFonts w:ascii="Arial" w:cs="Arial" w:eastAsia="Arial" w:hAnsi="Arial"/>
          <w:sz w:val="23"/>
          <w:szCs w:val="23"/>
          <w:color w:val="auto"/>
          <w:vertAlign w:val="superscript"/>
        </w:rPr>
        <w:t>(a)</w:t>
      </w:r>
    </w:p>
    <w:p>
      <w:pPr>
        <w:spacing w:after="0" w:line="16" w:lineRule="exact"/>
        <w:rPr>
          <w:sz w:val="20"/>
          <w:szCs w:val="20"/>
          <w:color w:val="auto"/>
        </w:rPr>
      </w:pPr>
    </w:p>
    <w:p>
      <w:pPr>
        <w:ind w:left="462"/>
        <w:spacing w:after="0"/>
        <w:rPr>
          <w:sz w:val="20"/>
          <w:szCs w:val="20"/>
          <w:color w:val="auto"/>
        </w:rPr>
      </w:pPr>
      <w:r>
        <w:rPr>
          <w:rFonts w:ascii="Arial" w:cs="Arial" w:eastAsia="Arial" w:hAnsi="Arial"/>
          <w:sz w:val="18"/>
          <w:szCs w:val="18"/>
          <w:color w:val="auto"/>
        </w:rPr>
        <w:t>Diluted weighted average shares outstanding</w:t>
      </w:r>
    </w:p>
    <w:p>
      <w:pPr>
        <w:spacing w:after="0" w:line="155" w:lineRule="exact"/>
        <w:rPr>
          <w:sz w:val="20"/>
          <w:szCs w:val="20"/>
          <w:color w:val="auto"/>
        </w:rPr>
      </w:pPr>
    </w:p>
    <w:p>
      <w:pPr>
        <w:ind w:left="462"/>
        <w:spacing w:after="0"/>
        <w:rPr>
          <w:sz w:val="20"/>
          <w:szCs w:val="20"/>
          <w:color w:val="auto"/>
        </w:rPr>
      </w:pPr>
      <w:r>
        <w:rPr>
          <w:rFonts w:ascii="Arial" w:cs="Arial" w:eastAsia="Arial" w:hAnsi="Arial"/>
          <w:sz w:val="18"/>
          <w:szCs w:val="18"/>
          <w:i w:val="1"/>
          <w:iCs w:val="1"/>
          <w:color w:val="auto"/>
        </w:rPr>
        <w:t>Earnings (loss) per share:</w:t>
      </w:r>
    </w:p>
    <w:p>
      <w:pPr>
        <w:spacing w:after="0" w:line="30" w:lineRule="exact"/>
        <w:rPr>
          <w:sz w:val="20"/>
          <w:szCs w:val="20"/>
          <w:color w:val="auto"/>
        </w:rPr>
      </w:pPr>
    </w:p>
    <w:p>
      <w:pPr>
        <w:ind w:left="542"/>
        <w:spacing w:after="0"/>
        <w:rPr>
          <w:sz w:val="20"/>
          <w:szCs w:val="20"/>
          <w:color w:val="auto"/>
        </w:rPr>
      </w:pPr>
      <w:r>
        <w:rPr>
          <w:rFonts w:ascii="Arial" w:cs="Arial" w:eastAsia="Arial" w:hAnsi="Arial"/>
          <w:sz w:val="18"/>
          <w:szCs w:val="18"/>
          <w:color w:val="auto"/>
        </w:rPr>
        <w:t>Basic</w:t>
      </w:r>
    </w:p>
    <w:p>
      <w:pPr>
        <w:spacing w:after="0" w:line="23" w:lineRule="exact"/>
        <w:rPr>
          <w:sz w:val="20"/>
          <w:szCs w:val="20"/>
          <w:color w:val="auto"/>
        </w:rPr>
      </w:pPr>
    </w:p>
    <w:p>
      <w:pPr>
        <w:ind w:left="542"/>
        <w:spacing w:after="0"/>
        <w:rPr>
          <w:sz w:val="20"/>
          <w:szCs w:val="20"/>
          <w:color w:val="auto"/>
        </w:rPr>
      </w:pPr>
      <w:r>
        <w:rPr>
          <w:rFonts w:ascii="Arial" w:cs="Arial" w:eastAsia="Arial" w:hAnsi="Arial"/>
          <w:sz w:val="18"/>
          <w:szCs w:val="18"/>
          <w:color w:val="auto"/>
        </w:rPr>
        <w:t>Diluted</w:t>
      </w:r>
    </w:p>
    <w:p>
      <w:pPr>
        <w:spacing w:after="0" w:line="112"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Three Months Ended March</w:t>
      </w:r>
    </w:p>
    <w:p>
      <w:pPr>
        <w:jc w:val="center"/>
        <w:ind w:right="580"/>
        <w:spacing w:after="0"/>
        <w:rPr>
          <w:sz w:val="20"/>
          <w:szCs w:val="20"/>
          <w:color w:val="auto"/>
        </w:rPr>
      </w:pPr>
      <w:r>
        <w:rPr>
          <w:rFonts w:ascii="Arial" w:cs="Arial" w:eastAsia="Arial" w:hAnsi="Arial"/>
          <w:sz w:val="18"/>
          <w:szCs w:val="18"/>
          <w:b w:val="1"/>
          <w:bCs w:val="1"/>
          <w:color w:val="auto"/>
        </w:rPr>
        <w:t>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r>
      <w:tr>
        <w:trPr>
          <w:trHeight w:val="223"/>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39"/>
        </w:trPr>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35"/>
        </w:trPr>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69"/>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7.88</w:t>
            </w:r>
          </w:p>
        </w:tc>
      </w:tr>
      <w:tr>
        <w:trPr>
          <w:trHeight w:val="239"/>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7.72</w:t>
            </w:r>
          </w:p>
        </w:tc>
      </w:tr>
    </w:tbl>
    <w:p>
      <w:pPr>
        <w:spacing w:after="0" w:line="310" w:lineRule="exact"/>
        <w:rPr>
          <w:sz w:val="20"/>
          <w:szCs w:val="20"/>
          <w:color w:val="auto"/>
        </w:rPr>
      </w:pPr>
    </w:p>
    <w:p>
      <w:pPr>
        <w:sectPr>
          <w:pgSz w:w="11900" w:h="16838" w:orient="portrait"/>
          <w:cols w:equalWidth="0" w:num="2">
            <w:col w:w="7362" w:space="720"/>
            <w:col w:w="3100"/>
          </w:cols>
          <w:pgMar w:left="378" w:top="931" w:right="339" w:bottom="1440" w:gutter="0" w:footer="0" w:header="0"/>
          <w:type w:val="continuous"/>
        </w:sectPr>
      </w:pPr>
    </w:p>
    <w:p>
      <w:pPr>
        <w:ind w:left="762" w:hanging="326"/>
        <w:spacing w:after="0" w:line="231" w:lineRule="auto"/>
        <w:tabs>
          <w:tab w:leader="none" w:pos="743" w:val="left"/>
        </w:tabs>
        <w:numPr>
          <w:ilvl w:val="1"/>
          <w:numId w:val="11"/>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2024 and 2023, 0.3 million and 0.1 million non-vested stock awards, respectively, have an anti-dilutive effect and therefore are excluded from the computation of diluted weighted average shares outstanding.</w:t>
      </w:r>
    </w:p>
    <w:p>
      <w:pPr>
        <w:spacing w:after="0" w:line="246" w:lineRule="exact"/>
        <w:rPr>
          <w:rFonts w:ascii="Arial" w:cs="Arial" w:eastAsia="Arial" w:hAnsi="Arial"/>
          <w:sz w:val="19"/>
          <w:szCs w:val="19"/>
          <w:color w:val="auto"/>
          <w:vertAlign w:val="superscript"/>
        </w:rPr>
      </w:pPr>
    </w:p>
    <w:p>
      <w:pPr>
        <w:ind w:left="342" w:hanging="342"/>
        <w:spacing w:after="0"/>
        <w:tabs>
          <w:tab w:leader="none" w:pos="34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Other current assets consisted of:</w:t>
      </w:r>
    </w:p>
    <w:p>
      <w:pPr>
        <w:spacing w:after="0" w:line="54"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center"/>
              <w:ind w:left="515"/>
              <w:spacing w:after="0"/>
              <w:rPr>
                <w:sz w:val="20"/>
                <w:szCs w:val="20"/>
                <w:color w:val="auto"/>
              </w:rPr>
            </w:pPr>
            <w:r>
              <w:rPr>
                <w:rFonts w:ascii="Arial" w:cs="Arial" w:eastAsia="Arial" w:hAnsi="Arial"/>
                <w:sz w:val="16"/>
                <w:szCs w:val="16"/>
                <w:b w:val="1"/>
                <w:bCs w:val="1"/>
                <w:color w:val="auto"/>
                <w:w w:val="99"/>
              </w:rPr>
              <w:t>As of</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March 31,</w:t>
            </w:r>
          </w:p>
        </w:tc>
        <w:tc>
          <w:tcPr>
            <w:tcW w:w="160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6"/>
                <w:szCs w:val="16"/>
                <w:b w:val="1"/>
                <w:bCs w:val="1"/>
                <w:color w:val="auto"/>
              </w:rPr>
              <w:t>2024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40" w:type="dxa"/>
            <w:vAlign w:val="bottom"/>
          </w:tcPr>
          <w:p>
            <w:pPr>
              <w:ind w:left="4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3240" w:type="dxa"/>
            <w:vAlign w:val="bottom"/>
          </w:tcPr>
          <w:p>
            <w:pPr>
              <w:ind w:left="460"/>
              <w:spacing w:after="0"/>
              <w:rPr>
                <w:sz w:val="20"/>
                <w:szCs w:val="20"/>
                <w:color w:val="auto"/>
              </w:rPr>
            </w:pPr>
            <w:r>
              <w:rPr>
                <w:rFonts w:ascii="Arial" w:cs="Arial" w:eastAsia="Arial" w:hAnsi="Arial"/>
                <w:sz w:val="18"/>
                <w:szCs w:val="18"/>
                <w:color w:val="auto"/>
              </w:rPr>
              <w:t>Sales and use taxes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5"/>
        </w:trPr>
        <w:tc>
          <w:tcPr>
            <w:tcW w:w="3240" w:type="dxa"/>
            <w:vAlign w:val="bottom"/>
          </w:tcPr>
          <w:p>
            <w:pPr>
              <w:ind w:left="4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3240" w:type="dxa"/>
            <w:vAlign w:val="bottom"/>
          </w:tcPr>
          <w:p>
            <w:pPr>
              <w:ind w:left="46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bottom w:val="single" w:sz="8" w:color="auto"/>
            </w:tcBorders>
          </w:tcPr>
          <w:p>
            <w:pPr>
              <w:jc w:val="right"/>
              <w:ind w:right="555"/>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6.  Intangible Assets</w:t>
            </w: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3"/>
        </w:trPr>
        <w:tc>
          <w:tcPr>
            <w:tcW w:w="3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240" w:type="dxa"/>
            <w:vAlign w:val="bottom"/>
          </w:tcPr>
          <w:p>
            <w:pPr>
              <w:ind w:left="440"/>
              <w:spacing w:after="0"/>
              <w:rPr>
                <w:sz w:val="20"/>
                <w:szCs w:val="20"/>
                <w:color w:val="auto"/>
              </w:rPr>
            </w:pPr>
            <w:r>
              <w:rPr>
                <w:rFonts w:ascii="Arial" w:cs="Arial" w:eastAsia="Arial" w:hAnsi="Arial"/>
                <w:sz w:val="18"/>
                <w:szCs w:val="18"/>
                <w:color w:val="auto"/>
              </w:rPr>
              <w:t>Intangible assets consisted of:</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ind w:left="820"/>
              <w:spacing w:after="0"/>
              <w:rPr>
                <w:sz w:val="20"/>
                <w:szCs w:val="20"/>
                <w:color w:val="auto"/>
              </w:rPr>
            </w:pPr>
            <w:r>
              <w:rPr>
                <w:rFonts w:ascii="Arial" w:cs="Arial" w:eastAsia="Arial" w:hAnsi="Arial"/>
                <w:sz w:val="16"/>
                <w:szCs w:val="16"/>
                <w:b w:val="1"/>
                <w:bCs w:val="1"/>
                <w:color w:val="auto"/>
              </w:rPr>
              <w:t>As of March 31, 2024</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8"/>
          </w:tcPr>
          <w:p>
            <w:pPr>
              <w:ind w:left="500"/>
              <w:spacing w:after="0"/>
              <w:rPr>
                <w:sz w:val="20"/>
                <w:szCs w:val="20"/>
                <w:color w:val="auto"/>
              </w:rPr>
            </w:pPr>
            <w:r>
              <w:rPr>
                <w:rFonts w:ascii="Arial" w:cs="Arial" w:eastAsia="Arial" w:hAnsi="Arial"/>
                <w:sz w:val="16"/>
                <w:szCs w:val="16"/>
                <w:b w:val="1"/>
                <w:bCs w:val="1"/>
                <w:color w:val="auto"/>
              </w:rPr>
              <w:t>As of December 31, 2023</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2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55"/>
              <w:spacing w:after="0" w:line="155"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00" w:type="dxa"/>
            <w:vAlign w:val="bottom"/>
          </w:tcPr>
          <w:p>
            <w:pPr>
              <w:jc w:val="center"/>
              <w:ind w:right="56"/>
              <w:spacing w:after="0" w:line="155" w:lineRule="exact"/>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4"/>
                <w:szCs w:val="14"/>
                <w:color w:val="auto"/>
              </w:rPr>
            </w:pPr>
          </w:p>
        </w:tc>
        <w:tc>
          <w:tcPr>
            <w:tcW w:w="920" w:type="dxa"/>
            <w:vAlign w:val="bottom"/>
            <w:gridSpan w:val="2"/>
          </w:tcPr>
          <w:p>
            <w:pPr>
              <w:jc w:val="center"/>
              <w:ind w:right="55"/>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6"/>
        </w:trPr>
        <w:tc>
          <w:tcPr>
            <w:tcW w:w="3240" w:type="dxa"/>
            <w:vAlign w:val="bottom"/>
            <w:vMerge w:val="restart"/>
          </w:tcPr>
          <w:p>
            <w:pPr>
              <w:ind w:left="460"/>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920" w:type="dxa"/>
            <w:vAlign w:val="bottom"/>
            <w:gridSpan w:val="2"/>
          </w:tcPr>
          <w:p>
            <w:pPr>
              <w:jc w:val="center"/>
              <w:ind w:right="55"/>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194"/>
        </w:trPr>
        <w:tc>
          <w:tcPr>
            <w:tcW w:w="32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460"/>
              <w:spacing w:after="0"/>
              <w:rPr>
                <w:sz w:val="20"/>
                <w:szCs w:val="20"/>
                <w:color w:val="auto"/>
              </w:rPr>
            </w:pPr>
            <w:r>
              <w:rPr>
                <w:rFonts w:ascii="Arial" w:cs="Arial" w:eastAsia="Arial" w:hAnsi="Arial"/>
                <w:sz w:val="16"/>
                <w:szCs w:val="16"/>
                <w:color w:val="auto"/>
              </w:rPr>
              <w:t>License agreements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460"/>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Pr>
          <w:p>
            <w:pPr>
              <w:ind w:left="46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4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40" w:type="dxa"/>
            <w:vAlign w:val="bottom"/>
            <w:vMerge w:val="restart"/>
          </w:tcPr>
          <w:p>
            <w:pPr>
              <w:ind w:left="460"/>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240" w:type="dxa"/>
            <w:vAlign w:val="bottom"/>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46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460"/>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both"/>
        <w:ind w:left="442"/>
        <w:spacing w:after="0" w:line="287" w:lineRule="auto"/>
        <w:rPr>
          <w:sz w:val="20"/>
          <w:szCs w:val="20"/>
          <w:color w:val="auto"/>
        </w:rPr>
      </w:pPr>
      <w:r>
        <w:rPr>
          <w:rFonts w:ascii="Arial" w:cs="Arial" w:eastAsia="Arial" w:hAnsi="Arial"/>
          <w:sz w:val="18"/>
          <w:szCs w:val="18"/>
          <w:color w:val="auto"/>
        </w:rPr>
        <w:t>For the three months ended March 31, 2024 and 2023, amortization expense related to amortizable intangible assets was approximately $8 million in each period.</w:t>
      </w:r>
    </w:p>
    <w:p>
      <w:pPr>
        <w:spacing w:after="0" w:line="180"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Based on our amortizable intangible assets at March 31, 2024, we expect amortization expense of approximately $ 21 million for the remainder of 2024, $22 million for 2025, $21 million for 2026, $16 million for 2027, $9 million for 2028 and $7 million for 2029, excluding effects of currency exchange rates.</w:t>
      </w:r>
    </w:p>
    <w:p>
      <w:pPr>
        <w:sectPr>
          <w:pgSz w:w="11900" w:h="16838" w:orient="portrait"/>
          <w:cols w:equalWidth="0" w:num="1">
            <w:col w:w="11182"/>
          </w:cols>
          <w:pgMar w:left="378" w:top="931" w:right="33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ind w:right="58"/>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type w:val="continuous"/>
        </w:sectPr>
      </w:pPr>
    </w:p>
    <w:bookmarkStart w:id="16" w:name="page17"/>
    <w:bookmarkEnd w:id="16"/>
    <w:p>
      <w:pPr>
        <w:ind w:left="342" w:hanging="342"/>
        <w:spacing w:after="0"/>
        <w:tabs>
          <w:tab w:leader="none" w:pos="34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vehicles, net within assets under vehicle programs are as follows:</w:t>
      </w:r>
    </w:p>
    <w:p>
      <w:pPr>
        <w:spacing w:after="0" w:line="54"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44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6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r>
      <w:tr>
        <w:trPr>
          <w:trHeight w:val="208"/>
        </w:trPr>
        <w:tc>
          <w:tcPr>
            <w:tcW w:w="6720" w:type="dxa"/>
            <w:vAlign w:val="bottom"/>
          </w:tcPr>
          <w:p>
            <w:pPr>
              <w:spacing w:after="0"/>
              <w:rPr>
                <w:sz w:val="20"/>
                <w:szCs w:val="20"/>
                <w:color w:val="auto"/>
              </w:rPr>
            </w:pPr>
            <w:r>
              <w:rPr>
                <w:rFonts w:ascii="Arial" w:cs="Arial" w:eastAsia="Arial" w:hAnsi="Arial"/>
                <w:sz w:val="16"/>
                <w:szCs w:val="16"/>
                <w:color w:val="auto"/>
              </w:rPr>
              <w:t>Rental vehicles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24,110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23,114</w:t>
            </w:r>
          </w:p>
        </w:tc>
      </w:tr>
      <w:tr>
        <w:trPr>
          <w:trHeight w:val="216"/>
        </w:trPr>
        <w:tc>
          <w:tcPr>
            <w:tcW w:w="6720" w:type="dxa"/>
            <w:vAlign w:val="bottom"/>
          </w:tcPr>
          <w:p>
            <w:pPr>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w:t>
            </w:r>
          </w:p>
        </w:tc>
      </w:tr>
      <w:tr>
        <w:trPr>
          <w:trHeight w:val="209"/>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20,475</w:t>
            </w:r>
          </w:p>
        </w:tc>
      </w:tr>
      <w:tr>
        <w:trPr>
          <w:trHeight w:val="215"/>
        </w:trPr>
        <w:tc>
          <w:tcPr>
            <w:tcW w:w="6720" w:type="dxa"/>
            <w:vAlign w:val="bottom"/>
          </w:tcPr>
          <w:p>
            <w:pPr>
              <w:spacing w:after="0"/>
              <w:rPr>
                <w:sz w:val="20"/>
                <w:szCs w:val="20"/>
                <w:color w:val="auto"/>
              </w:rPr>
            </w:pPr>
            <w:r>
              <w:rPr>
                <w:rFonts w:ascii="Arial" w:cs="Arial" w:eastAsia="Arial" w:hAnsi="Arial"/>
                <w:sz w:val="16"/>
                <w:szCs w:val="16"/>
                <w:color w:val="auto"/>
              </w:rPr>
              <w:t>Vehicles held for sale</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734</w:t>
            </w:r>
          </w:p>
        </w:tc>
      </w:tr>
      <w:tr>
        <w:trPr>
          <w:trHeight w:val="218"/>
        </w:trPr>
        <w:tc>
          <w:tcPr>
            <w:tcW w:w="6720" w:type="dxa"/>
            <w:vAlign w:val="bottom"/>
          </w:tcPr>
          <w:p>
            <w:pPr>
              <w:spacing w:after="0" w:line="218" w:lineRule="exact"/>
              <w:rPr>
                <w:sz w:val="20"/>
                <w:szCs w:val="20"/>
                <w:color w:val="auto"/>
              </w:rPr>
            </w:pPr>
            <w:r>
              <w:rPr>
                <w:rFonts w:ascii="Arial" w:cs="Arial" w:eastAsia="Arial" w:hAnsi="Arial"/>
                <w:sz w:val="16"/>
                <w:szCs w:val="16"/>
                <w:color w:val="auto"/>
              </w:rPr>
              <w:t xml:space="preserve">Vehicles, net investment in lease </w:t>
            </w:r>
            <w:r>
              <w:rPr>
                <w:rFonts w:ascii="Arial" w:cs="Arial" w:eastAsia="Arial" w:hAnsi="Arial"/>
                <w:sz w:val="21"/>
                <w:szCs w:val="21"/>
                <w:color w:val="auto"/>
                <w:vertAlign w:val="superscript"/>
              </w:rPr>
              <w:t>(a)</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10"/>
        </w:trPr>
        <w:tc>
          <w:tcPr>
            <w:tcW w:w="6720" w:type="dxa"/>
            <w:vAlign w:val="bottom"/>
          </w:tcPr>
          <w:p>
            <w:pPr>
              <w:spacing w:after="0"/>
              <w:rPr>
                <w:sz w:val="20"/>
                <w:szCs w:val="20"/>
                <w:color w:val="auto"/>
              </w:rPr>
            </w:pPr>
            <w:r>
              <w:rPr>
                <w:rFonts w:ascii="Arial" w:cs="Arial" w:eastAsia="Arial" w:hAnsi="Arial"/>
                <w:sz w:val="16"/>
                <w:szCs w:val="16"/>
                <w:color w:val="auto"/>
              </w:rPr>
              <w:t>Vehicles,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22,020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21,240</w:t>
            </w:r>
          </w:p>
        </w:tc>
      </w:tr>
      <w:tr>
        <w:trPr>
          <w:trHeight w:val="20"/>
        </w:trPr>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9" w:lineRule="exact"/>
        <w:rPr>
          <w:sz w:val="20"/>
          <w:szCs w:val="20"/>
          <w:color w:val="auto"/>
        </w:rPr>
      </w:pPr>
    </w:p>
    <w:p>
      <w:pPr>
        <w:ind w:left="662" w:hanging="226"/>
        <w:spacing w:after="0"/>
        <w:tabs>
          <w:tab w:leader="none" w:pos="662"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See Note 14 – Related Party Transactions.</w:t>
      </w:r>
    </w:p>
    <w:p>
      <w:pPr>
        <w:spacing w:after="0" w:line="219"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48" w:lineRule="exact"/>
        <w:rPr>
          <w:sz w:val="20"/>
          <w:szCs w:val="20"/>
          <w:color w:val="auto"/>
        </w:rPr>
      </w:pPr>
    </w:p>
    <w:p>
      <w:pPr>
        <w:jc w:val="center"/>
        <w:ind w:left="6540"/>
        <w:spacing w:after="0"/>
        <w:rPr>
          <w:sz w:val="20"/>
          <w:szCs w:val="20"/>
          <w:color w:val="auto"/>
        </w:rPr>
      </w:pPr>
      <w:r>
        <w:rPr>
          <w:rFonts w:ascii="Arial" w:cs="Arial" w:eastAsia="Arial" w:hAnsi="Arial"/>
          <w:sz w:val="16"/>
          <w:szCs w:val="16"/>
          <w:b w:val="1"/>
          <w:bCs w:val="1"/>
          <w:color w:val="auto"/>
        </w:rPr>
        <w:t>Three Months Ended</w:t>
      </w:r>
    </w:p>
    <w:p>
      <w:pPr>
        <w:jc w:val="center"/>
        <w:ind w:left="658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462"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208"/>
        </w:trPr>
        <w:tc>
          <w:tcPr>
            <w:tcW w:w="6720" w:type="dxa"/>
            <w:vAlign w:val="bottom"/>
          </w:tcPr>
          <w:p>
            <w:pPr>
              <w:spacing w:after="0"/>
              <w:rPr>
                <w:sz w:val="20"/>
                <w:szCs w:val="20"/>
                <w:color w:val="auto"/>
              </w:rPr>
            </w:pPr>
            <w:r>
              <w:rPr>
                <w:rFonts w:ascii="Arial" w:cs="Arial" w:eastAsia="Arial" w:hAnsi="Arial"/>
                <w:sz w:val="16"/>
                <w:szCs w:val="16"/>
                <w:color w:val="auto"/>
              </w:rPr>
              <w:t>Depreciation expense</w:t>
            </w: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215"/>
        </w:trPr>
        <w:tc>
          <w:tcPr>
            <w:tcW w:w="6720" w:type="dxa"/>
            <w:vAlign w:val="bottom"/>
          </w:tcPr>
          <w:p>
            <w:pPr>
              <w:spacing w:after="0"/>
              <w:rPr>
                <w:sz w:val="20"/>
                <w:szCs w:val="20"/>
                <w:color w:val="auto"/>
              </w:rPr>
            </w:pPr>
            <w:r>
              <w:rPr>
                <w:rFonts w:ascii="Arial" w:cs="Arial" w:eastAsia="Arial" w:hAnsi="Arial"/>
                <w:sz w:val="16"/>
                <w:szCs w:val="16"/>
                <w:color w:val="auto"/>
              </w:rPr>
              <w:t>Lease charges</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7"/>
        </w:trPr>
        <w:tc>
          <w:tcPr>
            <w:tcW w:w="6720" w:type="dxa"/>
            <w:vAlign w:val="bottom"/>
          </w:tcPr>
          <w:p>
            <w:pPr>
              <w:spacing w:after="0"/>
              <w:rPr>
                <w:sz w:val="20"/>
                <w:szCs w:val="20"/>
                <w:color w:val="auto"/>
              </w:rPr>
            </w:pPr>
            <w:r>
              <w:rPr>
                <w:rFonts w:ascii="Arial" w:cs="Arial" w:eastAsia="Arial" w:hAnsi="Arial"/>
                <w:sz w:val="16"/>
                <w:szCs w:val="16"/>
                <w:color w:val="auto"/>
              </w:rPr>
              <w:t>(Gain) loss on sale of vehicles, net</w:t>
            </w: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211"/>
        </w:trPr>
        <w:tc>
          <w:tcPr>
            <w:tcW w:w="6720" w:type="dxa"/>
            <w:vAlign w:val="bottom"/>
          </w:tcPr>
          <w:p>
            <w:pPr>
              <w:spacing w:after="0"/>
              <w:rPr>
                <w:sz w:val="20"/>
                <w:szCs w:val="20"/>
                <w:color w:val="auto"/>
              </w:rPr>
            </w:pPr>
            <w:r>
              <w:rPr>
                <w:rFonts w:ascii="Arial" w:cs="Arial" w:eastAsia="Arial" w:hAnsi="Arial"/>
                <w:sz w:val="16"/>
                <w:szCs w:val="16"/>
                <w:color w:val="auto"/>
              </w:rPr>
              <w:t>Vehicle depreciation and lease charges, net</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r>
      <w:tr>
        <w:trPr>
          <w:trHeight w:val="21"/>
        </w:trPr>
        <w:tc>
          <w:tcPr>
            <w:tcW w:w="6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At March 31, 2024 and 2023, we had payables related to vehicle purchases included in liabilities under vehicle programs - other of $483 million and $314 million, respectively, and receivables related to vehicle sales included in assets under vehicle programs - receivables from vehicle manufacturers and other of $239 million and $137 million, respectively.</w:t>
      </w:r>
    </w:p>
    <w:p>
      <w:pPr>
        <w:spacing w:after="0" w:line="198" w:lineRule="exact"/>
        <w:rPr>
          <w:sz w:val="20"/>
          <w:szCs w:val="20"/>
          <w:color w:val="auto"/>
        </w:rPr>
      </w:pPr>
    </w:p>
    <w:p>
      <w:pPr>
        <w:ind w:left="342" w:hanging="342"/>
        <w:spacing w:after="0"/>
        <w:tabs>
          <w:tab w:leader="none" w:pos="34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Our effective tax rate for the three months ended March 31, 2024 was a benefit of 20.4%. Such rate differed from the Federal Statutory rate of 21.0% primarily due to the effect of certain tax credits, partially offset by foreign taxes on our International operations and state taxes.</w:t>
      </w:r>
    </w:p>
    <w:p>
      <w:pPr>
        <w:spacing w:after="0" w:line="198" w:lineRule="exact"/>
        <w:rPr>
          <w:sz w:val="20"/>
          <w:szCs w:val="20"/>
          <w:color w:val="auto"/>
        </w:rPr>
      </w:pPr>
    </w:p>
    <w:p>
      <w:pPr>
        <w:jc w:val="both"/>
        <w:ind w:left="442"/>
        <w:spacing w:after="0" w:line="261" w:lineRule="auto"/>
        <w:rPr>
          <w:sz w:val="20"/>
          <w:szCs w:val="20"/>
          <w:color w:val="auto"/>
        </w:rPr>
      </w:pPr>
      <w:r>
        <w:rPr>
          <w:rFonts w:ascii="Arial" w:cs="Arial" w:eastAsia="Arial" w:hAnsi="Arial"/>
          <w:sz w:val="18"/>
          <w:szCs w:val="18"/>
          <w:color w:val="auto"/>
        </w:rPr>
        <w:t>Our effective tax rate for the three months ended March 31, 2023 was a provision of 21.4%. Such rate differed from the Federal Statutory rate of 21.0% primarily due to foreign taxes on our International operations and state taxes, partially offset by the effect of certain tax credits and the favorable adjustments related to stock-based compensation.</w:t>
      </w:r>
    </w:p>
    <w:p>
      <w:pPr>
        <w:spacing w:after="0" w:line="189" w:lineRule="exact"/>
        <w:rPr>
          <w:sz w:val="20"/>
          <w:szCs w:val="20"/>
          <w:color w:val="auto"/>
        </w:rPr>
      </w:pPr>
    </w:p>
    <w:p>
      <w:pPr>
        <w:jc w:val="both"/>
        <w:ind w:left="442"/>
        <w:spacing w:after="0" w:line="251" w:lineRule="auto"/>
        <w:rPr>
          <w:sz w:val="20"/>
          <w:szCs w:val="20"/>
          <w:color w:val="auto"/>
        </w:rPr>
      </w:pPr>
      <w:r>
        <w:rPr>
          <w:rFonts w:ascii="Arial" w:cs="Arial" w:eastAsia="Arial" w:hAnsi="Arial"/>
          <w:sz w:val="18"/>
          <w:szCs w:val="18"/>
          <w:color w:val="auto"/>
        </w:rPr>
        <w:t>The Organisation for Economic Cooperation and Development (“OECD”) published a proposal for the establishment of a global minimum tax rate of 15% (the “Pillar Two rule”), effective for fiscal 2024. We are closely monitoring developments of the Pillar Two rule as the OECD continues to refine its technical guidance and member states implement tax laws and regulations based on Pillar Two proposals. Based on our preliminary analysis, we do not expect Pillar Two to have a material impact on our financial statements for 2024.</w:t>
      </w:r>
    </w:p>
    <w:p>
      <w:pPr>
        <w:spacing w:after="0" w:line="200" w:lineRule="exact"/>
        <w:rPr>
          <w:sz w:val="20"/>
          <w:szCs w:val="20"/>
          <w:color w:val="auto"/>
        </w:rPr>
      </w:pPr>
    </w:p>
    <w:p>
      <w:pPr>
        <w:spacing w:after="0" w:line="351"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1174" w:right="339" w:bottom="1440" w:gutter="0" w:footer="0" w:header="0"/>
        </w:sectPr>
      </w:pPr>
    </w:p>
    <w:bookmarkStart w:id="17" w:name="page18"/>
    <w:bookmarkEnd w:id="17"/>
    <w:p>
      <w:pPr>
        <w:ind w:left="2"/>
        <w:spacing w:after="0"/>
        <w:tabs>
          <w:tab w:leader="none" w:pos="322" w:val="left"/>
        </w:tabs>
        <w:rPr>
          <w:sz w:val="20"/>
          <w:szCs w:val="20"/>
          <w:color w:val="auto"/>
        </w:rPr>
      </w:pPr>
      <w:r>
        <w:rPr>
          <w:rFonts w:ascii="Arial" w:cs="Arial" w:eastAsia="Arial" w:hAnsi="Arial"/>
          <w:sz w:val="18"/>
          <w:szCs w:val="18"/>
          <w:b w:val="1"/>
          <w:bCs w:val="1"/>
          <w:color w:val="auto"/>
        </w:rPr>
        <w:t>9.</w:t>
        <w:tab/>
        <w:t>Accounts Payable and Other Current Liabilities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Accounts payable and other current liabilities consisted of:</w:t>
      </w:r>
    </w:p>
    <w:p>
      <w:pPr>
        <w:spacing w:after="0" w:line="54"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r>
      <w:tr>
        <w:trPr>
          <w:trHeight w:val="208"/>
        </w:trPr>
        <w:tc>
          <w:tcPr>
            <w:tcW w:w="6780" w:type="dxa"/>
            <w:vAlign w:val="bottom"/>
          </w:tcPr>
          <w:p>
            <w:pPr>
              <w:spacing w:after="0"/>
              <w:rPr>
                <w:sz w:val="20"/>
                <w:szCs w:val="20"/>
                <w:color w:val="auto"/>
              </w:rPr>
            </w:pPr>
            <w:r>
              <w:rPr>
                <w:rFonts w:ascii="Arial" w:cs="Arial" w:eastAsia="Arial" w:hAnsi="Arial"/>
                <w:sz w:val="16"/>
                <w:szCs w:val="16"/>
                <w:color w:val="auto"/>
              </w:rPr>
              <w:t>Short-term operating lease liabilities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215"/>
        </w:trPr>
        <w:tc>
          <w:tcPr>
            <w:tcW w:w="6780" w:type="dxa"/>
            <w:vAlign w:val="bottom"/>
          </w:tcPr>
          <w:p>
            <w:pPr>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Accrued advertising and marketing</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Accrued sales and use taxes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Accrued payroll and related</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Deferred lease revenues - current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Public liability and property damage insurance liabilities – current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7"/>
        </w:trPr>
        <w:tc>
          <w:tcPr>
            <w:tcW w:w="6780" w:type="dxa"/>
            <w:vAlign w:val="bottom"/>
          </w:tcPr>
          <w:p>
            <w:pPr>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r>
      <w:tr>
        <w:trPr>
          <w:trHeight w:val="211"/>
        </w:trPr>
        <w:tc>
          <w:tcPr>
            <w:tcW w:w="6780" w:type="dxa"/>
            <w:vAlign w:val="bottom"/>
          </w:tcPr>
          <w:p>
            <w:pPr>
              <w:spacing w:after="0"/>
              <w:rPr>
                <w:sz w:val="20"/>
                <w:szCs w:val="20"/>
                <w:color w:val="auto"/>
              </w:rPr>
            </w:pPr>
            <w:r>
              <w:rPr>
                <w:rFonts w:ascii="Arial" w:cs="Arial" w:eastAsia="Arial" w:hAnsi="Arial"/>
                <w:sz w:val="16"/>
                <w:szCs w:val="16"/>
                <w:color w:val="auto"/>
              </w:rPr>
              <w:t>Accounts payable and other current liabilities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2,627</w:t>
            </w:r>
          </w:p>
        </w:tc>
      </w:tr>
      <w:tr>
        <w:trPr>
          <w:trHeight w:val="21"/>
        </w:trPr>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442" w:right="5300" w:hanging="442"/>
        <w:spacing w:after="0" w:line="417" w:lineRule="auto"/>
        <w:tabs>
          <w:tab w:leader="none" w:pos="43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Corporate Debt and Borrowing Arrangements </w:t>
      </w:r>
      <w:r>
        <w:rPr>
          <w:rFonts w:ascii="Arial" w:cs="Arial" w:eastAsia="Arial" w:hAnsi="Arial"/>
          <w:sz w:val="18"/>
          <w:szCs w:val="18"/>
          <w:color w:val="auto"/>
        </w:rPr>
        <w:t>Long-term corporate debt and borrowing arrangements consisted of:</w:t>
      </w:r>
    </w:p>
    <w:p>
      <w:pPr>
        <w:spacing w:after="0" w:line="1"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As of</w:t>
            </w:r>
          </w:p>
        </w:tc>
        <w:tc>
          <w:tcPr>
            <w:tcW w:w="200" w:type="dxa"/>
            <w:vAlign w:val="bottom"/>
          </w:tcPr>
          <w:p>
            <w:pPr>
              <w:spacing w:after="0"/>
              <w:rPr>
                <w:sz w:val="18"/>
                <w:szCs w:val="18"/>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508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Maturity</w:t>
            </w:r>
          </w:p>
        </w:tc>
        <w:tc>
          <w:tcPr>
            <w:tcW w:w="28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508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Date</w:t>
            </w:r>
          </w:p>
        </w:tc>
        <w:tc>
          <w:tcPr>
            <w:tcW w:w="280" w:type="dxa"/>
            <w:vAlign w:val="bottom"/>
          </w:tcPr>
          <w:p>
            <w:pPr>
              <w:spacing w:after="0"/>
              <w:rPr>
                <w:sz w:val="18"/>
                <w:szCs w:val="18"/>
                <w:color w:val="auto"/>
              </w:rPr>
            </w:pPr>
          </w:p>
        </w:tc>
        <w:tc>
          <w:tcPr>
            <w:tcW w:w="1340" w:type="dxa"/>
            <w:vAlign w:val="bottom"/>
          </w:tcPr>
          <w:p>
            <w:pPr>
              <w:jc w:val="center"/>
              <w:ind w:right="2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2023</w:t>
            </w:r>
          </w:p>
        </w:tc>
      </w:tr>
      <w:tr>
        <w:trPr>
          <w:trHeight w:val="209"/>
        </w:trPr>
        <w:tc>
          <w:tcPr>
            <w:tcW w:w="5080" w:type="dxa"/>
            <w:vAlign w:val="bottom"/>
          </w:tcPr>
          <w:p>
            <w:pPr>
              <w:spacing w:after="0" w:line="209" w:lineRule="exact"/>
              <w:rPr>
                <w:sz w:val="20"/>
                <w:szCs w:val="20"/>
                <w:color w:val="auto"/>
              </w:rPr>
            </w:pPr>
            <w:r>
              <w:rPr>
                <w:rFonts w:ascii="Arial" w:cs="Arial" w:eastAsia="Arial" w:hAnsi="Arial"/>
                <w:sz w:val="16"/>
                <w:szCs w:val="16"/>
                <w:color w:val="auto"/>
              </w:rPr>
              <w:t xml:space="preserve">4.750% euro-denominated Senior Notes </w:t>
            </w:r>
            <w:r>
              <w:rPr>
                <w:rFonts w:ascii="Arial" w:cs="Arial" w:eastAsia="Arial" w:hAnsi="Arial"/>
                <w:sz w:val="21"/>
                <w:szCs w:val="21"/>
                <w:color w:val="auto"/>
                <w:vertAlign w:val="superscript"/>
              </w:rPr>
              <w:t>(a)</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January 2026</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5.750%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2027</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736</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4.750%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2028</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7.000% euro-denominated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2029</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5.375%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7.250% euro-denominated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July 2030</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8.000%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2031</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17"/>
        </w:trPr>
        <w:tc>
          <w:tcPr>
            <w:tcW w:w="5080" w:type="dxa"/>
            <w:vAlign w:val="bottom"/>
          </w:tcPr>
          <w:p>
            <w:pPr>
              <w:spacing w:after="0" w:line="218"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August 2027</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1,164</w:t>
            </w:r>
          </w:p>
        </w:tc>
      </w:tr>
      <w:tr>
        <w:trPr>
          <w:trHeight w:val="216"/>
        </w:trPr>
        <w:tc>
          <w:tcPr>
            <w:tcW w:w="5080" w:type="dxa"/>
            <w:vAlign w:val="bottom"/>
          </w:tcPr>
          <w:p>
            <w:pPr>
              <w:spacing w:after="0" w:line="216"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(c)</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16"/>
        </w:trPr>
        <w:tc>
          <w:tcPr>
            <w:tcW w:w="5080" w:type="dxa"/>
            <w:vAlign w:val="bottom"/>
          </w:tcPr>
          <w:p>
            <w:pPr>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(d)</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10"/>
        </w:trPr>
        <w:tc>
          <w:tcPr>
            <w:tcW w:w="5080" w:type="dxa"/>
            <w:vAlign w:val="bottom"/>
          </w:tcPr>
          <w:p>
            <w:pPr>
              <w:spacing w:after="0"/>
              <w:rPr>
                <w:sz w:val="20"/>
                <w:szCs w:val="20"/>
                <w:color w:val="auto"/>
              </w:rPr>
            </w:pPr>
            <w:r>
              <w:rPr>
                <w:rFonts w:ascii="Arial" w:cs="Arial" w:eastAsia="Arial" w:hAnsi="Arial"/>
                <w:sz w:val="16"/>
                <w:szCs w:val="16"/>
                <w:color w:val="auto"/>
              </w:rPr>
              <w:t>Total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4,823</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11"/>
        </w:trPr>
        <w:tc>
          <w:tcPr>
            <w:tcW w:w="5080" w:type="dxa"/>
            <w:vAlign w:val="bottom"/>
          </w:tcPr>
          <w:p>
            <w:pPr>
              <w:spacing w:after="0"/>
              <w:rPr>
                <w:sz w:val="20"/>
                <w:szCs w:val="20"/>
                <w:color w:val="auto"/>
              </w:rPr>
            </w:pPr>
            <w:r>
              <w:rPr>
                <w:rFonts w:ascii="Arial" w:cs="Arial" w:eastAsia="Arial" w:hAnsi="Arial"/>
                <w:sz w:val="16"/>
                <w:szCs w:val="16"/>
                <w:color w:val="auto"/>
              </w:rPr>
              <w:t>Long-term debt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4,791</w:t>
            </w:r>
          </w:p>
        </w:tc>
      </w:tr>
      <w:tr>
        <w:trPr>
          <w:trHeight w:val="21"/>
        </w:trPr>
        <w:tc>
          <w:tcPr>
            <w:tcW w:w="5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ind w:left="762" w:hanging="326"/>
        <w:spacing w:after="0"/>
        <w:tabs>
          <w:tab w:leader="none" w:pos="762" w:val="left"/>
        </w:tabs>
        <w:numPr>
          <w:ilvl w:val="0"/>
          <w:numId w:val="17"/>
        </w:numPr>
        <w:rPr>
          <w:rFonts w:ascii="Arial" w:cs="Arial" w:eastAsia="Arial" w:hAnsi="Arial"/>
          <w:sz w:val="9"/>
          <w:szCs w:val="9"/>
          <w:color w:val="auto"/>
        </w:rPr>
      </w:pPr>
      <w:r>
        <w:rPr>
          <w:rFonts w:ascii="Arial" w:cs="Arial" w:eastAsia="Arial" w:hAnsi="Arial"/>
          <w:sz w:val="14"/>
          <w:szCs w:val="14"/>
          <w:color w:val="auto"/>
        </w:rPr>
        <w:t>In April 2024, these notes were fully redeemed. See Note 18 – Subsequent Events.</w:t>
      </w:r>
    </w:p>
    <w:p>
      <w:pPr>
        <w:spacing w:after="0" w:line="14" w:lineRule="exact"/>
        <w:rPr>
          <w:rFonts w:ascii="Arial" w:cs="Arial" w:eastAsia="Arial" w:hAnsi="Arial"/>
          <w:sz w:val="9"/>
          <w:szCs w:val="9"/>
          <w:color w:val="auto"/>
        </w:rPr>
      </w:pPr>
    </w:p>
    <w:p>
      <w:pPr>
        <w:jc w:val="both"/>
        <w:ind w:left="762" w:hanging="326"/>
        <w:spacing w:after="0" w:line="235" w:lineRule="auto"/>
        <w:tabs>
          <w:tab w:leader="none" w:pos="755"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 As of March 31, 2024, the floating rate term loan due 2027 bears interest at one-month Secured Overnight Financing Rate (“SOFR”) plus 1.75%, for an aggregate rate of 7.19%. We have entered into a swap to hedge $750 million of interest rate exposure related to the floating rate term loan at an aggregate rate of 3.26%.</w:t>
      </w:r>
    </w:p>
    <w:p>
      <w:pPr>
        <w:spacing w:after="0" w:line="1" w:lineRule="exact"/>
        <w:rPr>
          <w:rFonts w:ascii="Arial" w:cs="Arial" w:eastAsia="Arial" w:hAnsi="Arial"/>
          <w:sz w:val="19"/>
          <w:szCs w:val="19"/>
          <w:color w:val="auto"/>
          <w:vertAlign w:val="superscript"/>
        </w:rPr>
      </w:pPr>
    </w:p>
    <w:p>
      <w:pPr>
        <w:jc w:val="both"/>
        <w:ind w:left="762" w:hanging="326"/>
        <w:spacing w:after="0" w:line="261" w:lineRule="auto"/>
        <w:tabs>
          <w:tab w:leader="none" w:pos="749" w:val="left"/>
        </w:tabs>
        <w:numPr>
          <w:ilvl w:val="0"/>
          <w:numId w:val="17"/>
        </w:numPr>
        <w:rPr>
          <w:rFonts w:ascii="Arial" w:cs="Arial" w:eastAsia="Arial" w:hAnsi="Arial"/>
          <w:sz w:val="9"/>
          <w:szCs w:val="9"/>
          <w:color w:val="auto"/>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 As of March 31, 2024, the floating rate term loan due 2029 bears interest at one-month SOFR plus 3.00% for an aggregate rate of 8.43%.</w:t>
      </w:r>
    </w:p>
    <w:p>
      <w:pPr>
        <w:spacing w:after="0" w:line="1" w:lineRule="exact"/>
        <w:rPr>
          <w:rFonts w:ascii="Arial" w:cs="Arial" w:eastAsia="Arial" w:hAnsi="Arial"/>
          <w:sz w:val="9"/>
          <w:szCs w:val="9"/>
          <w:color w:val="auto"/>
        </w:rPr>
      </w:pPr>
    </w:p>
    <w:p>
      <w:pPr>
        <w:ind w:left="762" w:hanging="326"/>
        <w:spacing w:after="0" w:line="193" w:lineRule="auto"/>
        <w:tabs>
          <w:tab w:leader="none" w:pos="762"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8" w:name="page19"/>
    <w:bookmarkEnd w:id="18"/>
    <w:p>
      <w:pPr>
        <w:jc w:val="both"/>
        <w:ind w:left="442"/>
        <w:spacing w:after="0" w:line="268" w:lineRule="auto"/>
        <w:rPr>
          <w:sz w:val="20"/>
          <w:szCs w:val="20"/>
          <w:color w:val="auto"/>
        </w:rPr>
      </w:pPr>
      <w:r>
        <w:rPr>
          <w:rFonts w:ascii="Arial" w:cs="Arial" w:eastAsia="Arial" w:hAnsi="Arial"/>
          <w:sz w:val="18"/>
          <w:szCs w:val="18"/>
          <w:color w:val="auto"/>
        </w:rPr>
        <w:t>In February 2024, we issued €600 million of 7.000% euro-denominated Senior Notes due February 2029, at par, with interest payable semi-annually. Net proceeds from the offering will be used to redeem all of our outstanding 4.750% euro-denominated Senior Notes due January 2026 plus accrued interest, with the remainder being used for general corporate purposes.</w:t>
      </w:r>
    </w:p>
    <w:p>
      <w:pPr>
        <w:spacing w:after="0" w:line="200"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442"/>
        <w:spacing w:after="0"/>
        <w:rPr>
          <w:sz w:val="20"/>
          <w:szCs w:val="20"/>
          <w:color w:val="auto"/>
        </w:rPr>
      </w:pPr>
      <w:r>
        <w:rPr>
          <w:rFonts w:ascii="Arial" w:cs="Arial" w:eastAsia="Arial" w:hAnsi="Arial"/>
          <w:sz w:val="18"/>
          <w:szCs w:val="18"/>
          <w:color w:val="auto"/>
        </w:rPr>
        <w:t>As of March 31, 2024, the committed corporate credit facilities available to us and/or our subsidiaries were as follows:</w:t>
      </w:r>
    </w:p>
    <w:p>
      <w:pPr>
        <w:spacing w:after="0" w:line="33" w:lineRule="exact"/>
        <w:rPr>
          <w:sz w:val="20"/>
          <w:szCs w:val="20"/>
          <w:color w:val="auto"/>
        </w:rPr>
      </w:pPr>
    </w:p>
    <w:tbl>
      <w:tblPr>
        <w:tblLayout w:type="fixed"/>
        <w:tblInd w:w="442"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50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Letters of</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Capacity</w:t>
            </w:r>
          </w:p>
        </w:tc>
        <w:tc>
          <w:tcPr>
            <w:tcW w:w="180" w:type="dxa"/>
            <w:vAlign w:val="bottom"/>
          </w:tcPr>
          <w:p>
            <w:pPr>
              <w:spacing w:after="0"/>
              <w:rPr>
                <w:sz w:val="18"/>
                <w:szCs w:val="18"/>
                <w:color w:val="auto"/>
              </w:rPr>
            </w:pPr>
          </w:p>
        </w:tc>
        <w:tc>
          <w:tcPr>
            <w:tcW w:w="1500" w:type="dxa"/>
            <w:vAlign w:val="bottom"/>
            <w:gridSpan w:val="3"/>
          </w:tcPr>
          <w:p>
            <w:pPr>
              <w:jc w:val="center"/>
              <w:ind w:right="359"/>
              <w:spacing w:after="0"/>
              <w:rPr>
                <w:sz w:val="20"/>
                <w:szCs w:val="20"/>
                <w:color w:val="auto"/>
              </w:rPr>
            </w:pPr>
            <w:r>
              <w:rPr>
                <w:rFonts w:ascii="Arial" w:cs="Arial" w:eastAsia="Arial" w:hAnsi="Arial"/>
                <w:sz w:val="16"/>
                <w:szCs w:val="16"/>
                <w:b w:val="1"/>
                <w:bCs w:val="1"/>
                <w:color w:val="auto"/>
              </w:rPr>
              <w:t>Borrowings</w:t>
            </w: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Credit Issued</w:t>
            </w:r>
          </w:p>
        </w:tc>
        <w:tc>
          <w:tcPr>
            <w:tcW w:w="2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78"/>
        </w:trPr>
        <w:tc>
          <w:tcPr>
            <w:tcW w:w="420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2028 </w:t>
            </w:r>
            <w:r>
              <w:rPr>
                <w:rFonts w:ascii="Arial" w:cs="Arial" w:eastAsia="Arial" w:hAnsi="Arial"/>
                <w:sz w:val="21"/>
                <w:szCs w:val="21"/>
                <w:color w:val="auto"/>
                <w:vertAlign w:val="superscript"/>
              </w:rPr>
              <w:t>(a)</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38"/>
        </w:trPr>
        <w:tc>
          <w:tcPr>
            <w:tcW w:w="4200" w:type="dxa"/>
            <w:vAlign w:val="bottom"/>
          </w:tcPr>
          <w:p>
            <w:pPr>
              <w:spacing w:after="0"/>
              <w:rPr>
                <w:sz w:val="20"/>
                <w:szCs w:val="20"/>
                <w:color w:val="auto"/>
              </w:rPr>
            </w:pPr>
            <w:r>
              <w:rPr>
                <w:rFonts w:ascii="Arial" w:cs="Arial" w:eastAsia="Arial" w:hAnsi="Arial"/>
                <w:sz w:val="16"/>
                <w:szCs w:val="16"/>
                <w:color w:val="auto"/>
              </w:rPr>
              <w:t>________</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jc w:val="both"/>
        <w:ind w:left="762" w:hanging="326"/>
        <w:spacing w:after="0" w:line="207" w:lineRule="auto"/>
        <w:tabs>
          <w:tab w:leader="none" w:pos="755"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SOFR plus 1.75% and is part of our senior credit facilities, which include the floating rate term loan and the senior revolving credit facility, and which are secured by pledges of capital stock of certain of our subsidiaries, liens on substantially all of our intellectual property and certain other real and personal property.</w:t>
      </w:r>
    </w:p>
    <w:p>
      <w:pPr>
        <w:spacing w:after="0" w:line="209"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442"/>
        <w:spacing w:after="0" w:line="262" w:lineRule="auto"/>
        <w:rPr>
          <w:sz w:val="20"/>
          <w:szCs w:val="20"/>
          <w:color w:val="auto"/>
        </w:rPr>
      </w:pPr>
      <w:r>
        <w:rPr>
          <w:rFonts w:ascii="Arial" w:cs="Arial" w:eastAsia="Arial" w:hAnsi="Arial"/>
          <w:sz w:val="18"/>
          <w:szCs w:val="18"/>
          <w:color w:val="auto"/>
        </w:rPr>
        <w:t>The agreements governing our indebtedness contain restrictive covenants, including restrictions on dividends paid to us by certain of our subsidiaries, the incurrence of additional indebtedness and/or liens by us and certain of our subsidiaries, acquisitions, mergers, liquidations, and sale and leaseback transactions. Our senior credit facility also contains a maximum leverage ratio requirement. As of March 31, 2024, we were in compliance with the financial covenants governing our indebtedness.</w:t>
      </w:r>
    </w:p>
    <w:p>
      <w:pPr>
        <w:spacing w:after="0" w:line="203" w:lineRule="exact"/>
        <w:rPr>
          <w:sz w:val="20"/>
          <w:szCs w:val="20"/>
          <w:color w:val="auto"/>
        </w:rPr>
      </w:pPr>
    </w:p>
    <w:p>
      <w:pPr>
        <w:ind w:left="442" w:hanging="442"/>
        <w:spacing w:after="0"/>
        <w:tabs>
          <w:tab w:leader="none" w:pos="44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52" w:lineRule="exact"/>
        <w:rPr>
          <w:rFonts w:ascii="Arial" w:cs="Arial" w:eastAsia="Arial" w:hAnsi="Arial"/>
          <w:sz w:val="18"/>
          <w:szCs w:val="18"/>
          <w:b w:val="1"/>
          <w:bCs w:val="1"/>
          <w:color w:val="auto"/>
        </w:rPr>
      </w:pPr>
    </w:p>
    <w:p>
      <w:pPr>
        <w:ind w:left="442"/>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r>
      <w:tr>
        <w:trPr>
          <w:trHeight w:val="209"/>
        </w:trPr>
        <w:tc>
          <w:tcPr>
            <w:tcW w:w="6780" w:type="dxa"/>
            <w:vAlign w:val="bottom"/>
          </w:tcPr>
          <w:p>
            <w:pPr>
              <w:spacing w:after="0" w:line="209" w:lineRule="exact"/>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16,030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15,502</w:t>
            </w:r>
          </w:p>
        </w:tc>
      </w:tr>
      <w:tr>
        <w:trPr>
          <w:trHeight w:val="215"/>
        </w:trPr>
        <w:tc>
          <w:tcPr>
            <w:tcW w:w="6780" w:type="dxa"/>
            <w:vAlign w:val="bottom"/>
          </w:tcPr>
          <w:p>
            <w:pPr>
              <w:spacing w:after="0"/>
              <w:rPr>
                <w:sz w:val="20"/>
                <w:szCs w:val="20"/>
                <w:color w:val="auto"/>
              </w:rPr>
            </w:pPr>
            <w:r>
              <w:rPr>
                <w:rFonts w:ascii="Arial" w:cs="Arial" w:eastAsia="Arial" w:hAnsi="Arial"/>
                <w:sz w:val="16"/>
                <w:szCs w:val="16"/>
                <w:color w:val="auto"/>
              </w:rPr>
              <w:t>Americas - Debt borrowings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1,075</w:t>
            </w:r>
          </w:p>
        </w:tc>
      </w:tr>
      <w:tr>
        <w:trPr>
          <w:trHeight w:val="217"/>
        </w:trPr>
        <w:tc>
          <w:tcPr>
            <w:tcW w:w="6780" w:type="dxa"/>
            <w:vAlign w:val="bottom"/>
          </w:tcPr>
          <w:p>
            <w:pPr>
              <w:spacing w:after="0" w:line="218" w:lineRule="exact"/>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(b)</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2,203</w:t>
            </w:r>
          </w:p>
        </w:tc>
      </w:tr>
      <w:tr>
        <w:trPr>
          <w:trHeight w:val="215"/>
        </w:trPr>
        <w:tc>
          <w:tcPr>
            <w:tcW w:w="678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8"/>
        </w:trPr>
        <w:tc>
          <w:tcPr>
            <w:tcW w:w="6780" w:type="dxa"/>
            <w:vAlign w:val="bottom"/>
          </w:tcPr>
          <w:p>
            <w:pPr>
              <w:spacing w:after="0" w:line="218" w:lineRule="exact"/>
              <w:rPr>
                <w:sz w:val="20"/>
                <w:szCs w:val="20"/>
                <w:color w:val="auto"/>
              </w:rPr>
            </w:pPr>
            <w:r>
              <w:rPr>
                <w:rFonts w:ascii="Arial" w:cs="Arial" w:eastAsia="Arial" w:hAnsi="Arial"/>
                <w:sz w:val="16"/>
                <w:szCs w:val="16"/>
                <w:color w:val="auto"/>
              </w:rPr>
              <w:t xml:space="preserve">Deferred financing fees </w:t>
            </w:r>
            <w:r>
              <w:rPr>
                <w:rFonts w:ascii="Arial" w:cs="Arial" w:eastAsia="Arial" w:hAnsi="Arial"/>
                <w:sz w:val="21"/>
                <w:szCs w:val="21"/>
                <w:color w:val="auto"/>
                <w:vertAlign w:val="superscript"/>
              </w:rPr>
              <w:t>(c)</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10"/>
        </w:trPr>
        <w:tc>
          <w:tcPr>
            <w:tcW w:w="6780" w:type="dxa"/>
            <w:vAlign w:val="bottom"/>
          </w:tcPr>
          <w:p>
            <w:pPr>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18,937</w:t>
            </w:r>
          </w:p>
        </w:tc>
      </w:tr>
      <w:tr>
        <w:trPr>
          <w:trHeight w:val="20"/>
        </w:trPr>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ind w:left="762" w:hanging="326"/>
        <w:spacing w:after="0"/>
        <w:tabs>
          <w:tab w:leader="none" w:pos="762" w:val="left"/>
        </w:tabs>
        <w:numPr>
          <w:ilvl w:val="0"/>
          <w:numId w:val="20"/>
        </w:numPr>
        <w:rPr>
          <w:rFonts w:ascii="Arial" w:cs="Arial" w:eastAsia="Arial" w:hAnsi="Arial"/>
          <w:sz w:val="9"/>
          <w:szCs w:val="9"/>
          <w:color w:val="auto"/>
        </w:rPr>
      </w:pPr>
      <w:r>
        <w:rPr>
          <w:rFonts w:ascii="Arial" w:cs="Arial" w:eastAsia="Arial" w:hAnsi="Arial"/>
          <w:sz w:val="14"/>
          <w:szCs w:val="14"/>
          <w:color w:val="auto"/>
        </w:rPr>
        <w:t>Includes approximately $843 million and $841 million of Class R notes as of March 31, 2024 and December 31, 2023, respectively, which are held by us.</w:t>
      </w:r>
    </w:p>
    <w:p>
      <w:pPr>
        <w:spacing w:after="0" w:line="1" w:lineRule="exact"/>
        <w:rPr>
          <w:rFonts w:ascii="Arial" w:cs="Arial" w:eastAsia="Arial" w:hAnsi="Arial"/>
          <w:sz w:val="9"/>
          <w:szCs w:val="9"/>
          <w:color w:val="auto"/>
        </w:rPr>
      </w:pPr>
    </w:p>
    <w:p>
      <w:pPr>
        <w:ind w:left="762" w:hanging="326"/>
        <w:spacing w:after="0" w:line="204" w:lineRule="auto"/>
        <w:tabs>
          <w:tab w:leader="none" w:pos="755"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 February 2024, we amended our European rental fleet securitization program to increase its capacity to approximately €1.9 billion and extend the maturity of the program to September 2026. We also added £200 million to our capacity within the program.</w:t>
      </w:r>
    </w:p>
    <w:p>
      <w:pPr>
        <w:spacing w:after="0" w:line="1" w:lineRule="exact"/>
        <w:rPr>
          <w:rFonts w:ascii="Arial" w:cs="Arial" w:eastAsia="Arial" w:hAnsi="Arial"/>
          <w:sz w:val="19"/>
          <w:szCs w:val="19"/>
          <w:color w:val="auto"/>
          <w:vertAlign w:val="superscript"/>
        </w:rPr>
      </w:pPr>
    </w:p>
    <w:p>
      <w:pPr>
        <w:ind w:left="762" w:hanging="326"/>
        <w:spacing w:after="0" w:line="222" w:lineRule="auto"/>
        <w:tabs>
          <w:tab w:leader="none" w:pos="749"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Deferred financing fees related to Debt due to Avis Budget Rental Car Funding as of March 31, 2024 and December 31, 2023 were $81 million and $61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9" w:name="page20"/>
    <w:bookmarkEnd w:id="19"/>
    <w:p>
      <w:pPr>
        <w:ind w:left="6"/>
        <w:spacing w:after="0"/>
        <w:rPr>
          <w:sz w:val="20"/>
          <w:szCs w:val="20"/>
          <w:color w:val="auto"/>
        </w:rPr>
      </w:pPr>
      <w:r>
        <w:rPr>
          <w:rFonts w:ascii="Arial" w:cs="Arial" w:eastAsia="Arial" w:hAnsi="Arial"/>
          <w:sz w:val="18"/>
          <w:szCs w:val="18"/>
          <w:color w:val="auto"/>
        </w:rPr>
        <w:t>The following table provides a summary of debt issued by AESOP during the three months ended March 31, 2024:</w:t>
      </w:r>
    </w:p>
    <w:p>
      <w:pPr>
        <w:spacing w:after="0" w:line="33"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2500" w:type="dxa"/>
            <w:vAlign w:val="bottom"/>
            <w:gridSpan w:val="2"/>
            <w:vMerge w:val="restart"/>
          </w:tcPr>
          <w:p>
            <w:pPr>
              <w:ind w:left="660"/>
              <w:spacing w:after="0"/>
              <w:rPr>
                <w:sz w:val="20"/>
                <w:szCs w:val="20"/>
                <w:color w:val="auto"/>
              </w:rPr>
            </w:pPr>
            <w:r>
              <w:rPr>
                <w:rFonts w:ascii="Arial" w:cs="Arial" w:eastAsia="Arial" w:hAnsi="Arial"/>
                <w:sz w:val="16"/>
                <w:szCs w:val="16"/>
                <w:b w:val="1"/>
                <w:bCs w:val="1"/>
                <w:color w:val="auto"/>
              </w:rPr>
              <w:t>Issuance Date</w:t>
            </w:r>
          </w:p>
        </w:tc>
        <w:tc>
          <w:tcPr>
            <w:tcW w:w="2520" w:type="dxa"/>
            <w:vAlign w:val="bottom"/>
            <w:gridSpan w:val="2"/>
            <w:vMerge w:val="restart"/>
          </w:tcPr>
          <w:p>
            <w:pPr>
              <w:ind w:left="700"/>
              <w:spacing w:after="0"/>
              <w:rPr>
                <w:sz w:val="20"/>
                <w:szCs w:val="20"/>
                <w:color w:val="auto"/>
              </w:rPr>
            </w:pPr>
            <w:r>
              <w:rPr>
                <w:rFonts w:ascii="Arial" w:cs="Arial" w:eastAsia="Arial" w:hAnsi="Arial"/>
                <w:sz w:val="16"/>
                <w:szCs w:val="16"/>
                <w:b w:val="1"/>
                <w:bCs w:val="1"/>
                <w:color w:val="auto"/>
              </w:rPr>
              <w:t>Maturity Date</w:t>
            </w:r>
          </w:p>
        </w:tc>
        <w:tc>
          <w:tcPr>
            <w:tcW w:w="3200" w:type="dxa"/>
            <w:vAlign w:val="bottom"/>
            <w:gridSpan w:val="3"/>
          </w:tcPr>
          <w:p>
            <w:pPr>
              <w:jc w:val="center"/>
              <w:ind w:right="519"/>
              <w:spacing w:after="0"/>
              <w:rPr>
                <w:sz w:val="20"/>
                <w:szCs w:val="20"/>
                <w:color w:val="auto"/>
              </w:rPr>
            </w:pPr>
            <w:r>
              <w:rPr>
                <w:rFonts w:ascii="Arial" w:cs="Arial" w:eastAsia="Arial" w:hAnsi="Arial"/>
                <w:sz w:val="16"/>
                <w:szCs w:val="16"/>
                <w:b w:val="1"/>
                <w:bCs w:val="1"/>
                <w:color w:val="auto"/>
              </w:rPr>
              <w:t>Weighted Average</w:t>
            </w:r>
          </w:p>
        </w:tc>
        <w:tc>
          <w:tcPr>
            <w:tcW w:w="1940" w:type="dxa"/>
            <w:vAlign w:val="bottom"/>
          </w:tcPr>
          <w:p>
            <w:pPr>
              <w:jc w:val="right"/>
              <w:ind w:right="8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6"/>
        </w:trPr>
        <w:tc>
          <w:tcPr>
            <w:tcW w:w="2500" w:type="dxa"/>
            <w:vAlign w:val="bottom"/>
            <w:gridSpan w:val="2"/>
            <w:vMerge w:val="continue"/>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3200" w:type="dxa"/>
            <w:vAlign w:val="bottom"/>
            <w:gridSpan w:val="3"/>
          </w:tcPr>
          <w:p>
            <w:pPr>
              <w:jc w:val="center"/>
              <w:ind w:right="539"/>
              <w:spacing w:after="0"/>
              <w:rPr>
                <w:sz w:val="20"/>
                <w:szCs w:val="20"/>
                <w:color w:val="auto"/>
              </w:rPr>
            </w:pPr>
            <w:r>
              <w:rPr>
                <w:rFonts w:ascii="Arial" w:cs="Arial" w:eastAsia="Arial" w:hAnsi="Arial"/>
                <w:sz w:val="16"/>
                <w:szCs w:val="16"/>
                <w:b w:val="1"/>
                <w:bCs w:val="1"/>
                <w:color w:val="auto"/>
              </w:rPr>
              <w:t>Interest Rate</w:t>
            </w:r>
          </w:p>
        </w:tc>
        <w:tc>
          <w:tcPr>
            <w:tcW w:w="1940" w:type="dxa"/>
            <w:vAlign w:val="bottom"/>
          </w:tcPr>
          <w:p>
            <w:pPr>
              <w:jc w:val="right"/>
              <w:ind w:right="899"/>
              <w:spacing w:after="0"/>
              <w:rPr>
                <w:sz w:val="20"/>
                <w:szCs w:val="20"/>
                <w:color w:val="auto"/>
              </w:rPr>
            </w:pPr>
            <w:r>
              <w:rPr>
                <w:rFonts w:ascii="Arial" w:cs="Arial" w:eastAsia="Arial" w:hAnsi="Arial"/>
                <w:sz w:val="16"/>
                <w:szCs w:val="16"/>
                <w:b w:val="1"/>
                <w:bCs w:val="1"/>
                <w:color w:val="auto"/>
              </w:rPr>
              <w:t>Issued</w:t>
            </w:r>
          </w:p>
        </w:tc>
        <w:tc>
          <w:tcPr>
            <w:tcW w:w="0" w:type="dxa"/>
            <w:vAlign w:val="bottom"/>
          </w:tcPr>
          <w:p>
            <w:pPr>
              <w:spacing w:after="0"/>
              <w:rPr>
                <w:sz w:val="1"/>
                <w:szCs w:val="1"/>
                <w:color w:val="auto"/>
              </w:rPr>
            </w:pPr>
          </w:p>
        </w:tc>
      </w:tr>
      <w:tr>
        <w:trPr>
          <w:trHeight w:val="208"/>
        </w:trPr>
        <w:tc>
          <w:tcPr>
            <w:tcW w:w="2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January 2024</w:t>
            </w:r>
          </w:p>
        </w:tc>
        <w:tc>
          <w:tcPr>
            <w:tcW w:w="8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June 2029</w:t>
            </w:r>
          </w:p>
        </w:tc>
        <w:tc>
          <w:tcPr>
            <w:tcW w:w="80" w:type="dxa"/>
            <w:vAlign w:val="bottom"/>
          </w:tcPr>
          <w:p>
            <w:pPr>
              <w:spacing w:after="0"/>
              <w:rPr>
                <w:sz w:val="18"/>
                <w:szCs w:val="18"/>
                <w:color w:val="auto"/>
              </w:rPr>
            </w:pPr>
          </w:p>
        </w:tc>
        <w:tc>
          <w:tcPr>
            <w:tcW w:w="2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5.51 %</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15"/>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2024</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April 2026</w:t>
            </w:r>
          </w:p>
        </w:tc>
        <w:tc>
          <w:tcPr>
            <w:tcW w:w="2580" w:type="dxa"/>
            <w:vAlign w:val="bottom"/>
          </w:tcPr>
          <w:p>
            <w:pPr>
              <w:jc w:val="right"/>
              <w:spacing w:after="0"/>
              <w:rPr>
                <w:sz w:val="20"/>
                <w:szCs w:val="20"/>
                <w:color w:val="auto"/>
              </w:rPr>
            </w:pPr>
            <w:r>
              <w:rPr>
                <w:rFonts w:ascii="Arial" w:cs="Arial" w:eastAsia="Arial" w:hAnsi="Arial"/>
                <w:sz w:val="16"/>
                <w:szCs w:val="16"/>
                <w:color w:val="auto"/>
              </w:rPr>
              <w:t>6.24 %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2024</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October 2026</w:t>
            </w:r>
          </w:p>
        </w:tc>
        <w:tc>
          <w:tcPr>
            <w:tcW w:w="2580" w:type="dxa"/>
            <w:vAlign w:val="bottom"/>
          </w:tcPr>
          <w:p>
            <w:pPr>
              <w:jc w:val="right"/>
              <w:spacing w:after="0"/>
              <w:rPr>
                <w:sz w:val="20"/>
                <w:szCs w:val="20"/>
                <w:color w:val="auto"/>
              </w:rPr>
            </w:pPr>
            <w:r>
              <w:rPr>
                <w:rFonts w:ascii="Arial" w:cs="Arial" w:eastAsia="Arial" w:hAnsi="Arial"/>
                <w:sz w:val="16"/>
                <w:szCs w:val="16"/>
                <w:color w:val="auto"/>
              </w:rPr>
              <w:t>6.18 %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2024</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April 2028</w:t>
            </w:r>
          </w:p>
        </w:tc>
        <w:tc>
          <w:tcPr>
            <w:tcW w:w="2580" w:type="dxa"/>
            <w:vAlign w:val="bottom"/>
          </w:tcPr>
          <w:p>
            <w:pPr>
              <w:jc w:val="right"/>
              <w:spacing w:after="0"/>
              <w:rPr>
                <w:sz w:val="20"/>
                <w:szCs w:val="20"/>
                <w:color w:val="auto"/>
              </w:rPr>
            </w:pPr>
            <w:r>
              <w:rPr>
                <w:rFonts w:ascii="Arial" w:cs="Arial" w:eastAsia="Arial" w:hAnsi="Arial"/>
                <w:sz w:val="16"/>
                <w:szCs w:val="16"/>
                <w:color w:val="auto"/>
              </w:rPr>
              <w:t>6.23 %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2024</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October 2027</w:t>
            </w:r>
          </w:p>
        </w:tc>
        <w:tc>
          <w:tcPr>
            <w:tcW w:w="2580" w:type="dxa"/>
            <w:vAlign w:val="bottom"/>
          </w:tcPr>
          <w:p>
            <w:pPr>
              <w:jc w:val="right"/>
              <w:spacing w:after="0"/>
              <w:rPr>
                <w:sz w:val="20"/>
                <w:szCs w:val="20"/>
                <w:color w:val="auto"/>
              </w:rPr>
            </w:pPr>
            <w:r>
              <w:rPr>
                <w:rFonts w:ascii="Arial" w:cs="Arial" w:eastAsia="Arial" w:hAnsi="Arial"/>
                <w:sz w:val="16"/>
                <w:szCs w:val="16"/>
                <w:color w:val="auto"/>
              </w:rPr>
              <w:t>5.26 %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2024</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December 2029</w:t>
            </w:r>
          </w:p>
        </w:tc>
        <w:tc>
          <w:tcPr>
            <w:tcW w:w="2580" w:type="dxa"/>
            <w:vAlign w:val="bottom"/>
          </w:tcPr>
          <w:p>
            <w:pPr>
              <w:jc w:val="right"/>
              <w:spacing w:after="0"/>
              <w:rPr>
                <w:sz w:val="20"/>
                <w:szCs w:val="20"/>
                <w:color w:val="auto"/>
              </w:rPr>
            </w:pPr>
            <w:r>
              <w:rPr>
                <w:rFonts w:ascii="Arial" w:cs="Arial" w:eastAsia="Arial" w:hAnsi="Arial"/>
                <w:sz w:val="16"/>
                <w:szCs w:val="16"/>
                <w:color w:val="auto"/>
              </w:rPr>
              <w:t>5.35 %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Debt Maturities</w:t>
      </w:r>
    </w:p>
    <w:p>
      <w:pPr>
        <w:spacing w:after="0" w:line="250" w:lineRule="exact"/>
        <w:rPr>
          <w:sz w:val="20"/>
          <w:szCs w:val="20"/>
          <w:color w:val="auto"/>
        </w:rPr>
      </w:pPr>
    </w:p>
    <w:p>
      <w:pPr>
        <w:ind w:left="6" w:right="20"/>
        <w:spacing w:after="0" w:line="276" w:lineRule="auto"/>
        <w:rPr>
          <w:sz w:val="20"/>
          <w:szCs w:val="20"/>
          <w:color w:val="auto"/>
        </w:rPr>
      </w:pPr>
      <w:r>
        <w:rPr>
          <w:rFonts w:ascii="Arial" w:cs="Arial" w:eastAsia="Arial" w:hAnsi="Arial"/>
          <w:sz w:val="18"/>
          <w:szCs w:val="18"/>
          <w:color w:val="auto"/>
        </w:rPr>
        <w:t>The following table provides the contractual maturities of our debt under vehicle programs, including related party debt due to Avis Budget Rental Car Funding, at March 31, 2024:</w:t>
      </w:r>
    </w:p>
    <w:p>
      <w:pPr>
        <w:sectPr>
          <w:pgSz w:w="11900" w:h="16838" w:orient="portrait"/>
          <w:cols w:equalWidth="0" w:num="1">
            <w:col w:w="10746"/>
          </w:cols>
          <w:pgMar w:left="814" w:top="931" w:right="339" w:bottom="1440" w:gutter="0" w:footer="0" w:header="0"/>
        </w:sectPr>
      </w:pPr>
    </w:p>
    <w:p>
      <w:pPr>
        <w:spacing w:after="0" w:line="367" w:lineRule="exact"/>
        <w:rPr>
          <w:sz w:val="20"/>
          <w:szCs w:val="20"/>
          <w:color w:val="auto"/>
        </w:rPr>
      </w:pPr>
    </w:p>
    <w:p>
      <w:pPr>
        <w:ind w:left="26"/>
        <w:spacing w:after="0"/>
        <w:rPr>
          <w:sz w:val="20"/>
          <w:szCs w:val="20"/>
          <w:color w:val="auto"/>
        </w:rPr>
      </w:pPr>
      <w:r>
        <w:rPr>
          <w:rFonts w:ascii="Arial" w:cs="Arial" w:eastAsia="Arial" w:hAnsi="Arial"/>
          <w:sz w:val="16"/>
          <w:szCs w:val="16"/>
          <w:color w:val="auto"/>
        </w:rPr>
        <w:t xml:space="preserve">Within 1 year </w:t>
      </w:r>
      <w:r>
        <w:rPr>
          <w:rFonts w:ascii="Arial" w:cs="Arial" w:eastAsia="Arial" w:hAnsi="Arial"/>
          <w:sz w:val="21"/>
          <w:szCs w:val="21"/>
          <w:color w:val="auto"/>
          <w:vertAlign w:val="superscript"/>
        </w:rPr>
        <w:t>(b)</w:t>
      </w:r>
    </w:p>
    <w:p>
      <w:pPr>
        <w:ind w:left="26"/>
        <w:spacing w:after="0" w:line="214" w:lineRule="auto"/>
        <w:rPr>
          <w:sz w:val="20"/>
          <w:szCs w:val="20"/>
          <w:color w:val="auto"/>
        </w:rPr>
      </w:pPr>
      <w:r>
        <w:rPr>
          <w:rFonts w:ascii="Arial" w:cs="Arial" w:eastAsia="Arial" w:hAnsi="Arial"/>
          <w:sz w:val="16"/>
          <w:szCs w:val="16"/>
          <w:color w:val="auto"/>
        </w:rPr>
        <w:t xml:space="preserve">Between 1 and 2 years </w:t>
      </w:r>
      <w:r>
        <w:rPr>
          <w:rFonts w:ascii="Arial" w:cs="Arial" w:eastAsia="Arial" w:hAnsi="Arial"/>
          <w:sz w:val="21"/>
          <w:szCs w:val="21"/>
          <w:color w:val="auto"/>
          <w:vertAlign w:val="superscript"/>
        </w:rPr>
        <w:t>(c)</w:t>
      </w:r>
    </w:p>
    <w:p>
      <w:pPr>
        <w:spacing w:after="0" w:line="1" w:lineRule="exact"/>
        <w:rPr>
          <w:sz w:val="20"/>
          <w:szCs w:val="20"/>
          <w:color w:val="auto"/>
        </w:rPr>
      </w:pPr>
    </w:p>
    <w:p>
      <w:pPr>
        <w:ind w:left="26"/>
        <w:spacing w:after="0"/>
        <w:rPr>
          <w:sz w:val="20"/>
          <w:szCs w:val="20"/>
          <w:color w:val="auto"/>
        </w:rPr>
      </w:pPr>
      <w:r>
        <w:rPr>
          <w:rFonts w:ascii="Arial" w:cs="Arial" w:eastAsia="Arial" w:hAnsi="Arial"/>
          <w:sz w:val="16"/>
          <w:szCs w:val="16"/>
          <w:color w:val="auto"/>
        </w:rPr>
        <w:t xml:space="preserve">Between 2 and 3 years </w:t>
      </w:r>
      <w:r>
        <w:rPr>
          <w:rFonts w:ascii="Arial" w:cs="Arial" w:eastAsia="Arial" w:hAnsi="Arial"/>
          <w:sz w:val="21"/>
          <w:szCs w:val="21"/>
          <w:color w:val="auto"/>
          <w:vertAlign w:val="superscript"/>
        </w:rPr>
        <w:t>(d)</w:t>
      </w:r>
    </w:p>
    <w:p>
      <w:pPr>
        <w:spacing w:after="0" w:line="15" w:lineRule="exact"/>
        <w:rPr>
          <w:sz w:val="20"/>
          <w:szCs w:val="20"/>
          <w:color w:val="auto"/>
        </w:rPr>
      </w:pPr>
    </w:p>
    <w:p>
      <w:pPr>
        <w:ind w:left="26"/>
        <w:spacing w:after="0"/>
        <w:rPr>
          <w:sz w:val="20"/>
          <w:szCs w:val="20"/>
          <w:color w:val="auto"/>
        </w:rPr>
      </w:pPr>
      <w:r>
        <w:rPr>
          <w:rFonts w:ascii="Arial" w:cs="Arial" w:eastAsia="Arial" w:hAnsi="Arial"/>
          <w:sz w:val="16"/>
          <w:szCs w:val="16"/>
          <w:color w:val="auto"/>
        </w:rPr>
        <w:t xml:space="preserve">Between 3 and 4 years </w:t>
      </w:r>
      <w:r>
        <w:rPr>
          <w:rFonts w:ascii="Arial" w:cs="Arial" w:eastAsia="Arial" w:hAnsi="Arial"/>
          <w:sz w:val="21"/>
          <w:szCs w:val="21"/>
          <w:color w:val="auto"/>
          <w:vertAlign w:val="superscript"/>
        </w:rPr>
        <w:t>(e)</w:t>
      </w:r>
    </w:p>
    <w:p>
      <w:pPr>
        <w:spacing w:after="0" w:line="31" w:lineRule="exact"/>
        <w:rPr>
          <w:sz w:val="20"/>
          <w:szCs w:val="20"/>
          <w:color w:val="auto"/>
        </w:rPr>
      </w:pPr>
    </w:p>
    <w:p>
      <w:pPr>
        <w:ind w:left="26"/>
        <w:spacing w:after="0"/>
        <w:rPr>
          <w:sz w:val="20"/>
          <w:szCs w:val="20"/>
          <w:color w:val="auto"/>
        </w:rPr>
      </w:pPr>
      <w:r>
        <w:rPr>
          <w:rFonts w:ascii="Arial" w:cs="Arial" w:eastAsia="Arial" w:hAnsi="Arial"/>
          <w:sz w:val="16"/>
          <w:szCs w:val="16"/>
          <w:color w:val="auto"/>
        </w:rPr>
        <w:t>Between 4 and 5 years</w:t>
      </w:r>
    </w:p>
    <w:p>
      <w:pPr>
        <w:spacing w:after="0" w:line="57" w:lineRule="exact"/>
        <w:rPr>
          <w:sz w:val="20"/>
          <w:szCs w:val="20"/>
          <w:color w:val="auto"/>
        </w:rPr>
      </w:pPr>
    </w:p>
    <w:p>
      <w:pPr>
        <w:ind w:left="26"/>
        <w:spacing w:after="0"/>
        <w:rPr>
          <w:sz w:val="20"/>
          <w:szCs w:val="20"/>
          <w:color w:val="auto"/>
        </w:rPr>
      </w:pPr>
      <w:r>
        <w:rPr>
          <w:rFonts w:ascii="Arial" w:cs="Arial" w:eastAsia="Arial" w:hAnsi="Arial"/>
          <w:sz w:val="16"/>
          <w:szCs w:val="16"/>
          <w:color w:val="auto"/>
        </w:rPr>
        <w:t>Thereafter</w:t>
      </w:r>
    </w:p>
    <w:p>
      <w:pPr>
        <w:spacing w:after="0" w:line="73" w:lineRule="exact"/>
        <w:rPr>
          <w:sz w:val="20"/>
          <w:szCs w:val="20"/>
          <w:color w:val="auto"/>
        </w:rPr>
      </w:pPr>
    </w:p>
    <w:p>
      <w:pPr>
        <w:ind w:left="26"/>
        <w:spacing w:after="0"/>
        <w:rPr>
          <w:sz w:val="20"/>
          <w:szCs w:val="20"/>
          <w:color w:val="auto"/>
        </w:rPr>
      </w:pPr>
      <w:r>
        <w:rPr>
          <w:rFonts w:ascii="Arial" w:cs="Arial" w:eastAsia="Arial" w:hAnsi="Arial"/>
          <w:sz w:val="16"/>
          <w:szCs w:val="16"/>
          <w:color w:val="auto"/>
        </w:rPr>
        <w:t>Total</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ind w:left="266" w:hanging="266"/>
        <w:spacing w:after="0" w:line="219" w:lineRule="auto"/>
        <w:tabs>
          <w:tab w:leader="none" w:pos="266"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Vehicle-backed debt primarily represents asset-backed securities.</w:t>
      </w:r>
    </w:p>
    <w:p>
      <w:pPr>
        <w:ind w:left="266" w:hanging="266"/>
        <w:spacing w:after="0" w:line="192" w:lineRule="auto"/>
        <w:tabs>
          <w:tab w:leader="none" w:pos="266"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Includes $0.2 billion of bank and bank-sponsored facilities.</w:t>
      </w:r>
    </w:p>
    <w:p>
      <w:pPr>
        <w:ind w:left="266" w:hanging="266"/>
        <w:spacing w:after="0" w:line="187" w:lineRule="auto"/>
        <w:tabs>
          <w:tab w:leader="none" w:pos="266"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$1.3 billion of bank and bank-sponsored facilities.</w:t>
      </w:r>
    </w:p>
    <w:p>
      <w:pPr>
        <w:ind w:left="266" w:hanging="266"/>
        <w:spacing w:after="0"/>
        <w:tabs>
          <w:tab w:leader="none" w:pos="266"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$3.5 billion of bank and bank-sponsored facilities.</w:t>
      </w:r>
    </w:p>
    <w:p>
      <w:pPr>
        <w:spacing w:after="0" w:line="14" w:lineRule="exact"/>
        <w:rPr>
          <w:rFonts w:ascii="Arial" w:cs="Arial" w:eastAsia="Arial" w:hAnsi="Arial"/>
          <w:sz w:val="9"/>
          <w:szCs w:val="9"/>
          <w:color w:val="auto"/>
        </w:rPr>
      </w:pPr>
    </w:p>
    <w:p>
      <w:pPr>
        <w:ind w:left="266" w:hanging="266"/>
        <w:spacing w:after="0"/>
        <w:tabs>
          <w:tab w:leader="none" w:pos="266"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$0.1 billion of bank and bank-sponsored facilities.</w:t>
      </w:r>
    </w:p>
    <w:p>
      <w:pPr>
        <w:spacing w:after="0" w:line="20" w:lineRule="exact"/>
        <w:rPr>
          <w:sz w:val="20"/>
          <w:szCs w:val="20"/>
          <w:color w:val="auto"/>
        </w:rPr>
      </w:pPr>
      <w:r>
        <w:rPr>
          <w:sz w:val="20"/>
          <w:szCs w:val="20"/>
          <w:color w:val="auto"/>
        </w:rPr>
        <w:br w:type="column"/>
      </w:r>
    </w:p>
    <w:p>
      <w:pPr>
        <w:jc w:val="center"/>
        <w:ind w:right="604"/>
        <w:spacing w:after="0" w:line="213" w:lineRule="auto"/>
        <w:rPr>
          <w:sz w:val="20"/>
          <w:szCs w:val="20"/>
          <w:color w:val="auto"/>
        </w:rPr>
      </w:pPr>
      <w:r>
        <w:rPr>
          <w:rFonts w:ascii="Arial" w:cs="Arial" w:eastAsia="Arial" w:hAnsi="Arial"/>
          <w:sz w:val="16"/>
          <w:szCs w:val="16"/>
          <w:b w:val="1"/>
          <w:bCs w:val="1"/>
          <w:color w:val="auto"/>
        </w:rPr>
        <w:t>Debt under Vehicle</w:t>
      </w:r>
    </w:p>
    <w:p>
      <w:pPr>
        <w:spacing w:after="0" w:line="1" w:lineRule="exact"/>
        <w:rPr>
          <w:sz w:val="20"/>
          <w:szCs w:val="20"/>
          <w:color w:val="auto"/>
        </w:rPr>
      </w:pPr>
    </w:p>
    <w:p>
      <w:pPr>
        <w:jc w:val="center"/>
        <w:ind w:right="604"/>
        <w:spacing w:after="0"/>
        <w:rPr>
          <w:sz w:val="20"/>
          <w:szCs w:val="20"/>
          <w:color w:val="auto"/>
        </w:rPr>
      </w:pPr>
      <w:r>
        <w:rPr>
          <w:rFonts w:ascii="Arial" w:cs="Arial" w:eastAsia="Arial" w:hAnsi="Arial"/>
          <w:sz w:val="16"/>
          <w:szCs w:val="16"/>
          <w:b w:val="1"/>
          <w:bCs w:val="1"/>
          <w:color w:val="auto"/>
        </w:rPr>
        <w:t xml:space="preserve">Programs </w:t>
      </w:r>
      <w:r>
        <w:rPr>
          <w:rFonts w:ascii="Arial" w:cs="Arial" w:eastAsia="Arial" w:hAnsi="Arial"/>
          <w:sz w:val="21"/>
          <w:szCs w:val="21"/>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-15240</wp:posOffset>
            </wp:positionV>
            <wp:extent cx="10369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1136" w:hanging="1136"/>
        <w:spacing w:after="0"/>
        <w:tabs>
          <w:tab w:leader="none" w:pos="1136" w:val="left"/>
        </w:tabs>
        <w:numPr>
          <w:ilvl w:val="0"/>
          <w:numId w:val="22"/>
        </w:numPr>
        <w:rPr>
          <w:rFonts w:ascii="Arial" w:cs="Arial" w:eastAsia="Arial" w:hAnsi="Arial"/>
          <w:sz w:val="15"/>
          <w:szCs w:val="15"/>
          <w:color w:val="auto"/>
        </w:rPr>
      </w:pPr>
      <w:r>
        <w:rPr>
          <w:rFonts w:ascii="Arial" w:cs="Arial" w:eastAsia="Arial" w:hAnsi="Arial"/>
          <w:sz w:val="15"/>
          <w:szCs w:val="15"/>
          <w:color w:val="auto"/>
        </w:rPr>
        <w:t>2,090</w:t>
      </w:r>
    </w:p>
    <w:p>
      <w:pPr>
        <w:spacing w:after="0" w:line="27"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3,803</w:t>
      </w:r>
    </w:p>
    <w:p>
      <w:pPr>
        <w:spacing w:after="0" w:line="84"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6,780</w:t>
      </w:r>
    </w:p>
    <w:p>
      <w:pPr>
        <w:spacing w:after="0" w:line="84"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2,770</w:t>
      </w:r>
    </w:p>
    <w:p>
      <w:pPr>
        <w:spacing w:after="0" w:line="84"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2,365</w:t>
      </w:r>
    </w:p>
    <w:p>
      <w:pPr>
        <w:spacing w:after="0" w:line="43"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1,481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10369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7" w:lineRule="exact"/>
        <w:rPr>
          <w:sz w:val="20"/>
          <w:szCs w:val="20"/>
          <w:color w:val="auto"/>
        </w:rPr>
      </w:pPr>
    </w:p>
    <w:p>
      <w:pPr>
        <w:ind w:left="1056" w:hanging="1056"/>
        <w:spacing w:after="0"/>
        <w:tabs>
          <w:tab w:leader="none" w:pos="1056" w:val="left"/>
        </w:tabs>
        <w:numPr>
          <w:ilvl w:val="0"/>
          <w:numId w:val="23"/>
        </w:numPr>
        <w:rPr>
          <w:rFonts w:ascii="Arial" w:cs="Arial" w:eastAsia="Arial" w:hAnsi="Arial"/>
          <w:sz w:val="15"/>
          <w:szCs w:val="15"/>
          <w:color w:val="auto"/>
        </w:rPr>
      </w:pPr>
      <w:r>
        <w:rPr>
          <w:rFonts w:ascii="Arial" w:cs="Arial" w:eastAsia="Arial" w:hAnsi="Arial"/>
          <w:sz w:val="15"/>
          <w:szCs w:val="15"/>
          <w:color w:val="auto"/>
        </w:rPr>
        <w:t>19,289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10369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53975</wp:posOffset>
            </wp:positionV>
            <wp:extent cx="1036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449" w:lineRule="exact"/>
        <w:rPr>
          <w:sz w:val="20"/>
          <w:szCs w:val="20"/>
          <w:color w:val="auto"/>
        </w:rPr>
      </w:pPr>
    </w:p>
    <w:p>
      <w:pPr>
        <w:sectPr>
          <w:pgSz w:w="11900" w:h="16838" w:orient="portrait"/>
          <w:cols w:equalWidth="0" w:num="2">
            <w:col w:w="7830" w:space="720"/>
            <w:col w:w="2196"/>
          </w:cols>
          <w:pgMar w:left="814" w:top="931" w:right="339" w:bottom="1440" w:gutter="0" w:footer="0" w:header="0"/>
          <w:type w:val="continuous"/>
        </w:sectPr>
      </w:pPr>
    </w:p>
    <w:p>
      <w:pPr>
        <w:spacing w:after="0" w:line="36"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6"/>
        <w:spacing w:after="0" w:line="276" w:lineRule="auto"/>
        <w:rPr>
          <w:sz w:val="20"/>
          <w:szCs w:val="20"/>
          <w:color w:val="auto"/>
        </w:rPr>
      </w:pPr>
      <w:r>
        <w:rPr>
          <w:rFonts w:ascii="Arial" w:cs="Arial" w:eastAsia="Arial" w:hAnsi="Arial"/>
          <w:sz w:val="18"/>
          <w:szCs w:val="18"/>
          <w:color w:val="auto"/>
        </w:rPr>
        <w:t>As of March 31, 2024, available funding under our debt arrangements related to our vehicle programs, including related party debt due to Avis Budget Rental Car Funding, consisted of:</w:t>
      </w:r>
    </w:p>
    <w:p>
      <w:pPr>
        <w:spacing w:after="0" w:line="1" w:lineRule="exact"/>
        <w:rPr>
          <w:sz w:val="20"/>
          <w:szCs w:val="20"/>
          <w:color w:val="auto"/>
        </w:rPr>
      </w:pPr>
    </w:p>
    <w:tbl>
      <w:tblPr>
        <w:tblLayout w:type="fixed"/>
        <w:tblInd w:w="26" w:type="dxa"/>
        <w:tblCellMar>
          <w:top w:w="0" w:type="dxa"/>
          <w:left w:w="0" w:type="dxa"/>
          <w:bottom w:w="0" w:type="dxa"/>
          <w:right w:w="0" w:type="dxa"/>
        </w:tblCellMar>
      </w:tblPr>
      <w:tr>
        <w:trPr>
          <w:trHeight w:val="217"/>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Total</w:t>
            </w:r>
          </w:p>
        </w:tc>
        <w:tc>
          <w:tcPr>
            <w:tcW w:w="20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Outstanding</w:t>
            </w:r>
          </w:p>
        </w:tc>
        <w:tc>
          <w:tcPr>
            <w:tcW w:w="260" w:type="dxa"/>
            <w:vAlign w:val="bottom"/>
          </w:tcPr>
          <w:p>
            <w:pPr>
              <w:spacing w:after="0"/>
              <w:rPr>
                <w:sz w:val="18"/>
                <w:szCs w:val="18"/>
                <w:color w:val="auto"/>
              </w:rPr>
            </w:pPr>
          </w:p>
        </w:tc>
        <w:tc>
          <w:tcPr>
            <w:tcW w:w="1300" w:type="dxa"/>
            <w:vAlign w:val="bottom"/>
          </w:tcPr>
          <w:p>
            <w:pPr>
              <w:jc w:val="right"/>
              <w:ind w:right="359"/>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40"/>
              <w:spacing w:after="0" w:line="216" w:lineRule="exact"/>
              <w:rPr>
                <w:sz w:val="20"/>
                <w:szCs w:val="20"/>
                <w:color w:val="auto"/>
              </w:rPr>
            </w:pPr>
            <w:r>
              <w:rPr>
                <w:rFonts w:ascii="Arial" w:cs="Arial" w:eastAsia="Arial" w:hAnsi="Arial"/>
                <w:sz w:val="16"/>
                <w:szCs w:val="16"/>
                <w:b w:val="1"/>
                <w:bCs w:val="1"/>
                <w:color w:val="auto"/>
                <w:w w:val="97"/>
              </w:rPr>
              <w:t xml:space="preserve">Capacity </w:t>
            </w:r>
            <w:r>
              <w:rPr>
                <w:rFonts w:ascii="Arial" w:cs="Arial" w:eastAsia="Arial" w:hAnsi="Arial"/>
                <w:sz w:val="21"/>
                <w:szCs w:val="21"/>
                <w:color w:val="auto"/>
                <w:w w:val="97"/>
                <w:vertAlign w:val="superscript"/>
              </w:rPr>
              <w:t>(a)</w:t>
            </w:r>
          </w:p>
        </w:tc>
        <w:tc>
          <w:tcPr>
            <w:tcW w:w="200" w:type="dxa"/>
            <w:vAlign w:val="bottom"/>
          </w:tcPr>
          <w:p>
            <w:pPr>
              <w:spacing w:after="0"/>
              <w:rPr>
                <w:sz w:val="18"/>
                <w:szCs w:val="18"/>
                <w:color w:val="auto"/>
              </w:rPr>
            </w:pPr>
          </w:p>
        </w:tc>
        <w:tc>
          <w:tcPr>
            <w:tcW w:w="1520" w:type="dxa"/>
            <w:vAlign w:val="bottom"/>
            <w:gridSpan w:val="2"/>
          </w:tcPr>
          <w:p>
            <w:pPr>
              <w:jc w:val="center"/>
              <w:ind w:right="300"/>
              <w:spacing w:after="0" w:line="216" w:lineRule="exact"/>
              <w:rPr>
                <w:sz w:val="20"/>
                <w:szCs w:val="20"/>
                <w:color w:val="auto"/>
              </w:rPr>
            </w:pPr>
            <w:r>
              <w:rPr>
                <w:rFonts w:ascii="Arial" w:cs="Arial" w:eastAsia="Arial" w:hAnsi="Arial"/>
                <w:sz w:val="16"/>
                <w:szCs w:val="16"/>
                <w:b w:val="1"/>
                <w:bCs w:val="1"/>
                <w:color w:val="auto"/>
                <w:w w:val="95"/>
              </w:rPr>
              <w:t xml:space="preserve">Borrowings </w:t>
            </w:r>
            <w:r>
              <w:rPr>
                <w:rFonts w:ascii="Arial" w:cs="Arial" w:eastAsia="Arial" w:hAnsi="Arial"/>
                <w:sz w:val="21"/>
                <w:szCs w:val="21"/>
                <w:color w:val="auto"/>
                <w:w w:val="95"/>
                <w:vertAlign w:val="superscript"/>
              </w:rPr>
              <w:t>(b)</w:t>
            </w:r>
          </w:p>
        </w:tc>
        <w:tc>
          <w:tcPr>
            <w:tcW w:w="260" w:type="dxa"/>
            <w:vAlign w:val="bottom"/>
          </w:tcPr>
          <w:p>
            <w:pPr>
              <w:spacing w:after="0"/>
              <w:rPr>
                <w:sz w:val="18"/>
                <w:szCs w:val="18"/>
                <w:color w:val="auto"/>
              </w:rPr>
            </w:pPr>
          </w:p>
        </w:tc>
        <w:tc>
          <w:tcPr>
            <w:tcW w:w="1300" w:type="dxa"/>
            <w:vAlign w:val="bottom"/>
          </w:tcPr>
          <w:p>
            <w:pPr>
              <w:jc w:val="right"/>
              <w:ind w:right="359"/>
              <w:spacing w:after="0"/>
              <w:rPr>
                <w:sz w:val="20"/>
                <w:szCs w:val="20"/>
                <w:color w:val="auto"/>
              </w:rPr>
            </w:pPr>
            <w:r>
              <w:rPr>
                <w:rFonts w:ascii="Arial" w:cs="Arial" w:eastAsia="Arial" w:hAnsi="Arial"/>
                <w:sz w:val="16"/>
                <w:szCs w:val="16"/>
                <w:b w:val="1"/>
                <w:bCs w:val="1"/>
                <w:color w:val="auto"/>
              </w:rPr>
              <w:t>Capacity</w:t>
            </w:r>
          </w:p>
        </w:tc>
      </w:tr>
      <w:tr>
        <w:trPr>
          <w:trHeight w:val="208"/>
        </w:trPr>
        <w:tc>
          <w:tcPr>
            <w:tcW w:w="5180" w:type="dxa"/>
            <w:vAlign w:val="bottom"/>
          </w:tcPr>
          <w:p>
            <w:pPr>
              <w:spacing w:after="0"/>
              <w:rPr>
                <w:sz w:val="20"/>
                <w:szCs w:val="20"/>
                <w:color w:val="auto"/>
              </w:rPr>
            </w:pPr>
            <w:r>
              <w:rPr>
                <w:rFonts w:ascii="Arial" w:cs="Arial" w:eastAsia="Arial" w:hAnsi="Arial"/>
                <w:sz w:val="16"/>
                <w:szCs w:val="16"/>
                <w:color w:val="auto"/>
              </w:rPr>
              <w:t>Americas - Debt due to Avis Budget Rental Car Funding</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18,455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16,030</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2,425</w:t>
            </w:r>
          </w:p>
        </w:tc>
      </w:tr>
      <w:tr>
        <w:trPr>
          <w:trHeight w:val="215"/>
        </w:trPr>
        <w:tc>
          <w:tcPr>
            <w:tcW w:w="5180" w:type="dxa"/>
            <w:vAlign w:val="bottom"/>
          </w:tcPr>
          <w:p>
            <w:pPr>
              <w:spacing w:after="0"/>
              <w:rPr>
                <w:sz w:val="20"/>
                <w:szCs w:val="20"/>
                <w:color w:val="auto"/>
              </w:rPr>
            </w:pPr>
            <w:r>
              <w:rPr>
                <w:rFonts w:ascii="Arial" w:cs="Arial" w:eastAsia="Arial" w:hAnsi="Arial"/>
                <w:sz w:val="16"/>
                <w:szCs w:val="16"/>
                <w:color w:val="auto"/>
              </w:rPr>
              <w:t>Americas - Debt borrowings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International - Debt borrowings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1,146</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7"/>
        </w:trPr>
        <w:tc>
          <w:tcPr>
            <w:tcW w:w="5180" w:type="dxa"/>
            <w:vAlign w:val="bottom"/>
          </w:tcPr>
          <w:p>
            <w:pPr>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18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19,289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3,761</w:t>
            </w: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37" w:lineRule="exact"/>
        <w:rPr>
          <w:sz w:val="20"/>
          <w:szCs w:val="20"/>
          <w:color w:val="auto"/>
        </w:rPr>
      </w:pPr>
    </w:p>
    <w:p>
      <w:pPr>
        <w:ind w:left="326" w:hanging="326"/>
        <w:spacing w:after="0" w:line="213" w:lineRule="auto"/>
        <w:tabs>
          <w:tab w:leader="none" w:pos="334"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Capacity is subject to maintaining sufficient assets to collateralize debt. The total capacity for Americas - Debt due to Avis Budget Rental Car Funding includes increases from an amendment and renewal of our asset-backed variable-funding financing facilities during March 2024.</w:t>
      </w:r>
    </w:p>
    <w:p>
      <w:pPr>
        <w:spacing w:after="0" w:line="1" w:lineRule="exact"/>
        <w:rPr>
          <w:rFonts w:ascii="Arial" w:cs="Arial" w:eastAsia="Arial" w:hAnsi="Arial"/>
          <w:sz w:val="19"/>
          <w:szCs w:val="19"/>
          <w:color w:val="auto"/>
          <w:vertAlign w:val="superscript"/>
        </w:rPr>
      </w:pPr>
    </w:p>
    <w:p>
      <w:pPr>
        <w:ind w:left="326" w:right="20" w:hanging="326"/>
        <w:spacing w:after="0" w:line="284" w:lineRule="auto"/>
        <w:tabs>
          <w:tab w:leader="none" w:pos="316" w:val="left"/>
        </w:tabs>
        <w:numPr>
          <w:ilvl w:val="0"/>
          <w:numId w:val="24"/>
        </w:numPr>
        <w:rPr>
          <w:rFonts w:ascii="Arial" w:cs="Arial" w:eastAsia="Arial" w:hAnsi="Arial"/>
          <w:sz w:val="9"/>
          <w:szCs w:val="9"/>
          <w:color w:val="auto"/>
        </w:rPr>
      </w:pPr>
      <w:r>
        <w:rPr>
          <w:rFonts w:ascii="Arial" w:cs="Arial" w:eastAsia="Arial" w:hAnsi="Arial"/>
          <w:sz w:val="14"/>
          <w:szCs w:val="14"/>
          <w:color w:val="auto"/>
        </w:rPr>
        <w:t>The outstanding debt is collateralized by vehicles and related assets of $18.3 billion for Americas - Debt due to Avis Budget Rental Car Funding; $1.5 billion for Americas - Debt borrowings; $2.6 billion for International - Debt borrowings; and $0.2 billion for International - Finance leases.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type w:val="continuous"/>
        </w:sectPr>
      </w:pPr>
    </w:p>
    <w:bookmarkStart w:id="20" w:name="page21"/>
    <w:bookmarkEnd w:id="20"/>
    <w:p>
      <w:pPr>
        <w:ind w:left="442"/>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March 31, 2024, we are not aware of any instances of non-compliance with any of the financial or restrictive covenants contained in the debt agreements under our vehicle-backed funding programs.</w:t>
      </w:r>
    </w:p>
    <w:p>
      <w:pPr>
        <w:spacing w:after="0" w:line="206" w:lineRule="exact"/>
        <w:rPr>
          <w:sz w:val="20"/>
          <w:szCs w:val="20"/>
          <w:color w:val="auto"/>
        </w:rPr>
      </w:pPr>
    </w:p>
    <w:p>
      <w:pPr>
        <w:ind w:left="442" w:right="7880" w:hanging="442"/>
        <w:spacing w:after="0" w:line="555" w:lineRule="auto"/>
        <w:tabs>
          <w:tab w:leader="none" w:pos="45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rFonts w:ascii="Arial" w:cs="Arial" w:eastAsia="Arial" w:hAnsi="Arial"/>
          <w:sz w:val="18"/>
          <w:szCs w:val="18"/>
          <w:b w:val="1"/>
          <w:bCs w:val="1"/>
          <w:color w:val="auto"/>
        </w:rPr>
      </w:pPr>
    </w:p>
    <w:p>
      <w:pPr>
        <w:jc w:val="both"/>
        <w:ind w:left="442"/>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In 2006, we completed the spin-offs of our Realogy and Wyndham subsidiaries (now known as Anywhere Real Estate, Inc., and Wyndham Hotels and Resorts, Inc. and Travel + Leisure Co., respectively). We do not believe that the impact of any resolution of pre-existing contingent liabilities in connection with the spin-offs should result in a material liability to us in relation to our consolidated financial position or liquidity, as Anywhere Real Estate, Inc., Wyndham Hotels and Resorts, Inc. and Travel + Leisure Co. have agreed to assume responsibility for these liabilities.</w:t>
      </w:r>
    </w:p>
    <w:p>
      <w:pPr>
        <w:spacing w:after="0" w:line="203" w:lineRule="exact"/>
        <w:rPr>
          <w:rFonts w:ascii="Arial" w:cs="Arial" w:eastAsia="Arial" w:hAnsi="Arial"/>
          <w:sz w:val="18"/>
          <w:szCs w:val="18"/>
          <w:b w:val="1"/>
          <w:bCs w:val="1"/>
          <w:color w:val="auto"/>
        </w:rPr>
      </w:pPr>
    </w:p>
    <w:p>
      <w:pPr>
        <w:jc w:val="both"/>
        <w:ind w:left="442"/>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In March 2023, the California Office of Tax Appeals (“OTA”) issued an opinion in a case involving notices of proposed assessment of California corporation franchise tax for tax year 1999 issued to us. The case involves whether (i) the notices of proposed assessment were barred by the statute of limitations; and (ii) a transaction undertaken by us in tax year 1999 constituted a tax-free reorganization under the Internal Revenue Code (“IRC”). The OTA concluded that the notices of proposed assessment were not barred by the statute of limitations and that the 1999 transaction was not a tax-free reorganization under the IRC. Anywhere Real Estate, Inc. has assumed 62.5%, and Wyndham Hotels and Resorts, Inc. and Travel + Leisure Co. have assumed 37.5% of the potential tax liability in this matter, respectively. We filed a petition for rehearing, which was denied in April 2024, and the tax assessment is expected to become payable, even if judicial relief is sought.</w:t>
      </w:r>
    </w:p>
    <w:p>
      <w:pPr>
        <w:spacing w:after="0" w:line="207" w:lineRule="exact"/>
        <w:rPr>
          <w:rFonts w:ascii="Arial" w:cs="Arial" w:eastAsia="Arial" w:hAnsi="Arial"/>
          <w:sz w:val="18"/>
          <w:szCs w:val="18"/>
          <w:b w:val="1"/>
          <w:bCs w:val="1"/>
          <w:color w:val="auto"/>
        </w:rPr>
      </w:pPr>
    </w:p>
    <w:p>
      <w:pPr>
        <w:ind w:left="442"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We are also named in litigation that is primarily related to the businesses of our former subsidiaries, including Realogy and Wyndham. We are entitled to indemnification from such entities for any liability resulting from such litigation.</w:t>
      </w:r>
    </w:p>
    <w:p>
      <w:pPr>
        <w:spacing w:after="0" w:line="180" w:lineRule="exact"/>
        <w:rPr>
          <w:rFonts w:ascii="Arial" w:cs="Arial" w:eastAsia="Arial" w:hAnsi="Arial"/>
          <w:sz w:val="18"/>
          <w:szCs w:val="18"/>
          <w:b w:val="1"/>
          <w:bCs w:val="1"/>
          <w:color w:val="auto"/>
        </w:rPr>
      </w:pPr>
    </w:p>
    <w:p>
      <w:pPr>
        <w:jc w:val="both"/>
        <w:ind w:left="442"/>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In September 2014, Dawn Valli et al. v. Avis Budget Group Inc., et al. was filed in U.S. District Court for the District of New Jersey. The plaintiffs seek to represent a purported nationwide class of certain renters of vehicles from our Avis and Budget subsidiaries from September 30, 2008 through the present. The plaintiffs seek damages in connection with claims relating to alleged misrepresentations and omissions concerning charging customers for traffic infractions and related administrative fees. On October 10, 2023, plaintiffs’ motion for class certification was denied as to their proposed nationwide class and granted as to a subclass, created at the Court’s discretion, of Avis Preferred and Budget Fastbreak members. We have been named as a defendant in other purported consumer class action lawsuits, including two class actions filed against us in New Jersey, one seeking damages in connection with a breach of contract claim and another related to ancillary charges at our Payless subsidiary. However, the Company intends to vigorously defend them.</w:t>
      </w:r>
    </w:p>
    <w:p>
      <w:pPr>
        <w:spacing w:after="0" w:line="225" w:lineRule="exact"/>
        <w:rPr>
          <w:rFonts w:ascii="Arial" w:cs="Arial" w:eastAsia="Arial" w:hAnsi="Arial"/>
          <w:sz w:val="18"/>
          <w:szCs w:val="18"/>
          <w:b w:val="1"/>
          <w:bCs w:val="1"/>
          <w:color w:val="auto"/>
        </w:rPr>
      </w:pPr>
    </w:p>
    <w:p>
      <w:pPr>
        <w:jc w:val="both"/>
        <w:ind w:left="442"/>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w:t>
      </w:r>
    </w:p>
    <w:p>
      <w:pPr>
        <w:spacing w:after="0" w:line="203" w:lineRule="exact"/>
        <w:rPr>
          <w:rFonts w:ascii="Arial" w:cs="Arial" w:eastAsia="Arial" w:hAnsi="Arial"/>
          <w:sz w:val="18"/>
          <w:szCs w:val="18"/>
          <w:b w:val="1"/>
          <w:bCs w:val="1"/>
          <w:color w:val="auto"/>
        </w:rPr>
      </w:pPr>
    </w:p>
    <w:p>
      <w:pPr>
        <w:jc w:val="both"/>
        <w:ind w:left="44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are a defendant in a number of legal proceedings for personal injury arising from the operation of our vehicles. In June 2023, two of our subsidiaries were named as defendants in a lawsuit filed in Dallas, Texas alleging that one of our employees caused the death of an individual with one of our vehicles: Peggy Dawson Edwards, Individually and as Anticipated Representative of the Estate of Michael Edwards, Sr., et. al. v. Avis Budget Car Rental, LLC; PV Holding Corp.; and Kevin Barnes, Cause No. CC-23-03188-E, pending in County Court at Law No. 5 for Dallas County, Texas. The complaint alleges that our subsidiaries are responsible for Mr. Edwards’ death and seeks compensatory and punitive damages in an unspecified</w:t>
      </w:r>
    </w:p>
    <w:p>
      <w:pPr>
        <w:spacing w:after="0" w:line="200" w:lineRule="exact"/>
        <w:rPr>
          <w:sz w:val="20"/>
          <w:szCs w:val="20"/>
          <w:color w:val="auto"/>
        </w:rPr>
      </w:pPr>
    </w:p>
    <w:p>
      <w:pPr>
        <w:spacing w:after="0" w:line="360"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3" w:right="339" w:bottom="1440" w:gutter="0" w:footer="0" w:header="0"/>
        </w:sectPr>
      </w:pPr>
    </w:p>
    <w:bookmarkStart w:id="21" w:name="page22"/>
    <w:bookmarkEnd w:id="21"/>
    <w:p>
      <w:pPr>
        <w:jc w:val="both"/>
        <w:ind w:left="442"/>
        <w:spacing w:after="0" w:line="287" w:lineRule="auto"/>
        <w:rPr>
          <w:sz w:val="20"/>
          <w:szCs w:val="20"/>
          <w:color w:val="auto"/>
        </w:rPr>
      </w:pPr>
      <w:r>
        <w:rPr>
          <w:rFonts w:ascii="Arial" w:cs="Arial" w:eastAsia="Arial" w:hAnsi="Arial"/>
          <w:sz w:val="18"/>
          <w:szCs w:val="18"/>
          <w:color w:val="auto"/>
        </w:rPr>
        <w:t>amount exceeding $ 1 million. The court has set a trial date in November 2024 for this lawsuit. Given the early stages of the legal proceedings, it is not possible to predict the outcome of the claim. However, the Company intends to vigorously defend it.</w:t>
      </w:r>
    </w:p>
    <w:p>
      <w:pPr>
        <w:spacing w:after="0" w:line="180"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$40 million in excess of amounts accrued as of March 31, 2024. We do not believe that the impact should result in a material liability to us in relation to our consolidated financial condition or results of operations.</w:t>
      </w:r>
    </w:p>
    <w:p>
      <w:pPr>
        <w:spacing w:after="0" w:line="208"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50" w:lineRule="exact"/>
        <w:rPr>
          <w:sz w:val="20"/>
          <w:szCs w:val="20"/>
          <w:color w:val="auto"/>
        </w:rPr>
      </w:pPr>
    </w:p>
    <w:p>
      <w:pPr>
        <w:jc w:val="both"/>
        <w:ind w:left="442"/>
        <w:spacing w:after="0" w:line="262" w:lineRule="auto"/>
        <w:rPr>
          <w:sz w:val="20"/>
          <w:szCs w:val="20"/>
          <w:color w:val="auto"/>
        </w:rPr>
      </w:pPr>
      <w:r>
        <w:rPr>
          <w:rFonts w:ascii="Arial" w:cs="Arial" w:eastAsia="Arial" w:hAnsi="Arial"/>
          <w:sz w:val="18"/>
          <w:szCs w:val="18"/>
          <w:color w:val="auto"/>
        </w:rPr>
        <w:t>We maintain agreements with vehicle manufacturers under which we have agreed to purchase approximately $ 4.1 billion of vehicles from manufacturers over the next 12 months, a $2.7 billion decrease compared to December 31, 2023,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205"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Concentrations</w:t>
      </w:r>
    </w:p>
    <w:p>
      <w:pPr>
        <w:spacing w:after="0" w:line="250"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Concentrations of credit risk as of March 31, 2024 include (i) risks related to our repurchase and guaranteed depreciation agreements with domestic and foreign car manufacturers and primarily with respect to receivables for program cars that have been disposed but for which we have not yet received payment from the manufacturers and (ii) risks related to Realogy and Wyndham, including receivables of $38 million and $23 million, respectively, related to certain contingent, income tax and other corporate liabilities assumed by Realogy and Wyndham in connection with their disposition.</w:t>
      </w:r>
    </w:p>
    <w:p>
      <w:pPr>
        <w:spacing w:after="0" w:line="206" w:lineRule="exact"/>
        <w:rPr>
          <w:sz w:val="20"/>
          <w:szCs w:val="20"/>
          <w:color w:val="auto"/>
        </w:rPr>
      </w:pPr>
    </w:p>
    <w:p>
      <w:pPr>
        <w:ind w:left="442" w:right="8940" w:hanging="442"/>
        <w:spacing w:after="0" w:line="532" w:lineRule="auto"/>
        <w:tabs>
          <w:tab w:leader="none" w:pos="45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Share Repurchases</w:t>
      </w:r>
    </w:p>
    <w:p>
      <w:pPr>
        <w:jc w:val="both"/>
        <w:ind w:left="442"/>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Board of Directors has authorized the repurchase of up to approximately $8.1 billion of our common stock under a plan originally approved in 2013 and subsequently expanded, most recently in February 2023 (the “Stock Repurchase Program”). During the three months ended March 31, 2024 and 2023, we did not repurchase any shares of common stock under the program. As of March 31, 2024, approximately $802 million of authorization remained available to repurchase common stock under the program.</w:t>
      </w:r>
    </w:p>
    <w:p>
      <w:pPr>
        <w:spacing w:after="0" w:line="203"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Common stock repurchases under the Stock Repurchase Program do not include shares withheld to satisfy employees’ income tax liabilities attributable to the vesting of restricted stock unit awards.</w:t>
      </w:r>
    </w:p>
    <w:p>
      <w:pPr>
        <w:spacing w:after="0" w:line="181"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Total Comprehensive Income (Loss)</w:t>
      </w:r>
    </w:p>
    <w:p>
      <w:pPr>
        <w:spacing w:after="0" w:line="250"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Comprehensive income (loss) consists of net income (loss) and other gains and losses affecting stockholders’ equity that, under GAAP, are excluded from net income (loss).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22" w:name="page23"/>
    <w:bookmarkEnd w:id="22"/>
    <w:p>
      <w:pPr>
        <w:ind w:left="6"/>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48" w:lineRule="exact"/>
        <w:rPr>
          <w:sz w:val="20"/>
          <w:szCs w:val="20"/>
          <w:color w:val="auto"/>
        </w:rPr>
      </w:pPr>
    </w:p>
    <w:p>
      <w:pPr>
        <w:jc w:val="center"/>
        <w:ind w:left="7440"/>
        <w:spacing w:after="0"/>
        <w:rPr>
          <w:sz w:val="20"/>
          <w:szCs w:val="20"/>
          <w:color w:val="auto"/>
        </w:rPr>
      </w:pPr>
      <w:r>
        <w:rPr>
          <w:rFonts w:ascii="Arial" w:cs="Arial" w:eastAsia="Arial" w:hAnsi="Arial"/>
          <w:sz w:val="16"/>
          <w:szCs w:val="16"/>
          <w:b w:val="1"/>
          <w:bCs w:val="1"/>
          <w:color w:val="auto"/>
        </w:rPr>
        <w:t>Three Months Ended</w:t>
      </w:r>
    </w:p>
    <w:p>
      <w:pPr>
        <w:jc w:val="center"/>
        <w:ind w:left="74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26" w:type="dxa"/>
        <w:tblCellMar>
          <w:top w:w="0" w:type="dxa"/>
          <w:left w:w="0" w:type="dxa"/>
          <w:bottom w:w="0" w:type="dxa"/>
          <w:right w:w="0" w:type="dxa"/>
        </w:tblCellMar>
      </w:tblPr>
      <w:tr>
        <w:trPr>
          <w:trHeight w:val="209"/>
        </w:trPr>
        <w:tc>
          <w:tcPr>
            <w:tcW w:w="752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8"/>
        </w:trPr>
        <w:tc>
          <w:tcPr>
            <w:tcW w:w="7520" w:type="dxa"/>
            <w:vAlign w:val="bottom"/>
            <w:vMerge w:val="continue"/>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15"/>
        </w:trPr>
        <w:tc>
          <w:tcPr>
            <w:tcW w:w="7520" w:type="dxa"/>
            <w:vAlign w:val="bottom"/>
          </w:tcPr>
          <w:p>
            <w:pPr>
              <w:ind w:left="160"/>
              <w:spacing w:after="0"/>
              <w:rPr>
                <w:sz w:val="20"/>
                <w:szCs w:val="20"/>
                <w:color w:val="auto"/>
              </w:rPr>
            </w:pPr>
            <w:r>
              <w:rPr>
                <w:rFonts w:ascii="Arial" w:cs="Arial" w:eastAsia="Arial" w:hAnsi="Arial"/>
                <w:sz w:val="16"/>
                <w:szCs w:val="16"/>
                <w:color w:val="auto"/>
              </w:rPr>
              <w:t>Less: net income attributable to non-controlling interests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Arial" w:cs="Arial" w:eastAsia="Arial" w:hAnsi="Arial"/>
                <w:sz w:val="16"/>
                <w:szCs w:val="16"/>
                <w:color w:val="auto"/>
              </w:rPr>
              <w:t>Net income (loss) attributable to Avis Budget Group, Inc.</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60"/>
              <w:spacing w:after="0"/>
              <w:rPr>
                <w:sz w:val="20"/>
                <w:szCs w:val="20"/>
                <w:color w:val="auto"/>
              </w:rPr>
            </w:pPr>
            <w:r>
              <w:rPr>
                <w:rFonts w:ascii="Arial" w:cs="Arial" w:eastAsia="Arial" w:hAnsi="Arial"/>
                <w:sz w:val="16"/>
                <w:szCs w:val="16"/>
                <w:color w:val="auto"/>
              </w:rPr>
              <w:t>Currency translation adjustments (net of tax of $(5) and $3, respectively)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7520" w:type="dxa"/>
            <w:vAlign w:val="bottom"/>
          </w:tcPr>
          <w:p>
            <w:pPr>
              <w:ind w:left="160"/>
              <w:spacing w:after="0"/>
              <w:rPr>
                <w:sz w:val="20"/>
                <w:szCs w:val="20"/>
                <w:color w:val="auto"/>
              </w:rPr>
            </w:pPr>
            <w:r>
              <w:rPr>
                <w:rFonts w:ascii="Arial" w:cs="Arial" w:eastAsia="Arial" w:hAnsi="Arial"/>
                <w:sz w:val="16"/>
                <w:szCs w:val="16"/>
                <w:color w:val="auto"/>
              </w:rPr>
              <w:t>Net unrealized gain (loss) on cash flow hedges (net of tax of $(2) and $2, respectively)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7520" w:type="dxa"/>
            <w:vAlign w:val="bottom"/>
          </w:tcPr>
          <w:p>
            <w:pPr>
              <w:ind w:left="160"/>
              <w:spacing w:after="0"/>
              <w:rPr>
                <w:sz w:val="20"/>
                <w:szCs w:val="20"/>
                <w:color w:val="auto"/>
              </w:rPr>
            </w:pPr>
            <w:r>
              <w:rPr>
                <w:rFonts w:ascii="Arial" w:cs="Arial" w:eastAsia="Arial" w:hAnsi="Arial"/>
                <w:sz w:val="16"/>
                <w:szCs w:val="16"/>
                <w:color w:val="auto"/>
              </w:rPr>
              <w:t>Minimum pension liability adjustment (net of tax of $0 in each period)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7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Arial" w:cs="Arial" w:eastAsia="Arial" w:hAnsi="Arial"/>
                <w:sz w:val="16"/>
                <w:szCs w:val="16"/>
                <w:color w:val="auto"/>
              </w:rPr>
              <w:t>Comprehensive income (loss) attributable to Avis Budget Group, Inc.</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118" w:lineRule="exact"/>
        <w:rPr>
          <w:sz w:val="20"/>
          <w:szCs w:val="20"/>
          <w:color w:val="auto"/>
        </w:rPr>
      </w:pPr>
    </w:p>
    <w:p>
      <w:pPr>
        <w:ind w:left="6"/>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ectPr>
          <w:pgSz w:w="11900" w:h="16838" w:orient="portrait"/>
          <w:cols w:equalWidth="0" w:num="1">
            <w:col w:w="10746"/>
          </w:cols>
          <w:pgMar w:left="814" w:top="931" w:right="339" w:bottom="1440" w:gutter="0" w:footer="0" w:header="0"/>
        </w:sectPr>
      </w:pPr>
    </w:p>
    <w:p>
      <w:pPr>
        <w:spacing w:after="0" w:line="250"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5"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components of accumulated other comprehensive income (loss) were as follows:</w:t>
      </w:r>
    </w:p>
    <w:p>
      <w:pPr>
        <w:spacing w:after="0" w:line="58" w:lineRule="exact"/>
        <w:rPr>
          <w:sz w:val="20"/>
          <w:szCs w:val="20"/>
          <w:color w:val="auto"/>
        </w:rPr>
      </w:pPr>
    </w:p>
    <w:tbl>
      <w:tblPr>
        <w:tblLayout w:type="fixed"/>
        <w:tblInd w:w="3886" w:type="dxa"/>
        <w:tblCellMar>
          <w:top w:w="0" w:type="dxa"/>
          <w:left w:w="0" w:type="dxa"/>
          <w:bottom w:w="0" w:type="dxa"/>
          <w:right w:w="0" w:type="dxa"/>
        </w:tblCellMar>
      </w:tblPr>
      <w:tr>
        <w:trPr>
          <w:trHeight w:val="161"/>
        </w:trPr>
        <w:tc>
          <w:tcPr>
            <w:tcW w:w="1240" w:type="dxa"/>
            <w:vAlign w:val="bottom"/>
            <w:vMerge w:val="restart"/>
          </w:tcPr>
          <w:p>
            <w:pPr>
              <w:jc w:val="center"/>
              <w:ind w:right="308"/>
              <w:spacing w:after="0"/>
              <w:rPr>
                <w:sz w:val="20"/>
                <w:szCs w:val="20"/>
                <w:color w:val="auto"/>
              </w:rPr>
            </w:pPr>
            <w:r>
              <w:rPr>
                <w:rFonts w:ascii="Arial" w:cs="Arial" w:eastAsia="Arial" w:hAnsi="Arial"/>
                <w:sz w:val="14"/>
                <w:szCs w:val="14"/>
                <w:b w:val="1"/>
                <w:bCs w:val="1"/>
                <w:color w:val="auto"/>
              </w:rPr>
              <w:t>Currency</w:t>
            </w:r>
          </w:p>
        </w:tc>
        <w:tc>
          <w:tcPr>
            <w:tcW w:w="1400" w:type="dxa"/>
            <w:vAlign w:val="bottom"/>
          </w:tcPr>
          <w:p>
            <w:pPr>
              <w:jc w:val="center"/>
              <w:ind w:left="288"/>
              <w:spacing w:after="0"/>
              <w:rPr>
                <w:sz w:val="20"/>
                <w:szCs w:val="20"/>
                <w:color w:val="auto"/>
              </w:rPr>
            </w:pPr>
            <w:r>
              <w:rPr>
                <w:rFonts w:ascii="Arial" w:cs="Arial" w:eastAsia="Arial" w:hAnsi="Arial"/>
                <w:sz w:val="14"/>
                <w:szCs w:val="14"/>
                <w:b w:val="1"/>
                <w:bCs w:val="1"/>
                <w:color w:val="auto"/>
              </w:rPr>
              <w:t>Net Unrealized</w:t>
            </w:r>
          </w:p>
        </w:tc>
        <w:tc>
          <w:tcPr>
            <w:tcW w:w="0" w:type="dxa"/>
            <w:vAlign w:val="bottom"/>
          </w:tcPr>
          <w:p>
            <w:pPr>
              <w:spacing w:after="0"/>
              <w:rPr>
                <w:sz w:val="1"/>
                <w:szCs w:val="1"/>
                <w:color w:val="auto"/>
              </w:rPr>
            </w:pPr>
          </w:p>
        </w:tc>
      </w:tr>
      <w:tr>
        <w:trPr>
          <w:trHeight w:val="144"/>
        </w:trPr>
        <w:tc>
          <w:tcPr>
            <w:tcW w:w="1240" w:type="dxa"/>
            <w:vAlign w:val="bottom"/>
            <w:vMerge w:val="continue"/>
          </w:tcPr>
          <w:p>
            <w:pPr>
              <w:spacing w:after="0"/>
              <w:rPr>
                <w:sz w:val="12"/>
                <w:szCs w:val="12"/>
                <w:color w:val="auto"/>
              </w:rPr>
            </w:pPr>
          </w:p>
        </w:tc>
        <w:tc>
          <w:tcPr>
            <w:tcW w:w="1400" w:type="dxa"/>
            <w:vAlign w:val="bottom"/>
          </w:tcPr>
          <w:p>
            <w:pPr>
              <w:jc w:val="center"/>
              <w:ind w:left="288"/>
              <w:spacing w:after="0" w:line="145" w:lineRule="exact"/>
              <w:rPr>
                <w:sz w:val="20"/>
                <w:szCs w:val="20"/>
                <w:color w:val="auto"/>
              </w:rPr>
            </w:pPr>
            <w:r>
              <w:rPr>
                <w:rFonts w:ascii="Arial" w:cs="Arial" w:eastAsia="Arial" w:hAnsi="Arial"/>
                <w:sz w:val="14"/>
                <w:szCs w:val="14"/>
                <w:b w:val="1"/>
                <w:bCs w:val="1"/>
                <w:color w:val="auto"/>
              </w:rPr>
              <w:t>Gains (Losses)</w:t>
            </w:r>
          </w:p>
        </w:tc>
        <w:tc>
          <w:tcPr>
            <w:tcW w:w="0" w:type="dxa"/>
            <w:vAlign w:val="bottom"/>
          </w:tcPr>
          <w:p>
            <w:pPr>
              <w:spacing w:after="0"/>
              <w:rPr>
                <w:sz w:val="1"/>
                <w:szCs w:val="1"/>
                <w:color w:val="auto"/>
              </w:rPr>
            </w:pPr>
          </w:p>
        </w:tc>
      </w:tr>
      <w:tr>
        <w:trPr>
          <w:trHeight w:val="148"/>
        </w:trPr>
        <w:tc>
          <w:tcPr>
            <w:tcW w:w="124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rPr>
              <w:t>Translation</w:t>
            </w:r>
          </w:p>
        </w:tc>
        <w:tc>
          <w:tcPr>
            <w:tcW w:w="14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rPr>
              <w:t>on Cash Flow</w:t>
            </w:r>
          </w:p>
        </w:tc>
        <w:tc>
          <w:tcPr>
            <w:tcW w:w="0" w:type="dxa"/>
            <w:vAlign w:val="bottom"/>
          </w:tcPr>
          <w:p>
            <w:pPr>
              <w:spacing w:after="0"/>
              <w:rPr>
                <w:sz w:val="1"/>
                <w:szCs w:val="1"/>
                <w:color w:val="auto"/>
              </w:rPr>
            </w:pPr>
          </w:p>
        </w:tc>
      </w:tr>
      <w:tr>
        <w:trPr>
          <w:trHeight w:val="189"/>
        </w:trPr>
        <w:tc>
          <w:tcPr>
            <w:tcW w:w="1240" w:type="dxa"/>
            <w:vAlign w:val="bottom"/>
          </w:tcPr>
          <w:p>
            <w:pPr>
              <w:jc w:val="center"/>
              <w:ind w:right="308"/>
              <w:spacing w:after="0"/>
              <w:rPr>
                <w:sz w:val="20"/>
                <w:szCs w:val="20"/>
                <w:color w:val="auto"/>
              </w:rPr>
            </w:pPr>
            <w:r>
              <w:rPr>
                <w:rFonts w:ascii="Arial" w:cs="Arial" w:eastAsia="Arial" w:hAnsi="Arial"/>
                <w:sz w:val="14"/>
                <w:szCs w:val="14"/>
                <w:b w:val="1"/>
                <w:bCs w:val="1"/>
                <w:color w:val="auto"/>
              </w:rPr>
              <w:t>Adjustments</w:t>
            </w:r>
          </w:p>
        </w:tc>
        <w:tc>
          <w:tcPr>
            <w:tcW w:w="1400" w:type="dxa"/>
            <w:vAlign w:val="bottom"/>
          </w:tcPr>
          <w:p>
            <w:pPr>
              <w:jc w:val="center"/>
              <w:ind w:left="288"/>
              <w:spacing w:after="0" w:line="189" w:lineRule="exact"/>
              <w:rPr>
                <w:sz w:val="20"/>
                <w:szCs w:val="20"/>
                <w:color w:val="auto"/>
              </w:rPr>
            </w:pPr>
            <w:r>
              <w:rPr>
                <w:rFonts w:ascii="Arial" w:cs="Arial" w:eastAsia="Arial" w:hAnsi="Arial"/>
                <w:sz w:val="14"/>
                <w:szCs w:val="14"/>
                <w:b w:val="1"/>
                <w:bCs w:val="1"/>
                <w:color w:val="auto"/>
                <w:w w:val="98"/>
              </w:rPr>
              <w:t>Hedges</w:t>
            </w:r>
            <w:r>
              <w:rPr>
                <w:rFonts w:ascii="Arial" w:cs="Arial" w:eastAsia="Arial" w:hAnsi="Arial"/>
                <w:sz w:val="18"/>
                <w:szCs w:val="18"/>
                <w:b w:val="1"/>
                <w:bCs w:val="1"/>
                <w:color w:val="auto"/>
                <w:w w:val="98"/>
                <w:vertAlign w:val="superscript"/>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2237105</wp:posOffset>
            </wp:positionH>
            <wp:positionV relativeFrom="paragraph">
              <wp:posOffset>0</wp:posOffset>
            </wp:positionV>
            <wp:extent cx="1003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jc w:val="center"/>
              <w:ind w:right="268"/>
              <w:spacing w:after="0"/>
              <w:rPr>
                <w:sz w:val="20"/>
                <w:szCs w:val="20"/>
                <w:color w:val="auto"/>
              </w:rPr>
            </w:pPr>
            <w:r>
              <w:rPr>
                <w:rFonts w:ascii="Arial" w:cs="Arial" w:eastAsia="Arial" w:hAnsi="Arial"/>
                <w:sz w:val="14"/>
                <w:szCs w:val="14"/>
                <w:b w:val="1"/>
                <w:bCs w:val="1"/>
                <w:color w:val="auto"/>
              </w:rPr>
              <w:t>Minimum</w:t>
            </w:r>
          </w:p>
        </w:tc>
        <w:tc>
          <w:tcPr>
            <w:tcW w:w="1420" w:type="dxa"/>
            <w:vAlign w:val="bottom"/>
          </w:tcPr>
          <w:p>
            <w:pPr>
              <w:jc w:val="center"/>
              <w:ind w:left="288"/>
              <w:spacing w:after="0"/>
              <w:rPr>
                <w:sz w:val="20"/>
                <w:szCs w:val="20"/>
                <w:color w:val="auto"/>
              </w:rPr>
            </w:pPr>
            <w:r>
              <w:rPr>
                <w:rFonts w:ascii="Arial" w:cs="Arial" w:eastAsia="Arial" w:hAnsi="Arial"/>
                <w:sz w:val="14"/>
                <w:szCs w:val="14"/>
                <w:b w:val="1"/>
                <w:bCs w:val="1"/>
                <w:color w:val="auto"/>
              </w:rPr>
              <w:t>Accumulated</w:t>
            </w:r>
          </w:p>
        </w:tc>
      </w:tr>
      <w:tr>
        <w:trPr>
          <w:trHeight w:val="144"/>
        </w:trPr>
        <w:tc>
          <w:tcPr>
            <w:tcW w:w="1260" w:type="dxa"/>
            <w:vAlign w:val="bottom"/>
          </w:tcPr>
          <w:p>
            <w:pPr>
              <w:jc w:val="center"/>
              <w:ind w:right="268"/>
              <w:spacing w:after="0" w:line="145" w:lineRule="exact"/>
              <w:rPr>
                <w:sz w:val="20"/>
                <w:szCs w:val="20"/>
                <w:color w:val="auto"/>
              </w:rPr>
            </w:pPr>
            <w:r>
              <w:rPr>
                <w:rFonts w:ascii="Arial" w:cs="Arial" w:eastAsia="Arial" w:hAnsi="Arial"/>
                <w:sz w:val="14"/>
                <w:szCs w:val="14"/>
                <w:b w:val="1"/>
                <w:bCs w:val="1"/>
                <w:color w:val="auto"/>
              </w:rPr>
              <w:t>Pension</w:t>
            </w:r>
          </w:p>
        </w:tc>
        <w:tc>
          <w:tcPr>
            <w:tcW w:w="1420" w:type="dxa"/>
            <w:vAlign w:val="bottom"/>
          </w:tcPr>
          <w:p>
            <w:pPr>
              <w:jc w:val="center"/>
              <w:ind w:left="288"/>
              <w:spacing w:after="0" w:line="145" w:lineRule="exact"/>
              <w:rPr>
                <w:sz w:val="20"/>
                <w:szCs w:val="20"/>
                <w:color w:val="auto"/>
              </w:rPr>
            </w:pPr>
            <w:r>
              <w:rPr>
                <w:rFonts w:ascii="Arial" w:cs="Arial" w:eastAsia="Arial" w:hAnsi="Arial"/>
                <w:sz w:val="14"/>
                <w:szCs w:val="14"/>
                <w:b w:val="1"/>
                <w:bCs w:val="1"/>
                <w:color w:val="auto"/>
              </w:rPr>
              <w:t>Other</w:t>
            </w:r>
          </w:p>
        </w:tc>
      </w:tr>
      <w:tr>
        <w:trPr>
          <w:trHeight w:val="137"/>
        </w:trPr>
        <w:tc>
          <w:tcPr>
            <w:tcW w:w="1260" w:type="dxa"/>
            <w:vAlign w:val="bottom"/>
          </w:tcPr>
          <w:p>
            <w:pPr>
              <w:jc w:val="center"/>
              <w:ind w:right="248"/>
              <w:spacing w:after="0" w:line="137" w:lineRule="exact"/>
              <w:rPr>
                <w:sz w:val="20"/>
                <w:szCs w:val="20"/>
                <w:color w:val="auto"/>
              </w:rPr>
            </w:pPr>
            <w:r>
              <w:rPr>
                <w:rFonts w:ascii="Arial" w:cs="Arial" w:eastAsia="Arial" w:hAnsi="Arial"/>
                <w:sz w:val="14"/>
                <w:szCs w:val="14"/>
                <w:b w:val="1"/>
                <w:bCs w:val="1"/>
                <w:color w:val="auto"/>
              </w:rPr>
              <w:t>Liability</w:t>
            </w:r>
          </w:p>
        </w:tc>
        <w:tc>
          <w:tcPr>
            <w:tcW w:w="1420" w:type="dxa"/>
            <w:vAlign w:val="bottom"/>
          </w:tcPr>
          <w:p>
            <w:pPr>
              <w:jc w:val="center"/>
              <w:ind w:left="288"/>
              <w:spacing w:after="0" w:line="137" w:lineRule="exact"/>
              <w:rPr>
                <w:sz w:val="20"/>
                <w:szCs w:val="20"/>
                <w:color w:val="auto"/>
              </w:rPr>
            </w:pPr>
            <w:r>
              <w:rPr>
                <w:rFonts w:ascii="Arial" w:cs="Arial" w:eastAsia="Arial" w:hAnsi="Arial"/>
                <w:sz w:val="14"/>
                <w:szCs w:val="14"/>
                <w:b w:val="1"/>
                <w:bCs w:val="1"/>
                <w:color w:val="auto"/>
              </w:rPr>
              <w:t>Comprehensive</w:t>
            </w:r>
          </w:p>
        </w:tc>
      </w:tr>
      <w:tr>
        <w:trPr>
          <w:trHeight w:val="201"/>
        </w:trPr>
        <w:tc>
          <w:tcPr>
            <w:tcW w:w="1260" w:type="dxa"/>
            <w:vAlign w:val="bottom"/>
          </w:tcPr>
          <w:p>
            <w:pPr>
              <w:jc w:val="center"/>
              <w:ind w:right="268"/>
              <w:spacing w:after="0" w:line="201" w:lineRule="exact"/>
              <w:rPr>
                <w:sz w:val="20"/>
                <w:szCs w:val="20"/>
                <w:color w:val="auto"/>
              </w:rPr>
            </w:pPr>
            <w:r>
              <w:rPr>
                <w:rFonts w:ascii="Arial" w:cs="Arial" w:eastAsia="Arial" w:hAnsi="Arial"/>
                <w:sz w:val="14"/>
                <w:szCs w:val="14"/>
                <w:b w:val="1"/>
                <w:bCs w:val="1"/>
                <w:color w:val="auto"/>
                <w:w w:val="99"/>
              </w:rPr>
              <w:t>Adjustment</w:t>
            </w:r>
            <w:r>
              <w:rPr>
                <w:rFonts w:ascii="Arial" w:cs="Arial" w:eastAsia="Arial" w:hAnsi="Arial"/>
                <w:sz w:val="18"/>
                <w:szCs w:val="18"/>
                <w:b w:val="1"/>
                <w:bCs w:val="1"/>
                <w:color w:val="auto"/>
                <w:w w:val="99"/>
                <w:vertAlign w:val="superscript"/>
              </w:rPr>
              <w:t>(b)</w:t>
            </w:r>
          </w:p>
        </w:tc>
        <w:tc>
          <w:tcPr>
            <w:tcW w:w="1420" w:type="dxa"/>
            <w:vAlign w:val="bottom"/>
          </w:tcPr>
          <w:p>
            <w:pPr>
              <w:jc w:val="center"/>
              <w:ind w:left="288"/>
              <w:spacing w:after="0"/>
              <w:rPr>
                <w:sz w:val="20"/>
                <w:szCs w:val="20"/>
                <w:color w:val="auto"/>
              </w:rPr>
            </w:pPr>
            <w:r>
              <w:rPr>
                <w:rFonts w:ascii="Arial" w:cs="Arial" w:eastAsia="Arial" w:hAnsi="Arial"/>
                <w:sz w:val="14"/>
                <w:szCs w:val="14"/>
                <w:b w:val="1"/>
                <w:bCs w:val="1"/>
                <w:color w:val="auto"/>
              </w:rPr>
              <w:t>Income (Loss)</w:t>
            </w:r>
          </w:p>
        </w:tc>
      </w:tr>
    </w:tbl>
    <w:p>
      <w:pPr>
        <w:spacing w:after="0" w:line="1" w:lineRule="exact"/>
        <w:rPr>
          <w:sz w:val="20"/>
          <w:szCs w:val="20"/>
          <w:color w:val="auto"/>
        </w:rPr>
      </w:pPr>
    </w:p>
    <w:p>
      <w:pPr>
        <w:sectPr>
          <w:pgSz w:w="11900" w:h="16838" w:orient="portrait"/>
          <w:cols w:equalWidth="0" w:num="2">
            <w:col w:w="6786" w:space="440"/>
            <w:col w:w="3520"/>
          </w:cols>
          <w:pgMar w:left="814" w:top="931" w:right="339" w:bottom="1440" w:gutter="0" w:footer="0" w:header="0"/>
          <w:type w:val="continuous"/>
        </w:sectPr>
      </w:pPr>
    </w:p>
    <w:p>
      <w:pPr>
        <w:spacing w:after="0" w:line="17" w:lineRule="exact"/>
        <w:rPr>
          <w:sz w:val="20"/>
          <w:szCs w:val="20"/>
          <w:color w:val="auto"/>
        </w:rPr>
      </w:pPr>
    </w:p>
    <w:tbl>
      <w:tblPr>
        <w:tblLayout w:type="fixed"/>
        <w:tblInd w:w="26" w:type="dxa"/>
        <w:tblCellMar>
          <w:top w:w="0" w:type="dxa"/>
          <w:left w:w="0" w:type="dxa"/>
          <w:bottom w:w="0" w:type="dxa"/>
          <w:right w:w="0" w:type="dxa"/>
        </w:tblCellMar>
      </w:tblPr>
      <w:tr>
        <w:trPr>
          <w:trHeight w:val="190"/>
        </w:trPr>
        <w:tc>
          <w:tcPr>
            <w:tcW w:w="3380" w:type="dxa"/>
            <w:vAlign w:val="bottom"/>
          </w:tcPr>
          <w:p>
            <w:pPr>
              <w:spacing w:after="0"/>
              <w:rPr>
                <w:sz w:val="20"/>
                <w:szCs w:val="20"/>
                <w:color w:val="auto"/>
              </w:rPr>
            </w:pPr>
            <w:r>
              <w:rPr>
                <w:rFonts w:ascii="Arial" w:cs="Arial" w:eastAsia="Arial" w:hAnsi="Arial"/>
                <w:sz w:val="14"/>
                <w:szCs w:val="14"/>
                <w:color w:val="auto"/>
              </w:rPr>
              <w:t>Balance, January 1, 2024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3380" w:type="dxa"/>
            <w:vAlign w:val="bottom"/>
          </w:tcPr>
          <w:p>
            <w:pPr>
              <w:ind w:left="360"/>
              <w:spacing w:after="0"/>
              <w:rPr>
                <w:sz w:val="20"/>
                <w:szCs w:val="20"/>
                <w:color w:val="auto"/>
              </w:rPr>
            </w:pPr>
            <w:r>
              <w:rPr>
                <w:rFonts w:ascii="Arial" w:cs="Arial" w:eastAsia="Arial" w:hAnsi="Arial"/>
                <w:sz w:val="14"/>
                <w:szCs w:val="14"/>
                <w:color w:val="auto"/>
              </w:rPr>
              <w:t>Other comprehensive income (loss) before</w:t>
            </w:r>
          </w:p>
        </w:tc>
        <w:tc>
          <w:tcPr>
            <w:tcW w:w="220" w:type="dxa"/>
            <w:vAlign w:val="bottom"/>
          </w:tcPr>
          <w:p>
            <w:pPr>
              <w:spacing w:after="0"/>
              <w:rPr>
                <w:sz w:val="13"/>
                <w:szCs w:val="13"/>
                <w:color w:val="auto"/>
              </w:rPr>
            </w:pPr>
          </w:p>
        </w:tc>
      </w:tr>
      <w:tr>
        <w:trPr>
          <w:trHeight w:val="189"/>
        </w:trPr>
        <w:tc>
          <w:tcPr>
            <w:tcW w:w="3380" w:type="dxa"/>
            <w:vAlign w:val="bottom"/>
          </w:tcPr>
          <w:p>
            <w:pPr>
              <w:ind w:left="360"/>
              <w:spacing w:after="0"/>
              <w:rPr>
                <w:sz w:val="20"/>
                <w:szCs w:val="20"/>
                <w:color w:val="auto"/>
              </w:rPr>
            </w:pPr>
            <w:r>
              <w:rPr>
                <w:rFonts w:ascii="Arial" w:cs="Arial" w:eastAsia="Arial" w:hAnsi="Arial"/>
                <w:sz w:val="14"/>
                <w:szCs w:val="14"/>
                <w:color w:val="auto"/>
              </w:rPr>
              <w:t>reclassifications</w:t>
            </w:r>
          </w:p>
        </w:tc>
        <w:tc>
          <w:tcPr>
            <w:tcW w:w="220" w:type="dxa"/>
            <w:vAlign w:val="bottom"/>
          </w:tcPr>
          <w:p>
            <w:pPr>
              <w:spacing w:after="0"/>
              <w:rPr>
                <w:sz w:val="16"/>
                <w:szCs w:val="16"/>
                <w:color w:val="auto"/>
              </w:rPr>
            </w:pPr>
          </w:p>
        </w:tc>
      </w:tr>
      <w:tr>
        <w:trPr>
          <w:trHeight w:val="148"/>
        </w:trPr>
        <w:tc>
          <w:tcPr>
            <w:tcW w:w="3380" w:type="dxa"/>
            <w:vAlign w:val="bottom"/>
          </w:tcPr>
          <w:p>
            <w:pPr>
              <w:ind w:left="360"/>
              <w:spacing w:after="0" w:line="149" w:lineRule="exact"/>
              <w:rPr>
                <w:sz w:val="20"/>
                <w:szCs w:val="20"/>
                <w:color w:val="auto"/>
              </w:rPr>
            </w:pPr>
            <w:r>
              <w:rPr>
                <w:rFonts w:ascii="Arial" w:cs="Arial" w:eastAsia="Arial" w:hAnsi="Arial"/>
                <w:sz w:val="14"/>
                <w:szCs w:val="14"/>
                <w:color w:val="auto"/>
              </w:rPr>
              <w:t>Amounts reclassified from accumulated other</w:t>
            </w:r>
          </w:p>
        </w:tc>
        <w:tc>
          <w:tcPr>
            <w:tcW w:w="220" w:type="dxa"/>
            <w:vAlign w:val="bottom"/>
          </w:tcPr>
          <w:p>
            <w:pPr>
              <w:spacing w:after="0"/>
              <w:rPr>
                <w:sz w:val="12"/>
                <w:szCs w:val="12"/>
                <w:color w:val="auto"/>
              </w:rPr>
            </w:pPr>
          </w:p>
        </w:tc>
      </w:tr>
      <w:tr>
        <w:trPr>
          <w:trHeight w:val="189"/>
        </w:trPr>
        <w:tc>
          <w:tcPr>
            <w:tcW w:w="3380" w:type="dxa"/>
            <w:vAlign w:val="bottom"/>
          </w:tcPr>
          <w:p>
            <w:pPr>
              <w:ind w:left="360"/>
              <w:spacing w:after="0"/>
              <w:rPr>
                <w:sz w:val="20"/>
                <w:szCs w:val="20"/>
                <w:color w:val="auto"/>
              </w:rPr>
            </w:pPr>
            <w:r>
              <w:rPr>
                <w:rFonts w:ascii="Arial" w:cs="Arial" w:eastAsia="Arial" w:hAnsi="Arial"/>
                <w:sz w:val="14"/>
                <w:szCs w:val="14"/>
                <w:color w:val="auto"/>
              </w:rPr>
              <w:t>comprehensive income (loss)</w:t>
            </w:r>
          </w:p>
        </w:tc>
        <w:tc>
          <w:tcPr>
            <w:tcW w:w="220" w:type="dxa"/>
            <w:vAlign w:val="bottom"/>
          </w:tcPr>
          <w:p>
            <w:pPr>
              <w:spacing w:after="0"/>
              <w:rPr>
                <w:sz w:val="16"/>
                <w:szCs w:val="16"/>
                <w:color w:val="auto"/>
              </w:rPr>
            </w:pPr>
          </w:p>
        </w:tc>
      </w:tr>
      <w:tr>
        <w:trPr>
          <w:trHeight w:val="149"/>
        </w:trPr>
        <w:tc>
          <w:tcPr>
            <w:tcW w:w="3380" w:type="dxa"/>
            <w:vAlign w:val="bottom"/>
          </w:tcPr>
          <w:p>
            <w:pPr>
              <w:ind w:left="160"/>
              <w:spacing w:after="0" w:line="149" w:lineRule="exact"/>
              <w:rPr>
                <w:sz w:val="20"/>
                <w:szCs w:val="20"/>
                <w:color w:val="auto"/>
              </w:rPr>
            </w:pPr>
            <w:r>
              <w:rPr>
                <w:rFonts w:ascii="Arial" w:cs="Arial" w:eastAsia="Arial" w:hAnsi="Arial"/>
                <w:sz w:val="14"/>
                <w:szCs w:val="14"/>
                <w:color w:val="auto"/>
              </w:rPr>
              <w:t>Net current-period other comprehensive income</w:t>
            </w:r>
          </w:p>
        </w:tc>
        <w:tc>
          <w:tcPr>
            <w:tcW w:w="220" w:type="dxa"/>
            <w:vAlign w:val="bottom"/>
          </w:tcPr>
          <w:p>
            <w:pPr>
              <w:spacing w:after="0"/>
              <w:rPr>
                <w:sz w:val="12"/>
                <w:szCs w:val="12"/>
                <w:color w:val="auto"/>
              </w:rPr>
            </w:pPr>
          </w:p>
        </w:tc>
      </w:tr>
      <w:tr>
        <w:trPr>
          <w:trHeight w:val="190"/>
        </w:trPr>
        <w:tc>
          <w:tcPr>
            <w:tcW w:w="3380" w:type="dxa"/>
            <w:vAlign w:val="bottom"/>
          </w:tcPr>
          <w:p>
            <w:pPr>
              <w:ind w:left="1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6"/>
                <w:szCs w:val="16"/>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4"/>
                <w:szCs w:val="14"/>
                <w:color w:val="auto"/>
              </w:rPr>
              <w:t>Balance, March 31, 2024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65"/>
        </w:trPr>
        <w:tc>
          <w:tcPr>
            <w:tcW w:w="3380" w:type="dxa"/>
            <w:vAlign w:val="bottom"/>
          </w:tcPr>
          <w:p>
            <w:pPr>
              <w:spacing w:after="0"/>
              <w:rPr>
                <w:sz w:val="20"/>
                <w:szCs w:val="20"/>
                <w:color w:val="auto"/>
              </w:rPr>
            </w:pPr>
            <w:r>
              <w:rPr>
                <w:rFonts w:ascii="Arial" w:cs="Arial" w:eastAsia="Arial" w:hAnsi="Arial"/>
                <w:sz w:val="14"/>
                <w:szCs w:val="14"/>
                <w:color w:val="auto"/>
              </w:rPr>
              <w:t>Balance, January 1, 2023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3380" w:type="dxa"/>
            <w:vAlign w:val="bottom"/>
          </w:tcPr>
          <w:p>
            <w:pPr>
              <w:ind w:left="360"/>
              <w:spacing w:after="0"/>
              <w:rPr>
                <w:sz w:val="20"/>
                <w:szCs w:val="20"/>
                <w:color w:val="auto"/>
              </w:rPr>
            </w:pPr>
            <w:r>
              <w:rPr>
                <w:rFonts w:ascii="Arial" w:cs="Arial" w:eastAsia="Arial" w:hAnsi="Arial"/>
                <w:sz w:val="14"/>
                <w:szCs w:val="14"/>
                <w:color w:val="auto"/>
              </w:rPr>
              <w:t>Other comprehensive income (loss) before</w:t>
            </w:r>
          </w:p>
        </w:tc>
        <w:tc>
          <w:tcPr>
            <w:tcW w:w="220" w:type="dxa"/>
            <w:vAlign w:val="bottom"/>
          </w:tcPr>
          <w:p>
            <w:pPr>
              <w:spacing w:after="0"/>
              <w:rPr>
                <w:sz w:val="13"/>
                <w:szCs w:val="13"/>
                <w:color w:val="auto"/>
              </w:rPr>
            </w:pPr>
          </w:p>
        </w:tc>
      </w:tr>
      <w:tr>
        <w:trPr>
          <w:trHeight w:val="189"/>
        </w:trPr>
        <w:tc>
          <w:tcPr>
            <w:tcW w:w="3380" w:type="dxa"/>
            <w:vAlign w:val="bottom"/>
          </w:tcPr>
          <w:p>
            <w:pPr>
              <w:ind w:left="360"/>
              <w:spacing w:after="0"/>
              <w:rPr>
                <w:sz w:val="20"/>
                <w:szCs w:val="20"/>
                <w:color w:val="auto"/>
              </w:rPr>
            </w:pPr>
            <w:r>
              <w:rPr>
                <w:rFonts w:ascii="Arial" w:cs="Arial" w:eastAsia="Arial" w:hAnsi="Arial"/>
                <w:sz w:val="14"/>
                <w:szCs w:val="14"/>
                <w:color w:val="auto"/>
              </w:rPr>
              <w:t>reclassifications</w:t>
            </w:r>
          </w:p>
        </w:tc>
        <w:tc>
          <w:tcPr>
            <w:tcW w:w="220" w:type="dxa"/>
            <w:vAlign w:val="bottom"/>
          </w:tcPr>
          <w:p>
            <w:pPr>
              <w:spacing w:after="0"/>
              <w:rPr>
                <w:sz w:val="16"/>
                <w:szCs w:val="16"/>
                <w:color w:val="auto"/>
              </w:rPr>
            </w:pPr>
          </w:p>
        </w:tc>
      </w:tr>
      <w:tr>
        <w:trPr>
          <w:trHeight w:val="148"/>
        </w:trPr>
        <w:tc>
          <w:tcPr>
            <w:tcW w:w="3380" w:type="dxa"/>
            <w:vAlign w:val="bottom"/>
          </w:tcPr>
          <w:p>
            <w:pPr>
              <w:ind w:left="360"/>
              <w:spacing w:after="0" w:line="149" w:lineRule="exact"/>
              <w:rPr>
                <w:sz w:val="20"/>
                <w:szCs w:val="20"/>
                <w:color w:val="auto"/>
              </w:rPr>
            </w:pPr>
            <w:r>
              <w:rPr>
                <w:rFonts w:ascii="Arial" w:cs="Arial" w:eastAsia="Arial" w:hAnsi="Arial"/>
                <w:sz w:val="14"/>
                <w:szCs w:val="14"/>
                <w:color w:val="auto"/>
              </w:rPr>
              <w:t>Amounts reclassified from accumulated other</w:t>
            </w:r>
          </w:p>
        </w:tc>
        <w:tc>
          <w:tcPr>
            <w:tcW w:w="220" w:type="dxa"/>
            <w:vAlign w:val="bottom"/>
          </w:tcPr>
          <w:p>
            <w:pPr>
              <w:spacing w:after="0"/>
              <w:rPr>
                <w:sz w:val="12"/>
                <w:szCs w:val="12"/>
                <w:color w:val="auto"/>
              </w:rPr>
            </w:pPr>
          </w:p>
        </w:tc>
      </w:tr>
      <w:tr>
        <w:trPr>
          <w:trHeight w:val="189"/>
        </w:trPr>
        <w:tc>
          <w:tcPr>
            <w:tcW w:w="3380" w:type="dxa"/>
            <w:vAlign w:val="bottom"/>
          </w:tcPr>
          <w:p>
            <w:pPr>
              <w:ind w:left="360"/>
              <w:spacing w:after="0"/>
              <w:rPr>
                <w:sz w:val="20"/>
                <w:szCs w:val="20"/>
                <w:color w:val="auto"/>
              </w:rPr>
            </w:pPr>
            <w:r>
              <w:rPr>
                <w:rFonts w:ascii="Arial" w:cs="Arial" w:eastAsia="Arial" w:hAnsi="Arial"/>
                <w:sz w:val="14"/>
                <w:szCs w:val="14"/>
                <w:color w:val="auto"/>
              </w:rPr>
              <w:t>comprehensive income (loss)</w:t>
            </w:r>
          </w:p>
        </w:tc>
        <w:tc>
          <w:tcPr>
            <w:tcW w:w="220" w:type="dxa"/>
            <w:vAlign w:val="bottom"/>
          </w:tcPr>
          <w:p>
            <w:pPr>
              <w:spacing w:after="0"/>
              <w:rPr>
                <w:sz w:val="16"/>
                <w:szCs w:val="16"/>
                <w:color w:val="auto"/>
              </w:rPr>
            </w:pPr>
          </w:p>
        </w:tc>
      </w:tr>
      <w:tr>
        <w:trPr>
          <w:trHeight w:val="148"/>
        </w:trPr>
        <w:tc>
          <w:tcPr>
            <w:tcW w:w="3380" w:type="dxa"/>
            <w:vAlign w:val="bottom"/>
          </w:tcPr>
          <w:p>
            <w:pPr>
              <w:ind w:left="160"/>
              <w:spacing w:after="0" w:line="149" w:lineRule="exact"/>
              <w:rPr>
                <w:sz w:val="20"/>
                <w:szCs w:val="20"/>
                <w:color w:val="auto"/>
              </w:rPr>
            </w:pPr>
            <w:r>
              <w:rPr>
                <w:rFonts w:ascii="Arial" w:cs="Arial" w:eastAsia="Arial" w:hAnsi="Arial"/>
                <w:sz w:val="14"/>
                <w:szCs w:val="14"/>
                <w:color w:val="auto"/>
              </w:rPr>
              <w:t>Net current-period other comprehensive income</w:t>
            </w:r>
          </w:p>
        </w:tc>
        <w:tc>
          <w:tcPr>
            <w:tcW w:w="220" w:type="dxa"/>
            <w:vAlign w:val="bottom"/>
          </w:tcPr>
          <w:p>
            <w:pPr>
              <w:spacing w:after="0"/>
              <w:rPr>
                <w:sz w:val="12"/>
                <w:szCs w:val="12"/>
                <w:color w:val="auto"/>
              </w:rPr>
            </w:pPr>
          </w:p>
        </w:tc>
      </w:tr>
      <w:tr>
        <w:trPr>
          <w:trHeight w:val="190"/>
        </w:trPr>
        <w:tc>
          <w:tcPr>
            <w:tcW w:w="3380" w:type="dxa"/>
            <w:vAlign w:val="bottom"/>
          </w:tcPr>
          <w:p>
            <w:pPr>
              <w:ind w:left="1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6"/>
                <w:szCs w:val="16"/>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4"/>
                <w:szCs w:val="14"/>
                <w:color w:val="auto"/>
              </w:rPr>
              <w:t>Balance, March 31, 2023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74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335"/>
        </w:trPr>
        <w:tc>
          <w:tcPr>
            <w:tcW w:w="380" w:type="dxa"/>
            <w:vAlign w:val="bottom"/>
          </w:tcPr>
          <w:p>
            <w:pPr>
              <w:jc w:val="right"/>
              <w:ind w:right="48"/>
              <w:spacing w:after="0"/>
              <w:rPr>
                <w:sz w:val="20"/>
                <w:szCs w:val="20"/>
                <w:color w:val="auto"/>
              </w:rPr>
            </w:pPr>
            <w:r>
              <w:rPr>
                <w:rFonts w:ascii="Arial" w:cs="Arial" w:eastAsia="Arial" w:hAnsi="Arial"/>
                <w:sz w:val="14"/>
                <w:szCs w:val="14"/>
                <w:color w:val="auto"/>
                <w:w w:val="96"/>
              </w:rPr>
              <w:t>(52)</w:t>
            </w:r>
          </w:p>
        </w:tc>
        <w:tc>
          <w:tcPr>
            <w:tcW w:w="7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341"/>
        </w:trPr>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315"/>
        </w:trPr>
        <w:tc>
          <w:tcPr>
            <w:tcW w:w="380" w:type="dxa"/>
            <w:vAlign w:val="bottom"/>
          </w:tcPr>
          <w:p>
            <w:pPr>
              <w:jc w:val="right"/>
              <w:ind w:right="48"/>
              <w:spacing w:after="0"/>
              <w:rPr>
                <w:sz w:val="20"/>
                <w:szCs w:val="20"/>
                <w:color w:val="auto"/>
              </w:rPr>
            </w:pPr>
            <w:r>
              <w:rPr>
                <w:rFonts w:ascii="Arial" w:cs="Arial" w:eastAsia="Arial" w:hAnsi="Arial"/>
                <w:sz w:val="14"/>
                <w:szCs w:val="14"/>
                <w:color w:val="auto"/>
                <w:w w:val="96"/>
              </w:rPr>
              <w:t>(52)</w:t>
            </w:r>
          </w:p>
        </w:tc>
        <w:tc>
          <w:tcPr>
            <w:tcW w:w="7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380" w:type="dxa"/>
            <w:vAlign w:val="bottom"/>
          </w:tcPr>
          <w:p>
            <w:pPr>
              <w:jc w:val="right"/>
              <w:ind w:right="48"/>
              <w:spacing w:after="0"/>
              <w:rPr>
                <w:sz w:val="20"/>
                <w:szCs w:val="20"/>
                <w:color w:val="auto"/>
              </w:rPr>
            </w:pPr>
            <w:r>
              <w:rPr>
                <w:rFonts w:ascii="Arial" w:cs="Arial" w:eastAsia="Arial" w:hAnsi="Arial"/>
                <w:sz w:val="14"/>
                <w:szCs w:val="14"/>
                <w:color w:val="auto"/>
                <w:w w:val="96"/>
              </w:rPr>
              <w:t>(55)</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25"/>
        </w:trPr>
        <w:tc>
          <w:tcPr>
            <w:tcW w:w="3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23"/>
        </w:trPr>
        <w:tc>
          <w:tcPr>
            <w:tcW w:w="380" w:type="dxa"/>
            <w:vAlign w:val="bottom"/>
          </w:tcPr>
          <w:p>
            <w:pPr>
              <w:jc w:val="right"/>
              <w:ind w:right="48"/>
              <w:spacing w:after="0"/>
              <w:rPr>
                <w:sz w:val="20"/>
                <w:szCs w:val="20"/>
                <w:color w:val="auto"/>
              </w:rPr>
            </w:pPr>
            <w:r>
              <w:rPr>
                <w:rFonts w:ascii="Arial" w:cs="Arial" w:eastAsia="Arial" w:hAnsi="Arial"/>
                <w:sz w:val="14"/>
                <w:szCs w:val="14"/>
                <w:color w:val="auto"/>
                <w:w w:val="96"/>
              </w:rPr>
              <w:t>(30)</w:t>
            </w: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338"/>
        </w:trPr>
        <w:tc>
          <w:tcPr>
            <w:tcW w:w="3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7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41"/>
        </w:trPr>
        <w:tc>
          <w:tcPr>
            <w:tcW w:w="3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315"/>
        </w:trPr>
        <w:tc>
          <w:tcPr>
            <w:tcW w:w="3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7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380" w:type="dxa"/>
            <w:vAlign w:val="bottom"/>
          </w:tcPr>
          <w:p>
            <w:pPr>
              <w:jc w:val="right"/>
              <w:ind w:right="48"/>
              <w:spacing w:after="0"/>
              <w:rPr>
                <w:sz w:val="20"/>
                <w:szCs w:val="20"/>
                <w:color w:val="auto"/>
              </w:rPr>
            </w:pPr>
            <w:r>
              <w:rPr>
                <w:rFonts w:ascii="Arial" w:cs="Arial" w:eastAsia="Arial" w:hAnsi="Arial"/>
                <w:sz w:val="14"/>
                <w:szCs w:val="14"/>
                <w:color w:val="auto"/>
                <w:w w:val="96"/>
              </w:rPr>
              <w:t>(34)</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r>
      <w:tr>
        <w:trPr>
          <w:trHeight w:val="25"/>
        </w:trPr>
        <w:tc>
          <w:tcPr>
            <w:tcW w:w="3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-33655</wp:posOffset>
            </wp:positionV>
            <wp:extent cx="10033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-7620</wp:posOffset>
            </wp:positionV>
            <wp:extent cx="10033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-170815</wp:posOffset>
            </wp:positionV>
            <wp:extent cx="10033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-385445</wp:posOffset>
            </wp:positionV>
            <wp:extent cx="10033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-1062355</wp:posOffset>
            </wp:positionV>
            <wp:extent cx="10033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-1036320</wp:posOffset>
            </wp:positionV>
            <wp:extent cx="10033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-1199515</wp:posOffset>
            </wp:positionV>
            <wp:extent cx="10033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-826770</wp:posOffset>
            </wp:positionH>
            <wp:positionV relativeFrom="paragraph">
              <wp:posOffset>-1413510</wp:posOffset>
            </wp:positionV>
            <wp:extent cx="10033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4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w:t>
            </w:r>
          </w:p>
        </w:tc>
      </w:tr>
      <w:tr>
        <w:trPr>
          <w:trHeight w:val="335"/>
        </w:trPr>
        <w:tc>
          <w:tcPr>
            <w:tcW w:w="6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341"/>
        </w:trPr>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318"/>
        </w:trPr>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196"/>
        </w:trPr>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r>
      <w:tr>
        <w:trPr>
          <w:trHeight w:val="25"/>
        </w:trPr>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23"/>
        </w:trPr>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4"/>
                <w:szCs w:val="24"/>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338"/>
        </w:trPr>
        <w:tc>
          <w:tcPr>
            <w:tcW w:w="6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341"/>
        </w:trPr>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318"/>
        </w:trPr>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r>
      <w:tr>
        <w:trPr>
          <w:trHeight w:val="25"/>
        </w:trPr>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ectPr>
          <w:pgSz w:w="11900" w:h="16838" w:orient="portrait"/>
          <w:cols w:equalWidth="0" w:num="3">
            <w:col w:w="4106" w:space="720"/>
            <w:col w:w="1960" w:space="120"/>
            <w:col w:w="3840"/>
          </w:cols>
          <w:pgMar w:left="814" w:top="931" w:right="339" w:bottom="1440" w:gutter="0" w:footer="0" w:header="0"/>
          <w:type w:val="continuous"/>
        </w:sectPr>
      </w:pPr>
    </w:p>
    <w:p>
      <w:pPr>
        <w:ind w:left="6"/>
        <w:spacing w:after="0"/>
        <w:rPr>
          <w:sz w:val="20"/>
          <w:szCs w:val="20"/>
          <w:color w:val="auto"/>
        </w:rPr>
      </w:pPr>
      <w:r>
        <w:rPr>
          <w:rFonts w:ascii="Arial" w:cs="Arial" w:eastAsia="Arial" w:hAnsi="Arial"/>
          <w:sz w:val="16"/>
          <w:szCs w:val="16"/>
          <w:color w:val="auto"/>
        </w:rPr>
        <w:t>________</w:t>
      </w:r>
    </w:p>
    <w:p>
      <w:pPr>
        <w:spacing w:after="0" w:line="131" w:lineRule="exact"/>
        <w:rPr>
          <w:sz w:val="20"/>
          <w:szCs w:val="20"/>
          <w:color w:val="auto"/>
        </w:rPr>
      </w:pPr>
    </w:p>
    <w:p>
      <w:pPr>
        <w:jc w:val="both"/>
        <w:ind w:left="6"/>
        <w:spacing w:after="0" w:line="257"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$108 million gain, net of tax, as of March 31, 2024 related to our hedge of our investment in euro-denominated foreign operations (see Note 16 – Financial Instruments).</w:t>
      </w:r>
    </w:p>
    <w:p>
      <w:pPr>
        <w:spacing w:after="0" w:line="1" w:lineRule="exact"/>
        <w:rPr>
          <w:sz w:val="20"/>
          <w:szCs w:val="20"/>
          <w:color w:val="auto"/>
        </w:rPr>
      </w:pPr>
    </w:p>
    <w:p>
      <w:pPr>
        <w:ind w:left="326" w:hanging="326"/>
        <w:spacing w:after="0" w:line="227" w:lineRule="auto"/>
        <w:tabs>
          <w:tab w:leader="none" w:pos="319"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2024 and 2023, the amounts reclassified from accumulated other comprehensive income (loss) into corporate interest expense were gains of $7 million ($5 million, net of tax) and gains of $3 million ($2 million, net of tax), respectively.</w:t>
      </w:r>
    </w:p>
    <w:p>
      <w:pPr>
        <w:ind w:left="326" w:hanging="326"/>
        <w:spacing w:after="0" w:line="213" w:lineRule="auto"/>
        <w:tabs>
          <w:tab w:leader="none" w:pos="319"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2024 and 2023, amounts reclassified from accumulated other comprehensive income (loss) into selling, general and administrative expenses were losses of $1 million ($1 million, net of tax), in each period.</w:t>
      </w:r>
    </w:p>
    <w:p>
      <w:pPr>
        <w:spacing w:after="0" w:line="200" w:lineRule="exact"/>
        <w:rPr>
          <w:sz w:val="20"/>
          <w:szCs w:val="20"/>
          <w:color w:val="auto"/>
        </w:rPr>
      </w:pPr>
    </w:p>
    <w:p>
      <w:pPr>
        <w:spacing w:after="0" w:line="371"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type w:val="continuous"/>
        </w:sectPr>
      </w:pPr>
    </w:p>
    <w:bookmarkStart w:id="23" w:name="page24"/>
    <w:bookmarkEnd w:id="23"/>
    <w:p>
      <w:pPr>
        <w:jc w:val="both"/>
        <w:ind w:left="442" w:right="8380" w:hanging="442"/>
        <w:spacing w:after="0" w:line="563" w:lineRule="auto"/>
        <w:tabs>
          <w:tab w:leader="none" w:pos="456"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SRS Mobility Ventures, LLC</w:t>
      </w:r>
    </w:p>
    <w:p>
      <w:pPr>
        <w:ind w:left="442"/>
        <w:spacing w:after="0" w:line="287" w:lineRule="auto"/>
        <w:rPr>
          <w:rFonts w:ascii="Arial" w:cs="Arial" w:eastAsia="Arial" w:hAnsi="Arial"/>
          <w:sz w:val="17"/>
          <w:szCs w:val="17"/>
          <w:b w:val="1"/>
          <w:bCs w:val="1"/>
          <w:color w:val="auto"/>
        </w:rPr>
      </w:pPr>
      <w:r>
        <w:rPr>
          <w:rFonts w:ascii="Arial" w:cs="Arial" w:eastAsia="Arial" w:hAnsi="Arial"/>
          <w:sz w:val="18"/>
          <w:szCs w:val="18"/>
          <w:color w:val="auto"/>
        </w:rPr>
        <w:t>In 2021, SRS Mobility Ventures, LLC acquired a 33 1/3% Class A Membership Interest in one of our subsidiaries at fair value of $37.5 million. SRS Mobility Ventures, LLC is an affiliate of our largest shareholder, SRS Investment Management, LLC.</w:t>
      </w:r>
    </w:p>
    <w:p>
      <w:pPr>
        <w:spacing w:after="0" w:line="179" w:lineRule="exact"/>
        <w:rPr>
          <w:rFonts w:ascii="Arial" w:cs="Arial" w:eastAsia="Arial" w:hAnsi="Arial"/>
          <w:sz w:val="17"/>
          <w:szCs w:val="17"/>
          <w:b w:val="1"/>
          <w:bCs w:val="1"/>
          <w:color w:val="auto"/>
        </w:rPr>
      </w:pPr>
    </w:p>
    <w:p>
      <w:pPr>
        <w:jc w:val="both"/>
        <w:ind w:left="442"/>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On September 1, 2022, through the issuance of Class B Preferred Voting Membership Interests, SRS Mobility Ventures, LLC increased their ownership in this subsidiary to 51% at a fair value of $62 million. As a result, we deconsolidated our former subsidiary, Avis Mobility Ventures LLC (“AMV”), from our financial statements and began to report our proportional share of the former subsidiary’s income or loss within other (income) expense, net in our Consolidated Condensed Statements of Comprehensive Income as we do not have the ability to direct the significant activities of the former subsidiary and are therefore no longer primary beneficiary of the VIE. In August and October 2023, SRS made capital contributions to AMV, increasing their ownership to approximately 65%.</w:t>
      </w:r>
    </w:p>
    <w:p>
      <w:pPr>
        <w:spacing w:after="0" w:line="209" w:lineRule="exact"/>
        <w:rPr>
          <w:rFonts w:ascii="Arial" w:cs="Arial" w:eastAsia="Arial" w:hAnsi="Arial"/>
          <w:sz w:val="17"/>
          <w:szCs w:val="17"/>
          <w:b w:val="1"/>
          <w:bCs w:val="1"/>
          <w:color w:val="auto"/>
        </w:rPr>
      </w:pPr>
    </w:p>
    <w:p>
      <w:pPr>
        <w:jc w:val="both"/>
        <w:ind w:left="442"/>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In accordance with ASC Topic 810-10-40, we must deconsolidate a subsidiary as of the date we cease to have a controlling interest in that subsidiary and recognize the gain or loss in net income at that time. The fair value of our retained investment was determined utilizing a discounted cash flow methodology based on various assumptions, including projections of future cash flows, which include forecast of future revenue and EBITDA. Upon deconsolidation, our former subsidiary had a net asset carrying amount of $49 million resulting in a gain of $10 million.</w:t>
      </w:r>
    </w:p>
    <w:p>
      <w:pPr>
        <w:spacing w:after="0" w:line="206" w:lineRule="exact"/>
        <w:rPr>
          <w:rFonts w:ascii="Arial" w:cs="Arial" w:eastAsia="Arial" w:hAnsi="Arial"/>
          <w:sz w:val="17"/>
          <w:szCs w:val="17"/>
          <w:b w:val="1"/>
          <w:bCs w:val="1"/>
          <w:color w:val="auto"/>
        </w:rPr>
      </w:pPr>
    </w:p>
    <w:p>
      <w:pPr>
        <w:jc w:val="both"/>
        <w:ind w:left="442"/>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We continue to provide vehicles, related fleet services, and certain administrative services to AMV to support their operations. For the three months ended March 31, 2024 and 2023, we recorded $2 million and $8 million of related income within other (income) expense, net, respectively. For the three months ended March 31, 2024 and 2023, we recorded losses of $3 million and $6 million within other (income) expense, net, related to our equity investment, respectively.</w:t>
      </w:r>
    </w:p>
    <w:p>
      <w:pPr>
        <w:spacing w:after="0" w:line="203" w:lineRule="exact"/>
        <w:rPr>
          <w:rFonts w:ascii="Arial" w:cs="Arial" w:eastAsia="Arial" w:hAnsi="Arial"/>
          <w:sz w:val="17"/>
          <w:szCs w:val="17"/>
          <w:b w:val="1"/>
          <w:bCs w:val="1"/>
          <w:color w:val="auto"/>
        </w:rPr>
      </w:pPr>
    </w:p>
    <w:p>
      <w:pPr>
        <w:jc w:val="both"/>
        <w:ind w:left="442"/>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As of March 31, 2024 and December 31, 2023, receivables from AMV related to these services were $10 million and $2 million, respectively, and our net investment in vehicle finance lease with AMV, which is included in vehicles, net, was $36 million and $31 million, respectively. The carrying value of our equity investment in AMV as of March 31, 2024 and December 31, 2023 was approximately $21 million and $24 million, respectively, which is included in other non-current assets.</w:t>
      </w:r>
    </w:p>
    <w:p>
      <w:pPr>
        <w:spacing w:after="0" w:line="203" w:lineRule="exact"/>
        <w:rPr>
          <w:rFonts w:ascii="Arial" w:cs="Arial" w:eastAsia="Arial" w:hAnsi="Arial"/>
          <w:sz w:val="17"/>
          <w:szCs w:val="17"/>
          <w:b w:val="1"/>
          <w:bCs w:val="1"/>
          <w:color w:val="auto"/>
        </w:rPr>
      </w:pPr>
    </w:p>
    <w:p>
      <w:pPr>
        <w:ind w:left="442" w:hanging="442"/>
        <w:spacing w:after="0"/>
        <w:tabs>
          <w:tab w:leader="none" w:pos="44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2" w:lineRule="exact"/>
        <w:rPr>
          <w:rFonts w:ascii="Arial" w:cs="Arial" w:eastAsia="Arial" w:hAnsi="Arial"/>
          <w:sz w:val="18"/>
          <w:szCs w:val="18"/>
          <w:b w:val="1"/>
          <w:bCs w:val="1"/>
          <w:color w:val="auto"/>
        </w:rPr>
      </w:pPr>
    </w:p>
    <w:p>
      <w:pPr>
        <w:ind w:left="442"/>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We recorded stock-based compensation expense of $7 million and $8 million ($5 million and $6 million, net of tax) during the three months ended March 31, 2024 and 2023, respectively</w:t>
      </w:r>
      <w:r>
        <w:rPr>
          <w:rFonts w:ascii="Times New Roman" w:cs="Times New Roman" w:eastAsia="Times New Roman" w:hAnsi="Times New Roman"/>
          <w:sz w:val="18"/>
          <w:szCs w:val="18"/>
          <w:color w:val="auto"/>
        </w:rPr>
        <w:t>.</w:t>
      </w:r>
    </w:p>
    <w:p>
      <w:pPr>
        <w:spacing w:after="0" w:line="180" w:lineRule="exact"/>
        <w:rPr>
          <w:rFonts w:ascii="Arial" w:cs="Arial" w:eastAsia="Arial" w:hAnsi="Arial"/>
          <w:sz w:val="18"/>
          <w:szCs w:val="18"/>
          <w:b w:val="1"/>
          <w:bCs w:val="1"/>
          <w:color w:val="auto"/>
        </w:rPr>
      </w:pPr>
    </w:p>
    <w:p>
      <w:pPr>
        <w:jc w:val="both"/>
        <w:ind w:left="44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part of our declaration and payment of a special cash dividend in December 2023, we granted additional restricted stock units (“RSUs”) to our award holders with unvested shares as a dividend equivalent, which has been deferred until, and will not be paid unless, the shares of stock underlying the award vest.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1174" w:right="339" w:bottom="1440" w:gutter="0" w:footer="0" w:header="0"/>
        </w:sectPr>
      </w:pPr>
    </w:p>
    <w:bookmarkStart w:id="24" w:name="page25"/>
    <w:bookmarkEnd w:id="24"/>
    <w:p>
      <w:pPr>
        <w:ind w:left="442"/>
        <w:spacing w:after="0"/>
        <w:rPr>
          <w:sz w:val="20"/>
          <w:szCs w:val="20"/>
          <w:color w:val="auto"/>
        </w:rPr>
      </w:pPr>
      <w:r>
        <w:rPr>
          <w:rFonts w:ascii="Arial" w:cs="Arial" w:eastAsia="Arial" w:hAnsi="Arial"/>
          <w:sz w:val="18"/>
          <w:szCs w:val="18"/>
          <w:color w:val="auto"/>
        </w:rPr>
        <w:t>The activity related to RSUs consisted of (in thousands of shares):</w:t>
      </w:r>
    </w:p>
    <w:p>
      <w:pPr>
        <w:spacing w:after="0" w:line="47" w:lineRule="exact"/>
        <w:rPr>
          <w:sz w:val="20"/>
          <w:szCs w:val="20"/>
          <w:color w:val="auto"/>
        </w:rPr>
      </w:pPr>
    </w:p>
    <w:tbl>
      <w:tblPr>
        <w:tblLayout w:type="fixed"/>
        <w:tblInd w:w="462"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80" w:type="dxa"/>
            <w:vAlign w:val="bottom"/>
          </w:tcPr>
          <w:p>
            <w:pPr>
              <w:spacing w:after="0"/>
              <w:rPr>
                <w:sz w:val="14"/>
                <w:szCs w:val="14"/>
                <w:color w:val="auto"/>
              </w:rPr>
            </w:pPr>
          </w:p>
        </w:tc>
        <w:tc>
          <w:tcPr>
            <w:tcW w:w="11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4680" w:type="dxa"/>
            <w:vAlign w:val="bottom"/>
          </w:tcPr>
          <w:p>
            <w:pPr>
              <w:spacing w:after="0"/>
              <w:rPr>
                <w:sz w:val="12"/>
                <w:szCs w:val="12"/>
                <w:color w:val="auto"/>
              </w:rPr>
            </w:pP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Average</w:t>
            </w:r>
          </w:p>
        </w:tc>
        <w:tc>
          <w:tcPr>
            <w:tcW w:w="17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Grant Date</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 Term</w:t>
            </w:r>
          </w:p>
        </w:tc>
        <w:tc>
          <w:tcPr>
            <w:tcW w:w="8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Time-based RSUs</w:t>
            </w: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6"/>
                <w:szCs w:val="16"/>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0"/>
        </w:trPr>
        <w:tc>
          <w:tcPr>
            <w:tcW w:w="4680" w:type="dxa"/>
            <w:vAlign w:val="bottom"/>
            <w:vMerge w:val="continue"/>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January 1, 2024</w:t>
            </w:r>
          </w:p>
        </w:tc>
        <w:tc>
          <w:tcPr>
            <w:tcW w:w="1140" w:type="dxa"/>
            <w:vAlign w:val="bottom"/>
          </w:tcPr>
          <w:p>
            <w:pPr>
              <w:jc w:val="right"/>
              <w:spacing w:after="0"/>
              <w:rPr>
                <w:sz w:val="20"/>
                <w:szCs w:val="20"/>
                <w:color w:val="auto"/>
              </w:rPr>
            </w:pPr>
            <w:r>
              <w:rPr>
                <w:rFonts w:ascii="Arial" w:cs="Arial" w:eastAsia="Arial" w:hAnsi="Arial"/>
                <w:sz w:val="14"/>
                <w:szCs w:val="14"/>
                <w:color w:val="auto"/>
              </w:rPr>
              <w:t>290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161.87</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80" w:type="dxa"/>
            <w:vAlign w:val="bottom"/>
          </w:tcPr>
          <w:p>
            <w:pPr>
              <w:ind w:left="36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14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113.10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80" w:type="dxa"/>
            <w:vAlign w:val="bottom"/>
          </w:tcPr>
          <w:p>
            <w:pPr>
              <w:ind w:left="36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14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125.57</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8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180.27</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80" w:type="dxa"/>
            <w:vAlign w:val="bottom"/>
          </w:tcPr>
          <w:p>
            <w:pPr>
              <w:ind w:left="160"/>
              <w:spacing w:after="0" w:line="200" w:lineRule="exact"/>
              <w:rPr>
                <w:sz w:val="20"/>
                <w:szCs w:val="20"/>
                <w:color w:val="auto"/>
              </w:rPr>
            </w:pPr>
            <w:r>
              <w:rPr>
                <w:rFonts w:ascii="Arial" w:cs="Arial" w:eastAsia="Arial" w:hAnsi="Arial"/>
                <w:sz w:val="14"/>
                <w:szCs w:val="14"/>
                <w:color w:val="auto"/>
              </w:rPr>
              <w:t xml:space="preserve">Outstanding and expected to vest at March 31, 2024 </w:t>
            </w:r>
            <w:r>
              <w:rPr>
                <w:rFonts w:ascii="Arial" w:cs="Arial" w:eastAsia="Arial" w:hAnsi="Arial"/>
                <w:sz w:val="18"/>
                <w:szCs w:val="18"/>
                <w:color w:val="auto"/>
                <w:vertAlign w:val="superscript"/>
              </w:rPr>
              <w:t>(c)</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153.71</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RSUs</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January 1, 2024</w:t>
            </w:r>
          </w:p>
        </w:tc>
        <w:tc>
          <w:tcPr>
            <w:tcW w:w="1140" w:type="dxa"/>
            <w:vAlign w:val="bottom"/>
          </w:tcPr>
          <w:p>
            <w:pPr>
              <w:jc w:val="right"/>
              <w:spacing w:after="0"/>
              <w:rPr>
                <w:sz w:val="20"/>
                <w:szCs w:val="20"/>
                <w:color w:val="auto"/>
              </w:rPr>
            </w:pPr>
            <w:r>
              <w:rPr>
                <w:rFonts w:ascii="Arial" w:cs="Arial" w:eastAsia="Arial" w:hAnsi="Arial"/>
                <w:sz w:val="14"/>
                <w:szCs w:val="14"/>
                <w:color w:val="auto"/>
              </w:rPr>
              <w:t>411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128.77</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80" w:type="dxa"/>
            <w:vAlign w:val="bottom"/>
          </w:tcPr>
          <w:p>
            <w:pPr>
              <w:ind w:left="36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14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113.10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80" w:type="dxa"/>
            <w:vAlign w:val="bottom"/>
          </w:tcPr>
          <w:p>
            <w:pPr>
              <w:ind w:left="36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14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68.54</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8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154.07</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March 31, 2024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162.12</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1"/>
        </w:trPr>
        <w:tc>
          <w:tcPr>
            <w:tcW w:w="4680" w:type="dxa"/>
            <w:vAlign w:val="bottom"/>
            <w:vMerge w:val="restart"/>
          </w:tcPr>
          <w:p>
            <w:pPr>
              <w:ind w:left="160"/>
              <w:spacing w:after="0"/>
              <w:rPr>
                <w:sz w:val="20"/>
                <w:szCs w:val="20"/>
                <w:color w:val="auto"/>
              </w:rPr>
            </w:pPr>
            <w:r>
              <w:rPr>
                <w:rFonts w:ascii="Arial" w:cs="Arial" w:eastAsia="Arial" w:hAnsi="Arial"/>
                <w:sz w:val="14"/>
                <w:szCs w:val="14"/>
                <w:color w:val="auto"/>
              </w:rPr>
              <w:t xml:space="preserve">Outstanding and expected to vest at March 31, 2024 </w:t>
            </w:r>
            <w:r>
              <w:rPr>
                <w:rFonts w:ascii="Arial" w:cs="Arial" w:eastAsia="Arial" w:hAnsi="Arial"/>
                <w:sz w:val="18"/>
                <w:szCs w:val="18"/>
                <w:color w:val="auto"/>
                <w:vertAlign w:val="superscript"/>
              </w:rPr>
              <w:t>(c)</w:t>
            </w: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156.64</w:t>
            </w:r>
          </w:p>
        </w:tc>
        <w:tc>
          <w:tcPr>
            <w:tcW w:w="10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45"/>
        </w:trPr>
        <w:tc>
          <w:tcPr>
            <w:tcW w:w="468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199</w:t>
            </w:r>
          </w:p>
        </w:tc>
        <w:tc>
          <w:tcPr>
            <w:tcW w:w="26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118" w:lineRule="exact"/>
        <w:rPr>
          <w:sz w:val="20"/>
          <w:szCs w:val="20"/>
          <w:color w:val="auto"/>
        </w:rPr>
      </w:pPr>
    </w:p>
    <w:p>
      <w:pPr>
        <w:jc w:val="both"/>
        <w:ind w:left="762" w:hanging="326"/>
        <w:spacing w:after="0" w:line="297" w:lineRule="auto"/>
        <w:tabs>
          <w:tab w:leader="none" w:pos="755" w:val="left"/>
        </w:tabs>
        <w:numPr>
          <w:ilvl w:val="1"/>
          <w:numId w:val="29"/>
        </w:numPr>
        <w:rPr>
          <w:rFonts w:ascii="Arial" w:cs="Arial" w:eastAsia="Arial" w:hAnsi="Arial"/>
          <w:sz w:val="9"/>
          <w:szCs w:val="9"/>
          <w:color w:val="auto"/>
        </w:rPr>
      </w:pPr>
      <w:r>
        <w:rPr>
          <w:rFonts w:ascii="Arial" w:cs="Arial" w:eastAsia="Arial" w:hAnsi="Arial"/>
          <w:sz w:val="14"/>
          <w:szCs w:val="14"/>
          <w:color w:val="auto"/>
        </w:rPr>
        <w:t>Reflects the maximum number of stock units assuming achievement of all performance- and time-vesting criteria and does not include those for non-employee directors. The weighted-average fair value of time-based RSUs and performance-based RSUs granted during the three months ended March 31, 2023 was $208.84.</w:t>
      </w:r>
    </w:p>
    <w:p>
      <w:pPr>
        <w:spacing w:after="0" w:line="142" w:lineRule="exact"/>
        <w:rPr>
          <w:rFonts w:ascii="Arial" w:cs="Arial" w:eastAsia="Arial" w:hAnsi="Arial"/>
          <w:sz w:val="9"/>
          <w:szCs w:val="9"/>
          <w:color w:val="auto"/>
        </w:rPr>
      </w:pPr>
    </w:p>
    <w:p>
      <w:pPr>
        <w:ind w:left="762" w:hanging="326"/>
        <w:spacing w:after="0" w:line="192" w:lineRule="auto"/>
        <w:tabs>
          <w:tab w:leader="none" w:pos="762" w:val="left"/>
        </w:tabs>
        <w:numPr>
          <w:ilvl w:val="1"/>
          <w:numId w:val="29"/>
        </w:numPr>
        <w:rPr>
          <w:rFonts w:ascii="Arial" w:cs="Arial" w:eastAsia="Arial" w:hAnsi="Arial"/>
          <w:sz w:val="19"/>
          <w:szCs w:val="19"/>
          <w:color w:val="auto"/>
          <w:vertAlign w:val="superscript"/>
        </w:rPr>
      </w:pPr>
      <w:r>
        <w:rPr>
          <w:rFonts w:ascii="Arial" w:cs="Arial" w:eastAsia="Arial" w:hAnsi="Arial"/>
          <w:sz w:val="14"/>
          <w:szCs w:val="14"/>
          <w:color w:val="auto"/>
        </w:rPr>
        <w:t>The total fair value of RSUs vested during the three months ended March 31, 2024 and 2023 was $27 million and $17 million, respectively.</w:t>
      </w:r>
    </w:p>
    <w:p>
      <w:pPr>
        <w:ind w:left="762" w:hanging="326"/>
        <w:spacing w:after="0" w:line="213" w:lineRule="auto"/>
        <w:tabs>
          <w:tab w:leader="none" w:pos="749" w:val="left"/>
        </w:tabs>
        <w:numPr>
          <w:ilvl w:val="1"/>
          <w:numId w:val="29"/>
        </w:numPr>
        <w:rPr>
          <w:rFonts w:ascii="Arial" w:cs="Arial" w:eastAsia="Arial" w:hAnsi="Arial"/>
          <w:sz w:val="19"/>
          <w:szCs w:val="19"/>
          <w:color w:val="auto"/>
          <w:vertAlign w:val="superscript"/>
        </w:rPr>
      </w:pPr>
      <w:r>
        <w:rPr>
          <w:rFonts w:ascii="Arial" w:cs="Arial" w:eastAsia="Arial" w:hAnsi="Arial"/>
          <w:sz w:val="14"/>
          <w:szCs w:val="14"/>
          <w:color w:val="auto"/>
        </w:rPr>
        <w:t>Aggregate unrecognized compensation expense related to time-based RSUs and performance-based RSUs amounted to $57 million and will be recognized over a weighted average vesting period of 1.8 years.</w:t>
      </w:r>
    </w:p>
    <w:p>
      <w:pPr>
        <w:spacing w:after="0" w:line="220" w:lineRule="exact"/>
        <w:rPr>
          <w:rFonts w:ascii="Arial" w:cs="Arial" w:eastAsia="Arial" w:hAnsi="Arial"/>
          <w:sz w:val="19"/>
          <w:szCs w:val="19"/>
          <w:color w:val="auto"/>
          <w:vertAlign w:val="superscript"/>
        </w:rPr>
      </w:pPr>
    </w:p>
    <w:p>
      <w:pPr>
        <w:ind w:left="442" w:hanging="442"/>
        <w:spacing w:after="0"/>
        <w:tabs>
          <w:tab w:leader="none" w:pos="44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4"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250" w:lineRule="exact"/>
        <w:rPr>
          <w:rFonts w:ascii="Arial" w:cs="Arial" w:eastAsia="Arial" w:hAnsi="Arial"/>
          <w:sz w:val="18"/>
          <w:szCs w:val="18"/>
          <w:b w:val="1"/>
          <w:bCs w:val="1"/>
          <w:color w:val="auto"/>
        </w:rPr>
      </w:pPr>
    </w:p>
    <w:p>
      <w:pPr>
        <w:jc w:val="both"/>
        <w:ind w:left="442"/>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We use currency exchange contracts to manage our exposure to changes in currency exchange rates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non-U.S.-dollar denominated receivables and forecasted royalties, forecasted earnings of non-U.S. subsidiaries and forecasted non-U.S.-dollar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We have designated our euro-denominated notes as a hedge of our investment in euro-denominated foreign operations.</w:t>
      </w:r>
    </w:p>
    <w:p>
      <w:pPr>
        <w:spacing w:after="0" w:line="211"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estimated net amount of existing gains or losses we expect to reclassify from accumulated other comprehensive income (loss) to earnings for cash flow and net investment hedges over the next 12 months is not material.</w:t>
      </w:r>
    </w:p>
    <w:p>
      <w:pPr>
        <w:spacing w:after="0" w:line="179" w:lineRule="exact"/>
        <w:rPr>
          <w:rFonts w:ascii="Arial" w:cs="Arial" w:eastAsia="Arial" w:hAnsi="Arial"/>
          <w:sz w:val="18"/>
          <w:szCs w:val="18"/>
          <w:b w:val="1"/>
          <w:bCs w:val="1"/>
          <w:color w:val="auto"/>
        </w:rPr>
      </w:pPr>
    </w:p>
    <w:p>
      <w:pPr>
        <w:jc w:val="both"/>
        <w:ind w:left="442"/>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use various hedging strategies including interest rate swaps and interest rate caps to create what we deem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 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$26 million of gain currently recorded in accumulated other comprehensive income (loss) will be recognized in earnings over the next 12 months.</w:t>
      </w:r>
    </w:p>
    <w:p>
      <w:pPr>
        <w:spacing w:after="0" w:line="200" w:lineRule="exact"/>
        <w:rPr>
          <w:sz w:val="20"/>
          <w:szCs w:val="20"/>
          <w:color w:val="auto"/>
        </w:rPr>
      </w:pPr>
    </w:p>
    <w:p>
      <w:pPr>
        <w:spacing w:after="0" w:line="359"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25" w:name="page26"/>
    <w:bookmarkEnd w:id="25"/>
    <w:p>
      <w:pPr>
        <w:jc w:val="both"/>
        <w:ind w:left="6"/>
        <w:spacing w:after="0" w:line="268"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We periodically enter into derivative commodity contracts to manage our exposure to changes in the price of fuel.</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 were designated as freestanding derivatives and the changes in fair value are recorded in earnings and are presented in the same line of the income statement expected for the hedged item.</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8"/>
          <w:szCs w:val="18"/>
          <w:color w:val="auto"/>
        </w:rPr>
        <w:t>We held derivative instruments with absolute notional values as follows:</w:t>
      </w:r>
    </w:p>
    <w:p>
      <w:pPr>
        <w:spacing w:after="0" w:line="33"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tcPr>
          <w:p>
            <w:pPr>
              <w:jc w:val="right"/>
              <w:ind w:right="939"/>
              <w:spacing w:after="0"/>
              <w:rPr>
                <w:sz w:val="20"/>
                <w:szCs w:val="20"/>
                <w:color w:val="auto"/>
              </w:rPr>
            </w:pPr>
            <w:r>
              <w:rPr>
                <w:rFonts w:ascii="Arial" w:cs="Arial" w:eastAsia="Arial" w:hAnsi="Arial"/>
                <w:sz w:val="16"/>
                <w:szCs w:val="16"/>
                <w:b w:val="1"/>
                <w:bCs w:val="1"/>
                <w:color w:val="auto"/>
              </w:rPr>
              <w:t>As of</w:t>
            </w:r>
          </w:p>
        </w:tc>
      </w:tr>
      <w:tr>
        <w:trPr>
          <w:trHeight w:val="216"/>
        </w:trPr>
        <w:tc>
          <w:tcPr>
            <w:tcW w:w="7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March 31, 2024</w:t>
            </w:r>
          </w:p>
        </w:tc>
      </w:tr>
      <w:tr>
        <w:trPr>
          <w:trHeight w:val="208"/>
        </w:trPr>
        <w:tc>
          <w:tcPr>
            <w:tcW w:w="762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2,062</w:t>
            </w:r>
          </w:p>
        </w:tc>
      </w:tr>
      <w:tr>
        <w:trPr>
          <w:trHeight w:val="217"/>
        </w:trPr>
        <w:tc>
          <w:tcPr>
            <w:tcW w:w="7620" w:type="dxa"/>
            <w:vAlign w:val="bottom"/>
          </w:tcPr>
          <w:p>
            <w:pPr>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15,835</w:t>
            </w:r>
          </w:p>
        </w:tc>
      </w:tr>
      <w:tr>
        <w:trPr>
          <w:trHeight w:val="215"/>
        </w:trPr>
        <w:tc>
          <w:tcPr>
            <w:tcW w:w="7620" w:type="dxa"/>
            <w:vAlign w:val="bottom"/>
          </w:tcPr>
          <w:p>
            <w:pPr>
              <w:spacing w:after="0"/>
              <w:rPr>
                <w:sz w:val="20"/>
                <w:szCs w:val="20"/>
                <w:color w:val="auto"/>
              </w:rPr>
            </w:pPr>
            <w:r>
              <w:rPr>
                <w:rFonts w:ascii="Arial" w:cs="Arial" w:eastAsia="Arial" w:hAnsi="Arial"/>
                <w:sz w:val="16"/>
                <w:szCs w:val="16"/>
                <w:color w:val="auto"/>
              </w:rPr>
              <w:t>Interest rate swaps</w:t>
            </w:r>
          </w:p>
        </w:tc>
        <w:tc>
          <w:tcPr>
            <w:tcW w:w="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750</w:t>
            </w:r>
          </w:p>
        </w:tc>
      </w:tr>
    </w:tbl>
    <w:p>
      <w:pPr>
        <w:spacing w:after="0" w:line="96"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37" w:lineRule="exact"/>
        <w:rPr>
          <w:sz w:val="20"/>
          <w:szCs w:val="20"/>
          <w:color w:val="auto"/>
        </w:rPr>
      </w:pPr>
    </w:p>
    <w:p>
      <w:pPr>
        <w:ind w:left="326" w:hanging="326"/>
        <w:spacing w:after="0" w:line="231" w:lineRule="auto"/>
        <w:tabs>
          <w:tab w:leader="none" w:pos="319"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Represents $10.6 billion of interest rate caps sold, partially offset by approximately $5.3 billion of interest rate caps purchased. These amounts exclude $5.9 billion of interest rate caps purchased by our Avis Budget Rental Car Funding subsidiary as it is not consolidated by us.</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8"/>
          <w:szCs w:val="18"/>
          <w:color w:val="auto"/>
        </w:rPr>
        <w:t>Estimated fair values (Level 2) of derivative instruments are as follows:</w:t>
      </w:r>
    </w:p>
    <w:p>
      <w:pPr>
        <w:spacing w:after="0" w:line="54" w:lineRule="exact"/>
        <w:rPr>
          <w:sz w:val="20"/>
          <w:szCs w:val="20"/>
          <w:color w:val="auto"/>
        </w:rPr>
      </w:pPr>
    </w:p>
    <w:tbl>
      <w:tblPr>
        <w:tblLayout w:type="fixed"/>
        <w:tblInd w:w="26" w:type="dxa"/>
        <w:tblCellMar>
          <w:top w:w="0" w:type="dxa"/>
          <w:left w:w="0" w:type="dxa"/>
          <w:bottom w:w="0" w:type="dxa"/>
          <w:right w:w="0" w:type="dxa"/>
        </w:tblCellMar>
      </w:tblPr>
      <w:tr>
        <w:trPr>
          <w:trHeight w:val="217"/>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5"/>
          </w:tcPr>
          <w:p>
            <w:pPr>
              <w:ind w:left="460"/>
              <w:spacing w:after="0"/>
              <w:rPr>
                <w:sz w:val="20"/>
                <w:szCs w:val="20"/>
                <w:color w:val="auto"/>
              </w:rPr>
            </w:pPr>
            <w:r>
              <w:rPr>
                <w:rFonts w:ascii="Arial" w:cs="Arial" w:eastAsia="Arial" w:hAnsi="Arial"/>
                <w:sz w:val="16"/>
                <w:szCs w:val="16"/>
                <w:b w:val="1"/>
                <w:bCs w:val="1"/>
                <w:color w:val="auto"/>
              </w:rPr>
              <w:t>As of March 31, 2024</w:t>
            </w:r>
          </w:p>
        </w:tc>
        <w:tc>
          <w:tcPr>
            <w:tcW w:w="200" w:type="dxa"/>
            <w:vAlign w:val="bottom"/>
          </w:tcPr>
          <w:p>
            <w:pPr>
              <w:spacing w:after="0"/>
              <w:rPr>
                <w:sz w:val="18"/>
                <w:szCs w:val="18"/>
                <w:color w:val="auto"/>
              </w:rPr>
            </w:pPr>
          </w:p>
        </w:tc>
        <w:tc>
          <w:tcPr>
            <w:tcW w:w="272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2023</w:t>
            </w: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rPr>
              <w:t>Fair Value,</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19"/>
              <w:spacing w:after="0" w:line="155" w:lineRule="exact"/>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Derivative</w:t>
            </w:r>
          </w:p>
        </w:tc>
        <w:tc>
          <w:tcPr>
            <w:tcW w:w="20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Derivative</w:t>
            </w:r>
          </w:p>
        </w:tc>
        <w:tc>
          <w:tcPr>
            <w:tcW w:w="200" w:type="dxa"/>
            <w:vAlign w:val="bottom"/>
          </w:tcPr>
          <w:p>
            <w:pPr>
              <w:spacing w:after="0"/>
              <w:rPr>
                <w:sz w:val="14"/>
                <w:szCs w:val="14"/>
                <w:color w:val="auto"/>
              </w:rPr>
            </w:pPr>
          </w:p>
        </w:tc>
        <w:tc>
          <w:tcPr>
            <w:tcW w:w="12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9"/>
              </w:rPr>
              <w:t>Derivative</w:t>
            </w:r>
          </w:p>
        </w:tc>
        <w:tc>
          <w:tcPr>
            <w:tcW w:w="0" w:type="dxa"/>
            <w:vAlign w:val="bottom"/>
          </w:tcPr>
          <w:p>
            <w:pPr>
              <w:spacing w:after="0"/>
              <w:rPr>
                <w:sz w:val="1"/>
                <w:szCs w:val="1"/>
                <w:color w:val="auto"/>
              </w:rPr>
            </w:pPr>
          </w:p>
        </w:tc>
      </w:tr>
      <w:tr>
        <w:trPr>
          <w:trHeight w:val="216"/>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auto"/>
              </w:rPr>
              <w:t>Asset Derivatives</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95"/>
        </w:trPr>
        <w:tc>
          <w:tcPr>
            <w:tcW w:w="420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2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200" w:type="dxa"/>
            <w:vAlign w:val="bottom"/>
          </w:tcPr>
          <w:p>
            <w:pPr>
              <w:ind w:left="200"/>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9"/>
        </w:trPr>
        <w:tc>
          <w:tcPr>
            <w:tcW w:w="4200" w:type="dxa"/>
            <w:vAlign w:val="bottom"/>
          </w:tcPr>
          <w:p>
            <w:pPr>
              <w:ind w:left="20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31" w:lineRule="exact"/>
        <w:rPr>
          <w:sz w:val="20"/>
          <w:szCs w:val="20"/>
          <w:color w:val="auto"/>
        </w:rPr>
      </w:pPr>
    </w:p>
    <w:p>
      <w:pPr>
        <w:ind w:left="6"/>
        <w:spacing w:after="0" w:line="256"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us; however, certain amounts related to the derivatives held by Avis Budget Rental Car Funding are included within accumulated other comprehensive income (loss), as discussed in Note 13 – Stockholders' Equity.</w:t>
      </w:r>
    </w:p>
    <w:p>
      <w:pPr>
        <w:spacing w:after="0" w:line="1" w:lineRule="exact"/>
        <w:rPr>
          <w:sz w:val="20"/>
          <w:szCs w:val="20"/>
          <w:color w:val="auto"/>
        </w:rPr>
      </w:pPr>
    </w:p>
    <w:p>
      <w:pPr>
        <w:ind w:left="326" w:hanging="326"/>
        <w:spacing w:after="0"/>
        <w:tabs>
          <w:tab w:leader="none" w:pos="326" w:val="left"/>
        </w:tabs>
        <w:numPr>
          <w:ilvl w:val="0"/>
          <w:numId w:val="32"/>
        </w:numPr>
        <w:rPr>
          <w:rFonts w:ascii="Arial" w:cs="Arial" w:eastAsia="Arial" w:hAnsi="Arial"/>
          <w:sz w:val="9"/>
          <w:szCs w:val="9"/>
          <w:color w:val="auto"/>
        </w:rPr>
      </w:pPr>
      <w:r>
        <w:rPr>
          <w:rFonts w:ascii="Arial" w:cs="Arial" w:eastAsia="Arial" w:hAnsi="Arial"/>
          <w:sz w:val="14"/>
          <w:szCs w:val="14"/>
          <w:color w:val="auto"/>
        </w:rPr>
        <w:t>Included in other non-current assets or other non-current liabilities.</w:t>
      </w:r>
    </w:p>
    <w:p>
      <w:pPr>
        <w:spacing w:after="0" w:line="14" w:lineRule="exact"/>
        <w:rPr>
          <w:rFonts w:ascii="Arial" w:cs="Arial" w:eastAsia="Arial" w:hAnsi="Arial"/>
          <w:sz w:val="9"/>
          <w:szCs w:val="9"/>
          <w:color w:val="auto"/>
        </w:rPr>
      </w:pPr>
    </w:p>
    <w:p>
      <w:pPr>
        <w:ind w:left="326" w:hanging="326"/>
        <w:spacing w:after="0" w:line="192" w:lineRule="auto"/>
        <w:tabs>
          <w:tab w:leader="none" w:pos="326"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Included in other current assets or other current liabilities.</w:t>
      </w:r>
    </w:p>
    <w:p>
      <w:pPr>
        <w:ind w:left="306" w:hanging="306"/>
        <w:spacing w:after="0" w:line="193" w:lineRule="auto"/>
        <w:tabs>
          <w:tab w:leader="none" w:pos="306"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19"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effects of derivatives recognized in our Consolidated Condensed Financial Statements are as follows:</w:t>
      </w:r>
    </w:p>
    <w:p>
      <w:pPr>
        <w:spacing w:after="0" w:line="276"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248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March 31,</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724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724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7240" w:type="dxa"/>
            <w:vAlign w:val="bottom"/>
          </w:tcPr>
          <w:p>
            <w:pPr>
              <w:spacing w:after="0" w:line="216" w:lineRule="exact"/>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(d)</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240" w:type="dxa"/>
            <w:vAlign w:val="bottom"/>
          </w:tcPr>
          <w:p>
            <w:pPr>
              <w:ind w:left="160"/>
              <w:spacing w:after="0" w:line="227"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7240" w:type="dxa"/>
            <w:vAlign w:val="bottom"/>
          </w:tcPr>
          <w:p>
            <w:pPr>
              <w:ind w:left="16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103" w:lineRule="exact"/>
        <w:rPr>
          <w:sz w:val="20"/>
          <w:szCs w:val="20"/>
          <w:color w:val="auto"/>
        </w:rPr>
      </w:pPr>
    </w:p>
    <w:p>
      <w:pPr>
        <w:ind w:left="326" w:hanging="326"/>
        <w:spacing w:after="0"/>
        <w:tabs>
          <w:tab w:leader="none" w:pos="326"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Recognized, net of tax, as a component of accumulated other comprehensive income (loss) within stockholders’ equity.</w:t>
      </w:r>
    </w:p>
    <w:p>
      <w:pPr>
        <w:spacing w:after="0" w:line="12" w:lineRule="exact"/>
        <w:rPr>
          <w:rFonts w:ascii="Arial" w:cs="Arial" w:eastAsia="Arial" w:hAnsi="Arial"/>
          <w:sz w:val="19"/>
          <w:szCs w:val="19"/>
          <w:color w:val="auto"/>
          <w:vertAlign w:val="superscript"/>
        </w:rPr>
      </w:pPr>
    </w:p>
    <w:p>
      <w:pPr>
        <w:ind w:left="326" w:hanging="326"/>
        <w:spacing w:after="0" w:line="213" w:lineRule="auto"/>
        <w:tabs>
          <w:tab w:leader="none" w:pos="319"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13 – Stockholders' Equity for amounts reclassified from accumulated other comprehensive income (loss) into earnings.</w:t>
      </w:r>
    </w:p>
    <w:p>
      <w:pPr>
        <w:ind w:left="306" w:hanging="306"/>
        <w:spacing w:after="0"/>
        <w:tabs>
          <w:tab w:leader="none" w:pos="306" w:val="left"/>
        </w:tabs>
        <w:numPr>
          <w:ilvl w:val="0"/>
          <w:numId w:val="33"/>
        </w:numPr>
        <w:rPr>
          <w:rFonts w:ascii="Arial" w:cs="Arial" w:eastAsia="Arial" w:hAnsi="Arial"/>
          <w:sz w:val="9"/>
          <w:szCs w:val="9"/>
          <w:color w:val="auto"/>
        </w:rPr>
      </w:pPr>
      <w:r>
        <w:rPr>
          <w:rFonts w:ascii="Arial" w:cs="Arial" w:eastAsia="Arial" w:hAnsi="Arial"/>
          <w:sz w:val="14"/>
          <w:szCs w:val="14"/>
          <w:color w:val="auto"/>
        </w:rPr>
        <w:t>Classified as a net investment hedge within currency translation adjustment in accumulated other comprehensive income (loss).</w:t>
      </w:r>
    </w:p>
    <w:p>
      <w:pPr>
        <w:spacing w:after="0" w:line="14" w:lineRule="exact"/>
        <w:rPr>
          <w:rFonts w:ascii="Arial" w:cs="Arial" w:eastAsia="Arial" w:hAnsi="Arial"/>
          <w:sz w:val="9"/>
          <w:szCs w:val="9"/>
          <w:color w:val="auto"/>
        </w:rPr>
      </w:pPr>
    </w:p>
    <w:p>
      <w:pPr>
        <w:ind w:left="326" w:hanging="326"/>
        <w:spacing w:after="0"/>
        <w:tabs>
          <w:tab w:leader="none" w:pos="326" w:val="left"/>
        </w:tabs>
        <w:numPr>
          <w:ilvl w:val="0"/>
          <w:numId w:val="33"/>
        </w:numPr>
        <w:rPr>
          <w:rFonts w:ascii="Arial" w:cs="Arial" w:eastAsia="Arial" w:hAnsi="Arial"/>
          <w:sz w:val="9"/>
          <w:szCs w:val="9"/>
          <w:color w:val="auto"/>
        </w:rPr>
      </w:pPr>
      <w:r>
        <w:rPr>
          <w:rFonts w:ascii="Arial" w:cs="Arial" w:eastAsia="Arial" w:hAnsi="Arial"/>
          <w:sz w:val="14"/>
          <w:szCs w:val="14"/>
          <w:color w:val="auto"/>
        </w:rPr>
        <w:t>Gains (losses) related to derivative instruments are expected to be largely offset by (losses) gains on the underlying exposures being hedged.</w:t>
      </w:r>
    </w:p>
    <w:p>
      <w:pPr>
        <w:spacing w:after="0" w:line="14" w:lineRule="exact"/>
        <w:rPr>
          <w:rFonts w:ascii="Arial" w:cs="Arial" w:eastAsia="Arial" w:hAnsi="Arial"/>
          <w:sz w:val="9"/>
          <w:szCs w:val="9"/>
          <w:color w:val="auto"/>
        </w:rPr>
      </w:pPr>
    </w:p>
    <w:p>
      <w:pPr>
        <w:ind w:left="326" w:hanging="326"/>
        <w:spacing w:after="0" w:line="193" w:lineRule="auto"/>
        <w:tabs>
          <w:tab w:leader="none" w:pos="326"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Included in interest expense.</w:t>
      </w:r>
    </w:p>
    <w:p>
      <w:pPr>
        <w:spacing w:after="0" w:line="200" w:lineRule="exact"/>
        <w:rPr>
          <w:sz w:val="20"/>
          <w:szCs w:val="20"/>
          <w:color w:val="auto"/>
        </w:rPr>
      </w:pPr>
    </w:p>
    <w:p>
      <w:pPr>
        <w:spacing w:after="0" w:line="370"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sectPr>
      </w:pPr>
    </w:p>
    <w:bookmarkStart w:id="26" w:name="page27"/>
    <w:bookmarkEnd w:id="26"/>
    <w:p>
      <w:pPr>
        <w:ind w:left="442"/>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50"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297" w:lineRule="exact"/>
        <w:rPr>
          <w:sz w:val="20"/>
          <w:szCs w:val="20"/>
          <w:color w:val="auto"/>
        </w:rPr>
      </w:pPr>
    </w:p>
    <w:tbl>
      <w:tblPr>
        <w:tblLayout w:type="fixed"/>
        <w:tblInd w:w="462" w:type="dxa"/>
        <w:tblCellMar>
          <w:top w:w="0" w:type="dxa"/>
          <w:left w:w="0" w:type="dxa"/>
          <w:bottom w:w="0" w:type="dxa"/>
          <w:right w:w="0" w:type="dxa"/>
        </w:tblCellMar>
      </w:tblPr>
      <w:tr>
        <w:trPr>
          <w:trHeight w:val="217"/>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6"/>
                <w:szCs w:val="16"/>
                <w:b w:val="1"/>
                <w:bCs w:val="1"/>
                <w:color w:val="auto"/>
              </w:rPr>
              <w:t>As of March 31, 2024</w:t>
            </w:r>
          </w:p>
        </w:tc>
        <w:tc>
          <w:tcPr>
            <w:tcW w:w="24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2023</w:t>
            </w: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Fair</w:t>
            </w: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6"/>
        </w:trPr>
        <w:tc>
          <w:tcPr>
            <w:tcW w:w="4140" w:type="dxa"/>
            <w:vAlign w:val="bottom"/>
            <w:vMerge w:val="restart"/>
          </w:tcPr>
          <w:p>
            <w:pPr>
              <w:spacing w:after="0"/>
              <w:rPr>
                <w:sz w:val="20"/>
                <w:szCs w:val="20"/>
                <w:color w:val="auto"/>
              </w:rPr>
            </w:pPr>
            <w:r>
              <w:rPr>
                <w:rFonts w:ascii="Arial" w:cs="Arial" w:eastAsia="Arial" w:hAnsi="Arial"/>
                <w:sz w:val="16"/>
                <w:szCs w:val="16"/>
                <w:b w:val="1"/>
                <w:bCs w:val="1"/>
                <w:color w:val="auto"/>
              </w:rPr>
              <w:t>Corporate debt</w:t>
            </w:r>
          </w:p>
        </w:tc>
        <w:tc>
          <w:tcPr>
            <w:tcW w:w="2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Value</w:t>
            </w: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95"/>
        </w:trPr>
        <w:tc>
          <w:tcPr>
            <w:tcW w:w="414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00"/>
              <w:spacing w:after="0"/>
              <w:rPr>
                <w:sz w:val="20"/>
                <w:szCs w:val="20"/>
                <w:color w:val="auto"/>
              </w:rPr>
            </w:pPr>
            <w:r>
              <w:rPr>
                <w:rFonts w:ascii="Arial" w:cs="Arial" w:eastAsia="Arial" w:hAnsi="Arial"/>
                <w:sz w:val="16"/>
                <w:szCs w:val="16"/>
                <w:color w:val="auto"/>
              </w:rPr>
              <w:t>Short-term debt and current portion of 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4,812</w:t>
            </w:r>
          </w:p>
        </w:tc>
        <w:tc>
          <w:tcPr>
            <w:tcW w:w="0" w:type="dxa"/>
            <w:vAlign w:val="bottom"/>
          </w:tcPr>
          <w:p>
            <w:pPr>
              <w:spacing w:after="0"/>
              <w:rPr>
                <w:sz w:val="1"/>
                <w:szCs w:val="1"/>
                <w:color w:val="auto"/>
              </w:rPr>
            </w:pPr>
          </w:p>
        </w:tc>
      </w:tr>
      <w:tr>
        <w:trPr>
          <w:trHeight w:val="433"/>
        </w:trPr>
        <w:tc>
          <w:tcPr>
            <w:tcW w:w="414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140" w:type="dxa"/>
            <w:vAlign w:val="bottom"/>
          </w:tcPr>
          <w:p>
            <w:pPr>
              <w:ind w:left="200"/>
              <w:spacing w:after="0" w:line="163" w:lineRule="exact"/>
              <w:rPr>
                <w:sz w:val="20"/>
                <w:szCs w:val="20"/>
                <w:color w:val="auto"/>
              </w:rPr>
            </w:pPr>
            <w:r>
              <w:rPr>
                <w:rFonts w:ascii="Arial" w:cs="Arial" w:eastAsia="Arial" w:hAnsi="Arial"/>
                <w:sz w:val="16"/>
                <w:szCs w:val="16"/>
                <w:color w:val="auto"/>
              </w:rPr>
              <w:t>Vehicle-backed debt due to Avis Budget Rental Car</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15,949</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15,817</w:t>
            </w:r>
          </w:p>
        </w:tc>
        <w:tc>
          <w:tcPr>
            <w:tcW w:w="100" w:type="dxa"/>
            <w:vAlign w:val="bottom"/>
          </w:tcPr>
          <w:p>
            <w:pPr>
              <w:spacing w:after="0"/>
              <w:rPr>
                <w:sz w:val="14"/>
                <w:szCs w:val="14"/>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15,441</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15,238</w:t>
            </w:r>
          </w:p>
        </w:tc>
        <w:tc>
          <w:tcPr>
            <w:tcW w:w="0" w:type="dxa"/>
            <w:vAlign w:val="bottom"/>
          </w:tcPr>
          <w:p>
            <w:pPr>
              <w:spacing w:after="0"/>
              <w:rPr>
                <w:sz w:val="1"/>
                <w:szCs w:val="1"/>
                <w:color w:val="auto"/>
              </w:rPr>
            </w:pPr>
          </w:p>
        </w:tc>
      </w:tr>
      <w:tr>
        <w:trPr>
          <w:trHeight w:val="215"/>
        </w:trPr>
        <w:tc>
          <w:tcPr>
            <w:tcW w:w="4140" w:type="dxa"/>
            <w:vAlign w:val="bottom"/>
          </w:tcPr>
          <w:p>
            <w:pPr>
              <w:ind w:left="380"/>
              <w:spacing w:after="0"/>
              <w:rPr>
                <w:sz w:val="20"/>
                <w:szCs w:val="20"/>
                <w:color w:val="auto"/>
              </w:rPr>
            </w:pPr>
            <w:r>
              <w:rPr>
                <w:rFonts w:ascii="Arial" w:cs="Arial" w:eastAsia="Arial" w:hAnsi="Arial"/>
                <w:sz w:val="16"/>
                <w:szCs w:val="16"/>
                <w:color w:val="auto"/>
              </w:rPr>
              <w:t>Funding</w:t>
            </w:r>
          </w:p>
        </w:tc>
        <w:tc>
          <w:tcPr>
            <w:tcW w:w="2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00"/>
              <w:spacing w:after="0"/>
              <w:rPr>
                <w:sz w:val="20"/>
                <w:szCs w:val="20"/>
                <w:color w:val="auto"/>
              </w:rPr>
            </w:pPr>
            <w:r>
              <w:rPr>
                <w:rFonts w:ascii="Arial" w:cs="Arial" w:eastAsia="Arial" w:hAnsi="Arial"/>
                <w:sz w:val="16"/>
                <w:szCs w:val="16"/>
                <w:color w:val="auto"/>
              </w:rPr>
              <w:t>Vehicle-backed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r>
        <w:trPr>
          <w:trHeight w:val="287"/>
        </w:trPr>
        <w:tc>
          <w:tcPr>
            <w:tcW w:w="4140" w:type="dxa"/>
            <w:vAlign w:val="bottom"/>
          </w:tcPr>
          <w:p>
            <w:pPr>
              <w:ind w:left="2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118" w:lineRule="exact"/>
        <w:rPr>
          <w:sz w:val="20"/>
          <w:szCs w:val="20"/>
          <w:color w:val="auto"/>
        </w:rPr>
      </w:pPr>
    </w:p>
    <w:p>
      <w:pPr>
        <w:ind w:left="662" w:hanging="226"/>
        <w:spacing w:after="0"/>
        <w:tabs>
          <w:tab w:leader="none" w:pos="662" w:val="left"/>
        </w:tabs>
        <w:numPr>
          <w:ilvl w:val="1"/>
          <w:numId w:val="34"/>
        </w:numPr>
        <w:rPr>
          <w:rFonts w:ascii="Arial" w:cs="Arial" w:eastAsia="Arial" w:hAnsi="Arial"/>
          <w:sz w:val="9"/>
          <w:szCs w:val="9"/>
          <w:color w:val="auto"/>
        </w:rPr>
      </w:pPr>
      <w:r>
        <w:rPr>
          <w:rFonts w:ascii="Arial" w:cs="Arial" w:eastAsia="Arial" w:hAnsi="Arial"/>
          <w:sz w:val="14"/>
          <w:szCs w:val="14"/>
          <w:color w:val="auto"/>
        </w:rPr>
        <w:t>Derivatives in a liability position.</w:t>
      </w:r>
    </w:p>
    <w:p>
      <w:pPr>
        <w:spacing w:after="0" w:line="247" w:lineRule="exact"/>
        <w:rPr>
          <w:rFonts w:ascii="Arial" w:cs="Arial" w:eastAsia="Arial" w:hAnsi="Arial"/>
          <w:sz w:val="9"/>
          <w:szCs w:val="9"/>
          <w:color w:val="auto"/>
        </w:rPr>
      </w:pPr>
    </w:p>
    <w:p>
      <w:pPr>
        <w:ind w:left="442" w:hanging="442"/>
        <w:spacing w:after="0"/>
        <w:tabs>
          <w:tab w:leader="none" w:pos="44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2" w:lineRule="exact"/>
        <w:rPr>
          <w:rFonts w:ascii="Arial" w:cs="Arial" w:eastAsia="Arial" w:hAnsi="Arial"/>
          <w:sz w:val="18"/>
          <w:szCs w:val="18"/>
          <w:b w:val="1"/>
          <w:bCs w:val="1"/>
          <w:color w:val="auto"/>
        </w:rPr>
      </w:pPr>
    </w:p>
    <w:p>
      <w:pPr>
        <w:jc w:val="both"/>
        <w:ind w:left="442"/>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chief operating decision-maker assesses performance and allocates resources based upon the separate financial information of our operating segments. In identifying our reportable segments, we also consider the nature of services provided by our operating segments, the geographical areas in which the segments operate and other relevant factors. We aggregate certain of our operating segments into our reportable segments.</w:t>
      </w:r>
    </w:p>
    <w:p>
      <w:pPr>
        <w:spacing w:after="0" w:line="203" w:lineRule="exact"/>
        <w:rPr>
          <w:rFonts w:ascii="Arial" w:cs="Arial" w:eastAsia="Arial" w:hAnsi="Arial"/>
          <w:sz w:val="18"/>
          <w:szCs w:val="18"/>
          <w:b w:val="1"/>
          <w:bCs w:val="1"/>
          <w:color w:val="auto"/>
        </w:rPr>
      </w:pPr>
    </w:p>
    <w:p>
      <w:pPr>
        <w:jc w:val="both"/>
        <w:ind w:left="44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legal matters, which includes amounts recorded in excess of $5 million related to class action lawsuits and personal injury matters; non-operational charges related to shareholder activist activity, which includes third-party advisory, legal and other professional fees; COVID-19 charges, net; cloud computing costs; other (income) expense, net; and income taxes.</w:t>
      </w:r>
    </w:p>
    <w:p>
      <w:pPr>
        <w:spacing w:after="0" w:line="209" w:lineRule="exact"/>
        <w:rPr>
          <w:rFonts w:ascii="Arial" w:cs="Arial" w:eastAsia="Arial" w:hAnsi="Arial"/>
          <w:sz w:val="18"/>
          <w:szCs w:val="18"/>
          <w:b w:val="1"/>
          <w:bCs w:val="1"/>
          <w:color w:val="auto"/>
        </w:rPr>
      </w:pPr>
    </w:p>
    <w:p>
      <w:pPr>
        <w:jc w:val="both"/>
        <w:ind w:left="442"/>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Our presentation of Adjusted EBITDA may not be comparable to similarly 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3" w:right="339" w:bottom="1440" w:gutter="0" w:footer="0" w:header="0"/>
        </w:sectPr>
      </w:pPr>
    </w:p>
    <w:bookmarkStart w:id="27" w:name="page28"/>
    <w:bookmarkEnd w:id="27"/>
    <w:tbl>
      <w:tblPr>
        <w:tblLayout w:type="fixed"/>
        <w:tblInd w:w="462" w:type="dxa"/>
        <w:tblCellMar>
          <w:top w:w="0" w:type="dxa"/>
          <w:left w:w="0" w:type="dxa"/>
          <w:bottom w:w="0" w:type="dxa"/>
          <w:right w:w="0" w:type="dxa"/>
        </w:tblCellMar>
      </w:tblPr>
      <w:tr>
        <w:trPr>
          <w:trHeight w:val="235"/>
        </w:trPr>
        <w:tc>
          <w:tcPr>
            <w:tcW w:w="4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4"/>
                <w:szCs w:val="14"/>
                <w:color w:val="auto"/>
              </w:rPr>
            </w:pPr>
          </w:p>
        </w:tc>
        <w:tc>
          <w:tcPr>
            <w:tcW w:w="116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8"/>
              </w:rPr>
              <w:t>Adjusted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18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3"/>
        </w:trPr>
        <w:tc>
          <w:tcPr>
            <w:tcW w:w="4300" w:type="dxa"/>
            <w:vAlign w:val="bottom"/>
            <w:vMerge w:val="restart"/>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EBITDA</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EBITDA</w:t>
            </w:r>
          </w:p>
        </w:tc>
        <w:tc>
          <w:tcPr>
            <w:tcW w:w="0" w:type="dxa"/>
            <w:vAlign w:val="bottom"/>
          </w:tcPr>
          <w:p>
            <w:pPr>
              <w:spacing w:after="0"/>
              <w:rPr>
                <w:sz w:val="1"/>
                <w:szCs w:val="1"/>
                <w:color w:val="auto"/>
              </w:rPr>
            </w:pPr>
          </w:p>
        </w:tc>
      </w:tr>
      <w:tr>
        <w:trPr>
          <w:trHeight w:val="218"/>
        </w:trPr>
        <w:tc>
          <w:tcPr>
            <w:tcW w:w="4300" w:type="dxa"/>
            <w:vAlign w:val="bottom"/>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4300" w:type="dxa"/>
            <w:vAlign w:val="bottom"/>
          </w:tcPr>
          <w:p>
            <w:pPr>
              <w:spacing w:after="0" w:line="237"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820" w:type="dxa"/>
            <w:vAlign w:val="bottom"/>
            <w:gridSpan w:val="4"/>
          </w:tcPr>
          <w:p>
            <w:pPr>
              <w:spacing w:after="0"/>
              <w:rPr>
                <w:sz w:val="20"/>
                <w:szCs w:val="20"/>
                <w:color w:val="auto"/>
              </w:rPr>
            </w:pPr>
            <w:r>
              <w:rPr>
                <w:rFonts w:ascii="Arial" w:cs="Arial" w:eastAsia="Arial" w:hAnsi="Arial"/>
                <w:sz w:val="18"/>
                <w:szCs w:val="18"/>
                <w:color w:val="auto"/>
                <w:w w:val="99"/>
              </w:rPr>
              <w:t>Reconciliation of Adjusted EBITDA to income (loss) before income taxes:</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0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218"/>
        </w:trPr>
        <w:tc>
          <w:tcPr>
            <w:tcW w:w="4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30"/>
        </w:trPr>
        <w:tc>
          <w:tcPr>
            <w:tcW w:w="5820" w:type="dxa"/>
            <w:vAlign w:val="bottom"/>
            <w:gridSpan w:val="4"/>
          </w:tcPr>
          <w:p>
            <w:pPr>
              <w:spacing w:after="0"/>
              <w:rPr>
                <w:sz w:val="20"/>
                <w:szCs w:val="20"/>
                <w:color w:val="auto"/>
              </w:rPr>
            </w:pPr>
            <w:r>
              <w:rPr>
                <w:rFonts w:ascii="Arial" w:cs="Arial" w:eastAsia="Arial" w:hAnsi="Arial"/>
                <w:sz w:val="18"/>
                <w:szCs w:val="18"/>
                <w:color w:val="auto"/>
              </w:rPr>
              <w:t>Less:   Non-vehicle related depreciation and amortization</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4500" w:type="dxa"/>
            <w:vAlign w:val="bottom"/>
            <w:gridSpan w:val="2"/>
          </w:tcPr>
          <w:p>
            <w:pPr>
              <w:ind w:left="680"/>
              <w:spacing w:after="0"/>
              <w:rPr>
                <w:sz w:val="20"/>
                <w:szCs w:val="20"/>
                <w:color w:val="auto"/>
              </w:rPr>
            </w:pPr>
            <w:r>
              <w:rPr>
                <w:rFonts w:ascii="Arial" w:cs="Arial" w:eastAsia="Arial" w:hAnsi="Arial"/>
                <w:sz w:val="18"/>
                <w:szCs w:val="18"/>
                <w:color w:val="auto"/>
              </w:rPr>
              <w:t>Interest expense related to corporate debt, net</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4300" w:type="dxa"/>
            <w:vAlign w:val="bottom"/>
          </w:tcPr>
          <w:p>
            <w:pPr>
              <w:ind w:left="68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7"/>
        </w:trPr>
        <w:tc>
          <w:tcPr>
            <w:tcW w:w="4300" w:type="dxa"/>
            <w:vAlign w:val="bottom"/>
          </w:tcPr>
          <w:p>
            <w:pPr>
              <w:ind w:left="680"/>
              <w:spacing w:after="0"/>
              <w:rPr>
                <w:sz w:val="20"/>
                <w:szCs w:val="20"/>
                <w:color w:val="auto"/>
              </w:rPr>
            </w:pPr>
            <w:r>
              <w:rPr>
                <w:rFonts w:ascii="Arial" w:cs="Arial" w:eastAsia="Arial" w:hAnsi="Arial"/>
                <w:sz w:val="18"/>
                <w:szCs w:val="18"/>
                <w:color w:val="auto"/>
              </w:rPr>
              <w:t>Transaction-related costs, net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4300" w:type="dxa"/>
            <w:vAlign w:val="bottom"/>
          </w:tcPr>
          <w:p>
            <w:pPr>
              <w:ind w:left="680"/>
              <w:spacing w:after="0" w:line="232"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(b)</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300" w:type="dxa"/>
            <w:vAlign w:val="bottom"/>
          </w:tcPr>
          <w:p>
            <w:pPr>
              <w:ind w:left="680"/>
              <w:spacing w:after="0"/>
              <w:rPr>
                <w:sz w:val="20"/>
                <w:szCs w:val="20"/>
                <w:color w:val="auto"/>
              </w:rPr>
            </w:pPr>
            <w:r>
              <w:rPr>
                <w:rFonts w:ascii="Arial" w:cs="Arial" w:eastAsia="Arial" w:hAnsi="Arial"/>
                <w:sz w:val="18"/>
                <w:szCs w:val="18"/>
                <w:color w:val="auto"/>
              </w:rPr>
              <w:t>Reported within operating expenses: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840"/>
              <w:spacing w:after="0"/>
              <w:rPr>
                <w:sz w:val="20"/>
                <w:szCs w:val="20"/>
                <w:color w:val="auto"/>
              </w:rPr>
            </w:pPr>
            <w:r>
              <w:rPr>
                <w:rFonts w:ascii="Arial" w:cs="Arial" w:eastAsia="Arial" w:hAnsi="Arial"/>
                <w:sz w:val="18"/>
                <w:szCs w:val="18"/>
                <w:color w:val="auto"/>
              </w:rPr>
              <w:t>Cloud computing costs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5"/>
        </w:trPr>
        <w:tc>
          <w:tcPr>
            <w:tcW w:w="4300" w:type="dxa"/>
            <w:vAlign w:val="bottom"/>
          </w:tcPr>
          <w:p>
            <w:pPr>
              <w:ind w:left="840"/>
              <w:spacing w:after="0"/>
              <w:rPr>
                <w:sz w:val="20"/>
                <w:szCs w:val="20"/>
                <w:color w:val="auto"/>
              </w:rPr>
            </w:pPr>
            <w:r>
              <w:rPr>
                <w:rFonts w:ascii="Arial" w:cs="Arial" w:eastAsia="Arial" w:hAnsi="Arial"/>
                <w:sz w:val="18"/>
                <w:szCs w:val="18"/>
                <w:color w:val="auto"/>
              </w:rPr>
              <w:t>Legal matters, net</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ind w:left="762" w:hanging="326"/>
        <w:spacing w:after="0" w:line="219" w:lineRule="auto"/>
        <w:tabs>
          <w:tab w:leader="none" w:pos="762"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762" w:hanging="326"/>
        <w:spacing w:after="0" w:line="222" w:lineRule="auto"/>
        <w:tabs>
          <w:tab w:leader="none" w:pos="755"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investment in a former subsidiary, offset by fleet related and certain administrative services provided to the same former subsidiary.</w:t>
      </w:r>
    </w:p>
    <w:p>
      <w:pPr>
        <w:spacing w:after="0" w:line="206" w:lineRule="exact"/>
        <w:rPr>
          <w:sz w:val="20"/>
          <w:szCs w:val="20"/>
          <w:color w:val="auto"/>
        </w:rPr>
      </w:pPr>
    </w:p>
    <w:p>
      <w:pPr>
        <w:jc w:val="both"/>
        <w:ind w:left="442"/>
        <w:spacing w:after="0" w:line="262" w:lineRule="auto"/>
        <w:rPr>
          <w:sz w:val="20"/>
          <w:szCs w:val="20"/>
          <w:color w:val="auto"/>
        </w:rPr>
      </w:pPr>
      <w:r>
        <w:rPr>
          <w:rFonts w:ascii="Arial" w:cs="Arial" w:eastAsia="Arial" w:hAnsi="Arial"/>
          <w:sz w:val="18"/>
          <w:szCs w:val="18"/>
          <w:color w:val="auto"/>
        </w:rPr>
        <w:t>Since December 31, 2023, there have been no significant changes in segment assets exclusive of assets under vehicle programs. As of March 31, 2024 and December 31, 2023, Americas’ segment assets under vehicle programs were approximately $20.2 billion and $19.3 billion, respectively. This increase in assets under vehicle programs is directly correlated to the increase in the size and cost of our vehicle fleet.</w:t>
      </w:r>
    </w:p>
    <w:p>
      <w:pPr>
        <w:spacing w:after="0" w:line="203" w:lineRule="exact"/>
        <w:rPr>
          <w:sz w:val="20"/>
          <w:szCs w:val="20"/>
          <w:color w:val="auto"/>
        </w:rPr>
      </w:pPr>
    </w:p>
    <w:p>
      <w:pPr>
        <w:ind w:left="442" w:hanging="442"/>
        <w:spacing w:after="0"/>
        <w:tabs>
          <w:tab w:leader="none" w:pos="44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2"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In April 2024, our Avis Budget Rental Car Funding (AESOP) LLC subsidiary amended and restated its asset-backed variable-funding financing facilities to extend its maturity through April 2025.</w:t>
      </w:r>
    </w:p>
    <w:p>
      <w:pPr>
        <w:spacing w:after="0" w:line="179" w:lineRule="exact"/>
        <w:rPr>
          <w:rFonts w:ascii="Arial" w:cs="Arial" w:eastAsia="Arial" w:hAnsi="Arial"/>
          <w:sz w:val="18"/>
          <w:szCs w:val="18"/>
          <w:b w:val="1"/>
          <w:bCs w:val="1"/>
          <w:color w:val="auto"/>
        </w:rPr>
      </w:pPr>
    </w:p>
    <w:p>
      <w:pPr>
        <w:ind w:left="442" w:right="2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In April 2024, we redeemed all of our 4.750% euro-denominated Senior Notes due January 2026 with an aggregate outstanding balance of €350 million plus accrued interest.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8"/>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71" w:right="339" w:bottom="1440" w:gutter="0" w:footer="0" w:header="0"/>
        </w:sectPr>
      </w:pPr>
    </w:p>
    <w:bookmarkStart w:id="28" w:name="page29"/>
    <w:bookmarkEnd w:id="28"/>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2023 Form 10-K. Our actual results of operations may differ materially from those discussed in forward-looking statements as a result of various factors, including those discussed in “Forward-Looking Statements”. See “Forward-Looking Statements” and “Risk Factors” for additional information. Unless otherwise noted, all dollar amounts in tables are in millions.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667,000 vehicles in first quarter 2024. We also license the use of our trademarks to licensees in the areas in which we do not operate directly. We and our licensees operate our brands in approximately 180 countries throughout the world.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car sharing operations in certain of these markets, and licensees in certain areas in which we do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and Australasia, car sharing operations in certain of these markets, and licensees in certain areas in which we do not operate directly.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strategy continues to primarily focus on customer experience and costs to strengthen our Company, maximize profitability, and deliver stakeholder value. During the three months ended March 31, 2024, we generated revenues of $2.6 billion, net loss of $113 million and Adjusted EBITDA of $12 million. These results were driven primarily by increased volume, offset by decreased revenue per day, increased fleet costs, and sustained inflationary pressures on costs.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be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interest rates, inflationary impact on items such as commodity prices and wages, supply of new vehicles, used car values, and an economic downturn that may impact travel demand, all of which may be exacerbated by the ongoing military conflicts in the Middle East and Eastern Europe. We continue to monitor the potential favorable or unfavorable impacts of these and other factors on our business, operations, financial condition, and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being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 titled metrics by other companies. We present currency exchange rate effects to provide a method of assessing how our business performed excluding the effects of foreign currency rate fluctuations. Currency exchange rate effects are calculated by translating the current period results at the prior period average exchange rate plus any related gains and losses on currency hedges.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 -related costs, net; legal matters, which includes amounts recorded in excess of $5 million related to class action lawsuits and personal injury matters; non-operational charges related to shareholder activist activity, which includes third-party advisory, legal and other professional fees; COVID-19 charges, net; cloud computing costs; other (income) expense, net; and income taxes.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 titled measures used by other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2024:</w:t>
      </w:r>
    </w:p>
    <w:p>
      <w:pPr>
        <w:spacing w:after="0" w:line="25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revenues totaled $2.6 billion, consistent with the similar period in 2023.</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net loss was $114 million, representing a decrease of $426 million year-over-year, primarily due to increased fleet costs and sustained inflationary pressures on costs.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Adjusted EBITDA was $12 million, representing a decrease of $523 million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Three Months Ended March 31, 2024 vs. Three Months Ended March 31, 2023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1280" w:type="dxa"/>
            <w:vAlign w:val="bottom"/>
            <w:tcBorders>
              <w:bottom w:val="single" w:sz="8" w:color="auto"/>
            </w:tcBorders>
          </w:tcPr>
          <w:p>
            <w:pPr>
              <w:spacing w:after="0"/>
              <w:rPr>
                <w:sz w:val="18"/>
                <w:szCs w:val="18"/>
                <w:color w:val="auto"/>
              </w:rPr>
            </w:pPr>
          </w:p>
        </w:tc>
      </w:tr>
      <w:tr>
        <w:trPr>
          <w:trHeight w:val="209"/>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58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0 %</w:t>
            </w:r>
          </w:p>
        </w:tc>
      </w:tr>
      <w:tr>
        <w:trPr>
          <w:trHeight w:val="303"/>
        </w:trPr>
        <w:tc>
          <w:tcPr>
            <w:tcW w:w="582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5"/>
        </w:trPr>
        <w:tc>
          <w:tcPr>
            <w:tcW w:w="5820" w:type="dxa"/>
            <w:vAlign w:val="bottom"/>
          </w:tcPr>
          <w:p>
            <w:pPr>
              <w:ind w:left="2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371</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2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325"/>
        </w:trPr>
        <w:tc>
          <w:tcPr>
            <w:tcW w:w="5820" w:type="dxa"/>
            <w:vAlign w:val="bottom"/>
          </w:tcPr>
          <w:p>
            <w:pPr>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(539)</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(136 %)</w:t>
            </w:r>
          </w:p>
        </w:tc>
      </w:tr>
      <w:tr>
        <w:trPr>
          <w:trHeight w:val="215"/>
        </w:trPr>
        <w:tc>
          <w:tcPr>
            <w:tcW w:w="5820" w:type="dxa"/>
            <w:vAlign w:val="bottom"/>
          </w:tcPr>
          <w:p>
            <w:pPr>
              <w:ind w:left="120"/>
              <w:spacing w:after="0"/>
              <w:rPr>
                <w:sz w:val="20"/>
                <w:szCs w:val="20"/>
                <w:color w:val="auto"/>
              </w:rPr>
            </w:pPr>
            <w:r>
              <w:rPr>
                <w:rFonts w:ascii="Arial" w:cs="Arial" w:eastAsia="Arial" w:hAnsi="Arial"/>
                <w:sz w:val="16"/>
                <w:szCs w:val="16"/>
                <w:color w:val="auto"/>
              </w:rPr>
              <w:t>Provision for (benefit from) income taxes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(134 %)</w:t>
            </w:r>
          </w:p>
        </w:tc>
      </w:tr>
      <w:tr>
        <w:trPr>
          <w:trHeight w:val="210"/>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(425)</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(136 %)</w:t>
            </w:r>
          </w:p>
        </w:tc>
      </w:tr>
      <w:tr>
        <w:trPr>
          <w:trHeight w:val="216"/>
        </w:trPr>
        <w:tc>
          <w:tcPr>
            <w:tcW w:w="5820" w:type="dxa"/>
            <w:vAlign w:val="bottom"/>
          </w:tcPr>
          <w:p>
            <w:pPr>
              <w:ind w:left="120"/>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1"/>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 (loss) attributable to Avis Budget Group, Inc.</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(137 %)</w:t>
            </w:r>
          </w:p>
        </w:tc>
      </w:tr>
      <w:tr>
        <w:trPr>
          <w:trHeight w:val="21"/>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during the three months ended March 31, 2024 were consistent with the similar period in 2023, primarily due to a 5% increase in volume, offset by a 5% decrease in revenue per day, excluding exchange rate effects. Total expenses increased 25% during the three months ended March 31, 2024, compared to the similar period in 2023, primarily due to increased fleet costs and the impact of inflation. Our effective tax rates were a benefit of 20.4% and a provision of 21.4% for the three months ended March 31, 2024 and 2023, respectively. As a result of these items, our net income decreased by $426 million compared to the similar period in 2023. For the three months ended March 31, 2024 and 2023, we reported earnings (loss) per diluted share of $(3.21) and $7.72, respectively.</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52.7% of revenue during the three months ended March 31, 2024 compared to 51.1% during the similar period in 2023, primarily due to an increase in volume; a decrease in revenue per day, excluding exchange rate effects; and cost inflation. Vehicle depreciation and lease charges increased to 24.9% of revenue during the three months ended March 31, 2024 compared to 10.3% during the similar period in 2023, primarily due to increased per unit fleet costs, excluding exchange rate effects, which was driven by increased fleet levels and a decrease in the gain on sale of vehicles. Selling, general and administrative costs were approximately 12.7% of revenue during the three months ended March 31, 2024, consistent with the similar period in 2023, primarily due to increased marketing costs and commissions, offset by a decrease in other selling, general and administrative costs. Vehicle interest costs increased to 9.4% of revenue during the three months ended March 31, 2024 compared to 5.2% during the similar period in 2023, primarily due to rising interest rates and additional funding for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31" w:name="page32"/>
    <w:bookmarkEnd w:id="31"/>
    <w:p>
      <w:pPr>
        <w:spacing w:after="0" w:line="287"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(loss) to Adjusted EBITDA: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9"/>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840" w:type="dxa"/>
            <w:vAlign w:val="bottom"/>
            <w:tcBorders>
              <w:bottom w:val="single" w:sz="8" w:color="auto"/>
            </w:tcBorders>
          </w:tcPr>
          <w:p>
            <w:pPr>
              <w:spacing w:after="0"/>
              <w:rPr>
                <w:sz w:val="18"/>
                <w:szCs w:val="18"/>
                <w:color w:val="auto"/>
              </w:rPr>
            </w:pPr>
          </w:p>
        </w:tc>
      </w:tr>
      <w:tr>
        <w:trPr>
          <w:trHeight w:val="209"/>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r>
      <w:tr>
        <w:trPr>
          <w:trHeight w:val="208"/>
        </w:trPr>
        <w:tc>
          <w:tcPr>
            <w:tcW w:w="504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center"/>
              <w:ind w:left="81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516</w:t>
            </w:r>
          </w:p>
        </w:tc>
      </w:tr>
      <w:tr>
        <w:trPr>
          <w:trHeight w:val="215"/>
        </w:trPr>
        <w:tc>
          <w:tcPr>
            <w:tcW w:w="504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left="8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8"/>
        </w:trPr>
        <w:tc>
          <w:tcPr>
            <w:tcW w:w="5040" w:type="dxa"/>
            <w:vAlign w:val="bottom"/>
          </w:tcPr>
          <w:p>
            <w:pPr>
              <w:spacing w:after="0" w:line="218"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center"/>
              <w:ind w:left="8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9"/>
        </w:trPr>
        <w:tc>
          <w:tcPr>
            <w:tcW w:w="5040" w:type="dxa"/>
            <w:vAlign w:val="bottom"/>
          </w:tcPr>
          <w:p>
            <w:pPr>
              <w:ind w:left="2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center"/>
              <w:ind w:left="8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2,557</w:t>
            </w: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535</w:t>
            </w:r>
          </w:p>
        </w:tc>
      </w:tr>
      <w:tr>
        <w:trPr>
          <w:trHeight w:val="21"/>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304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6"/>
                <w:szCs w:val="16"/>
                <w:b w:val="1"/>
                <w:bCs w:val="1"/>
                <w:color w:val="auto"/>
              </w:rPr>
              <w:t>Reconciliation to Adjusted EBITDA</w:t>
            </w:r>
          </w:p>
        </w:tc>
      </w:tr>
      <w:tr>
        <w:trPr>
          <w:trHeight w:val="210"/>
        </w:trPr>
        <w:tc>
          <w:tcPr>
            <w:tcW w:w="54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08"/>
        </w:trPr>
        <w:tc>
          <w:tcPr>
            <w:tcW w:w="816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215"/>
        </w:trPr>
        <w:tc>
          <w:tcPr>
            <w:tcW w:w="8160" w:type="dxa"/>
            <w:vAlign w:val="bottom"/>
            <w:gridSpan w:val="2"/>
          </w:tcPr>
          <w:p>
            <w:pPr>
              <w:ind w:left="120"/>
              <w:spacing w:after="0"/>
              <w:rPr>
                <w:sz w:val="20"/>
                <w:szCs w:val="20"/>
                <w:color w:val="auto"/>
              </w:rPr>
            </w:pPr>
            <w:r>
              <w:rPr>
                <w:rFonts w:ascii="Arial" w:cs="Arial" w:eastAsia="Arial" w:hAnsi="Arial"/>
                <w:sz w:val="16"/>
                <w:szCs w:val="16"/>
                <w:color w:val="auto"/>
              </w:rPr>
              <w:t>Provision for (benefit from) income taxes</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10"/>
        </w:trPr>
        <w:tc>
          <w:tcPr>
            <w:tcW w:w="8160" w:type="dxa"/>
            <w:vAlign w:val="bottom"/>
            <w:gridSpan w:val="2"/>
          </w:tcPr>
          <w:p>
            <w:pPr>
              <w:spacing w:after="0"/>
              <w:rPr>
                <w:sz w:val="20"/>
                <w:szCs w:val="20"/>
                <w:color w:val="auto"/>
              </w:rPr>
            </w:pPr>
            <w:r>
              <w:rPr>
                <w:rFonts w:ascii="Arial" w:cs="Arial" w:eastAsia="Arial" w:hAnsi="Arial"/>
                <w:sz w:val="16"/>
                <w:szCs w:val="16"/>
                <w:color w:val="auto"/>
              </w:rPr>
              <w:t>Income (loss) before income taxes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310"/>
        </w:trPr>
        <w:tc>
          <w:tcPr>
            <w:tcW w:w="540" w:type="dxa"/>
            <w:vAlign w:val="bottom"/>
          </w:tcPr>
          <w:p>
            <w:pPr>
              <w:spacing w:after="0"/>
              <w:rPr>
                <w:sz w:val="20"/>
                <w:szCs w:val="20"/>
                <w:color w:val="auto"/>
              </w:rPr>
            </w:pPr>
            <w:r>
              <w:rPr>
                <w:rFonts w:ascii="Arial" w:cs="Arial" w:eastAsia="Arial" w:hAnsi="Arial"/>
                <w:sz w:val="16"/>
                <w:szCs w:val="16"/>
                <w:color w:val="auto"/>
              </w:rPr>
              <w:t>Add:</w:t>
            </w:r>
          </w:p>
        </w:tc>
        <w:tc>
          <w:tcPr>
            <w:tcW w:w="7620" w:type="dxa"/>
            <w:vAlign w:val="bottom"/>
          </w:tcPr>
          <w:p>
            <w:pPr>
              <w:ind w:left="200"/>
              <w:spacing w:after="0"/>
              <w:rPr>
                <w:sz w:val="20"/>
                <w:szCs w:val="20"/>
                <w:color w:val="auto"/>
              </w:rPr>
            </w:pPr>
            <w:r>
              <w:rPr>
                <w:rFonts w:ascii="Arial" w:cs="Arial" w:eastAsia="Arial" w:hAnsi="Arial"/>
                <w:sz w:val="16"/>
                <w:szCs w:val="16"/>
                <w:color w:val="auto"/>
              </w:rPr>
              <w:t>Non-vehicle related depreciation and amortization</w:t>
            </w:r>
          </w:p>
        </w:tc>
        <w:tc>
          <w:tcPr>
            <w:tcW w:w="10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6"/>
        </w:trPr>
        <w:tc>
          <w:tcPr>
            <w:tcW w:w="54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6"/>
                <w:szCs w:val="16"/>
                <w:color w:val="auto"/>
              </w:rPr>
              <w:t>Interest expense related to corporate debt, net</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6"/>
        </w:trPr>
        <w:tc>
          <w:tcPr>
            <w:tcW w:w="54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6"/>
                <w:szCs w:val="16"/>
                <w:color w:val="auto"/>
              </w:rPr>
              <w:t>Restructuring and other related charges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54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6"/>
                <w:szCs w:val="16"/>
                <w:color w:val="auto"/>
              </w:rPr>
              <w:t>Transaction-related costs, net</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40" w:type="dxa"/>
            <w:vAlign w:val="bottom"/>
          </w:tcPr>
          <w:p>
            <w:pPr>
              <w:spacing w:after="0"/>
              <w:rPr>
                <w:sz w:val="18"/>
                <w:szCs w:val="18"/>
                <w:color w:val="auto"/>
              </w:rPr>
            </w:pPr>
          </w:p>
        </w:tc>
        <w:tc>
          <w:tcPr>
            <w:tcW w:w="7620" w:type="dxa"/>
            <w:vAlign w:val="bottom"/>
          </w:tcPr>
          <w:p>
            <w:pPr>
              <w:ind w:left="200"/>
              <w:spacing w:after="0" w:line="218"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(b)</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54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6"/>
                <w:szCs w:val="16"/>
                <w:color w:val="auto"/>
              </w:rPr>
              <w:t>Reported within operating expenses:</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6"/>
                <w:szCs w:val="16"/>
                <w:color w:val="auto"/>
              </w:rPr>
              <w:t>Cloud computing costs</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54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6"/>
                <w:szCs w:val="16"/>
                <w:color w:val="auto"/>
              </w:rPr>
              <w:t>Legal matters, net</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160" w:type="dxa"/>
            <w:vAlign w:val="bottom"/>
            <w:gridSpan w:val="2"/>
          </w:tcPr>
          <w:p>
            <w:pPr>
              <w:spacing w:after="0"/>
              <w:rPr>
                <w:sz w:val="20"/>
                <w:szCs w:val="20"/>
                <w:color w:val="auto"/>
              </w:rPr>
            </w:pPr>
            <w:r>
              <w:rPr>
                <w:rFonts w:ascii="Arial" w:cs="Arial" w:eastAsia="Arial" w:hAnsi="Arial"/>
                <w:sz w:val="16"/>
                <w:szCs w:val="16"/>
                <w:color w:val="auto"/>
              </w:rPr>
              <w:t>Adjusted EBITDA</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w:t>
            </w:r>
          </w:p>
        </w:tc>
      </w:tr>
      <w:tr>
        <w:trPr>
          <w:trHeight w:val="20"/>
        </w:trPr>
        <w:tc>
          <w:tcPr>
            <w:tcW w:w="5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89"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222" w:lineRule="auto"/>
        <w:tabs>
          <w:tab w:leader="none" w:pos="333" w:val="left"/>
        </w:tabs>
        <w:numPr>
          <w:ilvl w:val="0"/>
          <w:numId w:val="39"/>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investment in a former subsidiary, offset by fleet related and certain administrative services provided to the same former subsidiary.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6"/>
          </w:tcPr>
          <w:p>
            <w:pPr>
              <w:jc w:val="right"/>
              <w:ind w:right="75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04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1,993</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704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(91 %)</w:t>
            </w:r>
          </w:p>
        </w:tc>
      </w:tr>
    </w:tbl>
    <w:p>
      <w:pPr>
        <w:spacing w:after="0" w:line="3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Revenues decreased during the three months ended March 31, 2024 compared to the similar period in 2023, primarily due to a 6% decrease in revenue per day, partially offset by a 5% increase in volume.</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52.5% of revenue during the three months ended March 31, 2024 compared to 50.5% during the similar period in 2023, primarily due to an increase in volume, a decrease in revenue per day, and cost inflation. Vehicle depreciation and lease charges increased to 24.4% of revenue during the three months ended March 31, 2024 compared to 8.6% during the similar period in 2023, primarily due to increased per-unit fleet costs, which was driven by increased fleet levels and a decrease in the gain on sale of vehicles. Selling, general and administrative costs increased to 10.4% of revenue during the three months ended March 31, 2024 compared to 9.8% during the similar period in 2023, primarily due to increased marketing costs and commissions. Vehicle interest costs increased to 10.2% of revenue during the three months ended March 31, 2024 compared to 5.6% during the similar period in 2023, primarily due to rising interest rates and additional funding for vehicles.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decreased during the three months ended March 31, 2024 compared to the similar period in 2023, primarily due to higher per-unit fleet costs and inflationary pressures.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0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ind w:right="739"/>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70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080" w:type="dxa"/>
            <w:vAlign w:val="bottom"/>
          </w:tcPr>
          <w:p>
            <w:pPr>
              <w:spacing w:after="0"/>
              <w:rPr>
                <w:sz w:val="20"/>
                <w:szCs w:val="20"/>
                <w:color w:val="auto"/>
              </w:rPr>
            </w:pPr>
            <w:r>
              <w:rPr>
                <w:rFonts w:ascii="Arial" w:cs="Arial" w:eastAsia="Arial" w:hAnsi="Arial"/>
                <w:sz w:val="16"/>
                <w:szCs w:val="16"/>
                <w:color w:val="auto"/>
              </w:rPr>
              <w:t>Revenues</w:t>
            </w: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7080" w:type="dxa"/>
            <w:vAlign w:val="bottom"/>
          </w:tcPr>
          <w:p>
            <w:pPr>
              <w:spacing w:after="0"/>
              <w:rPr>
                <w:sz w:val="20"/>
                <w:szCs w:val="20"/>
                <w:color w:val="auto"/>
              </w:rPr>
            </w:pPr>
            <w:r>
              <w:rPr>
                <w:rFonts w:ascii="Arial" w:cs="Arial" w:eastAsia="Arial" w:hAnsi="Arial"/>
                <w:sz w:val="16"/>
                <w:szCs w:val="16"/>
                <w:color w:val="auto"/>
              </w:rPr>
              <w:t>Adjusted EBITDA</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(130 %)</w:t>
            </w:r>
          </w:p>
        </w:tc>
      </w:tr>
    </w:tbl>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Revenues increased during the three months ended March 31, 2024 compared to the similar period in 2023, primarily due to a 4% increase in volume, partially offset by a 1% decrease in revenue per day, excluding exchange rate effects.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51.9% of revenue during the three months ended March 31, 2024 compared to 52.6% during the similar period in 2023, primarily due to an increase in volume, partially offset by a decrease in revenue per day, excluding exchange rate effects. Vehicle depreciation and lease charges increased to 26.7% of revenue during the three months ended March 31, 2024 compared to 16.7% during the similar period in 2023, primarily due to increased per-unit fleet costs, excluding exchange rate effects, which was driven by increased fleet levels, increased depreciation rates, and a decrease in the gain on sale of vehicles. Selling, general and administrative costs were approximately 17.7% of revenue during the three months ended March 31, 2024, consistent with the similar period in 2023, primarily due to increased marketing costs and commissions, offset by a decrease in other selling, general and administrative costs. Vehicle interest costs increased to 6.5% of revenue during the three months ended March 31, 2024 compared to 3.8% during the similar period in 2023, primarily due to rising interest rates and additional funding for vehicles.</w:t>
      </w:r>
    </w:p>
    <w:p>
      <w:pPr>
        <w:spacing w:after="0" w:line="22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EBITDA decreased during the three months ended March 31, 2024 compared to the similar period in 2023, primarily due to higher per-unit fleet and interest costs, inflationary pressures, and an approximately $3 million negative impact from currency exchange rate movements.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6"/>
                <w:szCs w:val="16"/>
                <w:color w:val="auto"/>
              </w:rPr>
            </w:pPr>
          </w:p>
        </w:tc>
        <w:tc>
          <w:tcPr>
            <w:tcW w:w="1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December 31, 2023</w:t>
            </w:r>
          </w:p>
        </w:tc>
        <w:tc>
          <w:tcPr>
            <w:tcW w:w="300" w:type="dxa"/>
            <w:vAlign w:val="bottom"/>
          </w:tcPr>
          <w:p>
            <w:pPr>
              <w:spacing w:after="0"/>
              <w:rPr>
                <w:sz w:val="16"/>
                <w:szCs w:val="16"/>
                <w:color w:val="auto"/>
              </w:rPr>
            </w:pPr>
          </w:p>
        </w:tc>
        <w:tc>
          <w:tcPr>
            <w:tcW w:w="12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4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9,799</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9,590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center"/>
              <w:ind w:left="779"/>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5"/>
        </w:trPr>
        <w:tc>
          <w:tcPr>
            <w:tcW w:w="604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10,095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center"/>
              <w:ind w:left="779"/>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23,729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22,979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center"/>
              <w:ind w:left="779"/>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23,187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22,817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center"/>
              <w:ind w:left="779"/>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center"/>
              <w:ind w:left="75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bl>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liabilities exclusive of liabilities under vehicle programs is primarily due to the increase in corporate indebtedness from the issuance of senior notes. See “Liquidity and Capital Resources,” and Note 10 – Long-term Corporate Debt and Borrowing Arrangements to our Consolidated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assets and liabilities under vehicle programs are primarily due to the increase in the size and cost of our vehicle fleet.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stockholders’ equity is primarily due to our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February 2024, we issued €600 million of 7.000% euro-denominated Senior Notes due February 2029, at par, with interest payable semi-annually. In April 2024, we used net proceeds from the offering to redeem all of our outstanding 4.750% euro-denominated Senior Notes due January 2026 plus accrued interest, with the remainder being used for general corporate purposes.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2024, our Avis Budget Rental Car Funding (AESOP) subsidiary issued approximately $2.4 billion of asset-backed notes with expected final payment dates ranging from April 2026 to December 2029, and a weighted average interest rate of 5.46%. In March and April 2024, AESOP amended and restated its asset-backed variable-funding financing facilities. The proceeds from these borrowings will be used to repay maturing vehicle-backed debt and the acquisition of rental cars in the United States. In February 2024, we amended our European rental fleet securitization program to increase its capacity to approximately €1.9 billion and extend its maturity to September 2026. We also added £200 million to our capacity under the program. The program is used to finance fleet purchases for certain of our European operations.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62626"/>
        </w:rPr>
        <w:t xml:space="preserve">Our Board of Directors has authorized the repurchase of up to approximately </w:t>
      </w:r>
      <w:r>
        <w:rPr>
          <w:rFonts w:ascii="Arial" w:cs="Arial" w:eastAsia="Arial" w:hAnsi="Arial"/>
          <w:sz w:val="18"/>
          <w:szCs w:val="18"/>
          <w:color w:val="000000"/>
        </w:rPr>
        <w:t>$8.1 billion</w:t>
      </w:r>
      <w:r>
        <w:rPr>
          <w:rFonts w:ascii="Arial" w:cs="Arial" w:eastAsia="Arial" w:hAnsi="Arial"/>
          <w:sz w:val="18"/>
          <w:szCs w:val="18"/>
          <w:color w:val="262626"/>
        </w:rPr>
        <w:t xml:space="preserve"> of our common stock under a plan originally approved in 2013 and subsequently expanded, most recently in </w:t>
      </w:r>
      <w:r>
        <w:rPr>
          <w:rFonts w:ascii="Arial" w:cs="Arial" w:eastAsia="Arial" w:hAnsi="Arial"/>
          <w:sz w:val="18"/>
          <w:szCs w:val="18"/>
          <w:color w:val="000000"/>
        </w:rPr>
        <w:t>February 2023.</w:t>
      </w:r>
      <w:r>
        <w:rPr>
          <w:rFonts w:ascii="Arial" w:cs="Arial" w:eastAsia="Arial" w:hAnsi="Arial"/>
          <w:sz w:val="18"/>
          <w:szCs w:val="18"/>
          <w:color w:val="262626"/>
        </w:rPr>
        <w:t xml:space="preserve"> Our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repurchase program may be suspended, modified or discontinued at any time without prior notice. The repurchase program has no set expiration or termination date. D</w:t>
      </w:r>
      <w:r>
        <w:rPr>
          <w:rFonts w:ascii="Arial" w:cs="Arial" w:eastAsia="Arial" w:hAnsi="Arial"/>
          <w:sz w:val="18"/>
          <w:szCs w:val="18"/>
          <w:color w:val="000000"/>
        </w:rPr>
        <w:t>uring the three months ended March 31, 2024, no</w:t>
      </w:r>
      <w:r>
        <w:rPr>
          <w:rFonts w:ascii="Arial" w:cs="Arial" w:eastAsia="Arial" w:hAnsi="Arial"/>
          <w:sz w:val="18"/>
          <w:szCs w:val="18"/>
          <w:color w:val="262626"/>
        </w:rPr>
        <w:t xml:space="preserve"> common stock repurchases were made under the program. </w:t>
      </w:r>
      <w:r>
        <w:rPr>
          <w:rFonts w:ascii="Arial" w:cs="Arial" w:eastAsia="Arial" w:hAnsi="Arial"/>
          <w:sz w:val="18"/>
          <w:szCs w:val="18"/>
          <w:color w:val="000000"/>
        </w:rPr>
        <w:t>As of March 31, 2024, approximately $802 million of authorization remained available to</w:t>
      </w:r>
      <w:r>
        <w:rPr>
          <w:rFonts w:ascii="Arial" w:cs="Arial" w:eastAsia="Arial" w:hAnsi="Arial"/>
          <w:sz w:val="18"/>
          <w:szCs w:val="18"/>
          <w:color w:val="262626"/>
        </w:rPr>
        <w:t xml:space="preserve"> </w:t>
      </w:r>
      <w:r>
        <w:rPr>
          <w:rFonts w:ascii="Arial" w:cs="Arial" w:eastAsia="Arial" w:hAnsi="Arial"/>
          <w:sz w:val="18"/>
          <w:szCs w:val="18"/>
          <w:color w:val="000000"/>
        </w:rPr>
        <w:t>repurchase common stock under the program.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7"/>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7600" w:type="dxa"/>
            <w:vAlign w:val="bottom"/>
            <w:vMerge w:val="restart"/>
          </w:tcPr>
          <w:p>
            <w:pPr>
              <w:spacing w:after="0"/>
              <w:rPr>
                <w:sz w:val="20"/>
                <w:szCs w:val="20"/>
                <w:color w:val="auto"/>
              </w:rPr>
            </w:pPr>
            <w:r>
              <w:rPr>
                <w:rFonts w:ascii="Arial" w:cs="Arial" w:eastAsia="Arial" w:hAnsi="Arial"/>
                <w:sz w:val="16"/>
                <w:szCs w:val="16"/>
                <w:color w:val="auto"/>
              </w:rPr>
              <w:t>Cash provided by (used in):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4"/>
        </w:trPr>
        <w:tc>
          <w:tcPr>
            <w:tcW w:w="76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42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6"/>
        </w:trPr>
        <w:tc>
          <w:tcPr>
            <w:tcW w:w="7600" w:type="dxa"/>
            <w:vAlign w:val="bottom"/>
          </w:tcPr>
          <w:p>
            <w:pPr>
              <w:ind w:left="420"/>
              <w:spacing w:after="0"/>
              <w:rPr>
                <w:sz w:val="20"/>
                <w:szCs w:val="20"/>
                <w:color w:val="auto"/>
              </w:rPr>
            </w:pPr>
            <w:r>
              <w:rPr>
                <w:rFonts w:ascii="Arial" w:cs="Arial" w:eastAsia="Arial" w:hAnsi="Arial"/>
                <w:sz w:val="16"/>
                <w:szCs w:val="16"/>
                <w:color w:val="auto"/>
              </w:rPr>
              <w:t>Investing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6"/>
        </w:trPr>
        <w:tc>
          <w:tcPr>
            <w:tcW w:w="7600" w:type="dxa"/>
            <w:vAlign w:val="bottom"/>
          </w:tcPr>
          <w:p>
            <w:pPr>
              <w:ind w:left="42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Arial" w:cs="Arial" w:eastAsia="Arial" w:hAnsi="Arial"/>
                <w:sz w:val="16"/>
                <w:szCs w:val="16"/>
                <w:color w:val="auto"/>
              </w:rPr>
              <w:t>Net decrease in cash and cash equivalents, program and restricted cash</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5"/>
        </w:trPr>
        <w:tc>
          <w:tcPr>
            <w:tcW w:w="760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760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end of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decrease in cash provided by operating activities during the three months ended March 31, 2024 compared with the similar period in 2023 is primarily due to the decrease in our net income.</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decrease in cash used in investing activities during the three months ended March 31, 2024 compared with the similar period in 2023 is primarily due to the increase in proceeds received on disposition of vehicles.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 in cash provided by financing activities during the three months ended March 31, 2024 compared with the similar period in 2023 is primarily due to the increase in our net corporate borrowings, offset by the decrease in our net borrowings under vehicle programs.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2024, we had approximately $24.6 billion of indebtedness, including corporate indebtedness of approximately $5.4 billion and debt under vehicle programs of approximately $19.2 billion. For information regarding our debt and borrowing arrangements, see Notes 1, 10 and 11 to our Consolidated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liquidity has in the past been, and could in the future be, negatively affected by any financial market disruptions or the absence of a recovery or worsening of the United States and worldwide economies, or by continued increases in interest rates,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2024, we had $522 million of available cash and cash equivalents and access to available borrowings under our revolving credit facility of approximately $200 million, providing us with access to an approximate $722 million of total liquidity.</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March 31, 2024, we were in compliance with the financial covenants governing our indebtedness. For additional information regarding our liquidity risks, see Part I, Item 1A, “Risk Factors” of our 2023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2023 Form 10-K with the exception of our commitment to purchase vehicles, which decreased by approximately $2.7 billion from December 31, 2023, to approximately $4.1 billion as of March 31, 2024 due to existing fleet levels. Changes to our obligations related to corporate indebtedness and debt under vehicle programs are presented above within the section titled “Liquidity and Capital Resources—Debt and Financing Arrangements” and also within Notes 10 and 11 to our Consolidated Condensed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(GAAP), we are required to make estimates and assumptions that affect the amounts reported therein. Several of the estimates and assumptions we are required to make relate to matters that are inherently uncertain as they relate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within the section titled “Critical Accounting Estimates” of our 2023 Form 10-K are the accounting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5" w:name="page36"/>
    <w:bookmarkEnd w:id="35"/>
    <w:p>
      <w:pPr>
        <w:jc w:val="both"/>
        <w:spacing w:after="0" w:line="262" w:lineRule="auto"/>
        <w:rPr>
          <w:sz w:val="20"/>
          <w:szCs w:val="20"/>
          <w:color w:val="auto"/>
        </w:rPr>
      </w:pPr>
      <w:r>
        <w:rPr>
          <w:rFonts w:ascii="Arial" w:cs="Arial" w:eastAsia="Arial" w:hAnsi="Arial"/>
          <w:sz w:val="18"/>
          <w:szCs w:val="18"/>
          <w:color w:val="auto"/>
        </w:rPr>
        <w:t>policies (related to goodwill and other indefinite-lived intangible assets, vehicles, income taxes and public liability, property damage and other insurance liabilities) that we believe require subjective and complex judgments that could potentially affect reported results. There have been no significant changes to those accounting policies or our assessment of which accounting policies we would consider to be critical accounting policies.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fuel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March 31, 2024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fuel. We anticipate that such commodity risk will remain a market risk exposure for the foreseeable future. We determined that a 10% change in the price of unleaded fuel would not have a material impact on our earnings for the period ended March 31, 2024. For additional information regarding our long-term borrowings and financial instruments, see Notes 10, 11 and 16 to our Consolidated Condensed Financial Statements.</w:t>
      </w: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jc w:val="both"/>
        <w:ind w:left="340" w:hanging="332"/>
        <w:spacing w:after="0" w:line="259" w:lineRule="auto"/>
        <w:tabs>
          <w:tab w:leader="none" w:pos="33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March 31, 2024.</w:t>
      </w:r>
    </w:p>
    <w:p>
      <w:pPr>
        <w:spacing w:after="0" w:line="206" w:lineRule="exact"/>
        <w:rPr>
          <w:rFonts w:ascii="Arial" w:cs="Arial" w:eastAsia="Arial" w:hAnsi="Arial"/>
          <w:sz w:val="18"/>
          <w:szCs w:val="18"/>
          <w:color w:val="auto"/>
        </w:rPr>
      </w:pPr>
    </w:p>
    <w:p>
      <w:pPr>
        <w:jc w:val="both"/>
        <w:ind w:left="340" w:hanging="332"/>
        <w:spacing w:after="0" w:line="268" w:lineRule="auto"/>
        <w:tabs>
          <w:tab w:leader="none" w:pos="33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first quarter of 2024, there was no change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information regarding our legal proceedings, see Note 12 – Commitments and Contingencies to our Consolidated Condensed Financial Statements and refer to our 2023 Form 10-K.</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 regulations require us to disclose certain information about proceedings arising under federal, state or local environmental provisions if we reasonably believe that such proceedings may result in monetary sanctions above a stated threshold. In accordance with these regulations, we use a threshold of $1 million for purposes of determining whether disclosure of any such proceedings is required pursuant to this item.</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March 31, 2024, we had no material developments to report with respect to our risk factors. For additional information regarding our risk factors, please refer to our 2023 Form 10-K.</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62626"/>
        </w:rPr>
        <w:t xml:space="preserve">Our Board of Directors has authorized the repurchase of up to approximately </w:t>
      </w:r>
      <w:r>
        <w:rPr>
          <w:rFonts w:ascii="Arial" w:cs="Arial" w:eastAsia="Arial" w:hAnsi="Arial"/>
          <w:sz w:val="18"/>
          <w:szCs w:val="18"/>
          <w:color w:val="000000"/>
        </w:rPr>
        <w:t>$8.1 billion</w:t>
      </w:r>
      <w:r>
        <w:rPr>
          <w:rFonts w:ascii="Arial" w:cs="Arial" w:eastAsia="Arial" w:hAnsi="Arial"/>
          <w:sz w:val="18"/>
          <w:szCs w:val="18"/>
          <w:color w:val="262626"/>
        </w:rPr>
        <w:t xml:space="preserve"> of our common stock under a plan originally approved in 2013 and subsequently expanded, most recently in </w:t>
      </w:r>
      <w:r>
        <w:rPr>
          <w:rFonts w:ascii="Arial" w:cs="Arial" w:eastAsia="Arial" w:hAnsi="Arial"/>
          <w:sz w:val="18"/>
          <w:szCs w:val="18"/>
          <w:color w:val="000000"/>
        </w:rPr>
        <w:t>February 2023</w:t>
      </w:r>
      <w:r>
        <w:rPr>
          <w:rFonts w:ascii="Arial" w:cs="Arial" w:eastAsia="Arial" w:hAnsi="Arial"/>
          <w:sz w:val="18"/>
          <w:szCs w:val="18"/>
          <w:color w:val="262626"/>
        </w:rPr>
        <w:t xml:space="preserve">. Under our stock repurchase program, the Company may repurchase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timing and amount of repurchase transactions will be determined by the Company’s management based on its evaluation of market conditions, the Company’s share price, legal requirements, restricted payment capacity under its debt instruments and other factors. The stock repurchase program may be suspended, modified or discontinued without prior notice. During the </w:t>
      </w:r>
      <w:r>
        <w:rPr>
          <w:rFonts w:ascii="Arial" w:cs="Arial" w:eastAsia="Arial" w:hAnsi="Arial"/>
          <w:sz w:val="18"/>
          <w:szCs w:val="18"/>
          <w:color w:val="000000"/>
        </w:rPr>
        <w:t>first quarter</w:t>
      </w:r>
      <w:r>
        <w:rPr>
          <w:rFonts w:ascii="Arial" w:cs="Arial" w:eastAsia="Arial" w:hAnsi="Arial"/>
          <w:sz w:val="18"/>
          <w:szCs w:val="18"/>
          <w:color w:val="262626"/>
        </w:rPr>
        <w:t xml:space="preserve"> of </w:t>
      </w:r>
      <w:r>
        <w:rPr>
          <w:rFonts w:ascii="Arial" w:cs="Arial" w:eastAsia="Arial" w:hAnsi="Arial"/>
          <w:sz w:val="18"/>
          <w:szCs w:val="18"/>
          <w:color w:val="000000"/>
        </w:rPr>
        <w:t>2024</w:t>
      </w:r>
      <w:r>
        <w:rPr>
          <w:rFonts w:ascii="Arial" w:cs="Arial" w:eastAsia="Arial" w:hAnsi="Arial"/>
          <w:sz w:val="18"/>
          <w:szCs w:val="18"/>
          <w:color w:val="262626"/>
        </w:rPr>
        <w:t xml:space="preserve">, no common stock repurchases were made under the program. As of </w:t>
      </w:r>
      <w:r>
        <w:rPr>
          <w:rFonts w:ascii="Arial" w:cs="Arial" w:eastAsia="Arial" w:hAnsi="Arial"/>
          <w:sz w:val="18"/>
          <w:szCs w:val="18"/>
          <w:color w:val="000000"/>
        </w:rPr>
        <w:t>March 31, 2024</w:t>
      </w:r>
      <w:r>
        <w:rPr>
          <w:rFonts w:ascii="Arial" w:cs="Arial" w:eastAsia="Arial" w:hAnsi="Arial"/>
          <w:sz w:val="18"/>
          <w:szCs w:val="18"/>
          <w:color w:val="262626"/>
        </w:rPr>
        <w:t xml:space="preserve">, approximately </w:t>
      </w:r>
      <w:r>
        <w:rPr>
          <w:rFonts w:ascii="Arial" w:cs="Arial" w:eastAsia="Arial" w:hAnsi="Arial"/>
          <w:sz w:val="18"/>
          <w:szCs w:val="18"/>
          <w:color w:val="000000"/>
        </w:rPr>
        <w:t>$802</w:t>
      </w:r>
      <w:r>
        <w:rPr>
          <w:rFonts w:ascii="Arial" w:cs="Arial" w:eastAsia="Arial" w:hAnsi="Arial"/>
          <w:sz w:val="18"/>
          <w:szCs w:val="18"/>
          <w:color w:val="262626"/>
        </w:rPr>
        <w:t xml:space="preserve"> </w:t>
      </w:r>
      <w:r>
        <w:rPr>
          <w:rFonts w:ascii="Arial" w:cs="Arial" w:eastAsia="Arial" w:hAnsi="Arial"/>
          <w:sz w:val="18"/>
          <w:szCs w:val="18"/>
          <w:color w:val="000000"/>
        </w:rPr>
        <w:t xml:space="preserve">million </w:t>
      </w:r>
      <w:r>
        <w:rPr>
          <w:rFonts w:ascii="Arial" w:cs="Arial" w:eastAsia="Arial" w:hAnsi="Arial"/>
          <w:sz w:val="18"/>
          <w:szCs w:val="18"/>
          <w:color w:val="262626"/>
        </w:rPr>
        <w:t>of authorization remained available to repurchase common stock under this program.</w:t>
      </w:r>
    </w:p>
    <w:p>
      <w:pPr>
        <w:spacing w:after="0" w:line="20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62626"/>
        </w:rPr>
        <w:t xml:space="preserve">During the </w:t>
      </w:r>
      <w:r>
        <w:rPr>
          <w:rFonts w:ascii="Arial" w:cs="Arial" w:eastAsia="Arial" w:hAnsi="Arial"/>
          <w:sz w:val="18"/>
          <w:szCs w:val="18"/>
          <w:color w:val="000000"/>
        </w:rPr>
        <w:t>three months ended March 31, 2024</w:t>
      </w:r>
      <w:r>
        <w:rPr>
          <w:rFonts w:ascii="Arial" w:cs="Arial" w:eastAsia="Arial" w:hAnsi="Arial"/>
          <w:sz w:val="18"/>
          <w:szCs w:val="18"/>
          <w:color w:val="262626"/>
        </w:rPr>
        <w:t>, no director or Section 16 officer of the Company adopted or terminated a "Rule 10b5-1 trading arrangement" or "non-Rule 10b5-1 trading arrangement," as each term is defined in Item 408(a) of Regulation S-K.</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6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AVIS BUDGET GROUP, INC.</w:t>
            </w:r>
          </w:p>
        </w:tc>
      </w:tr>
      <w:tr>
        <w:trPr>
          <w:trHeight w:val="488"/>
        </w:trPr>
        <w:tc>
          <w:tcPr>
            <w:tcW w:w="3660" w:type="dxa"/>
            <w:vAlign w:val="bottom"/>
          </w:tcPr>
          <w:p>
            <w:pPr>
              <w:ind w:left="20"/>
              <w:spacing w:after="0"/>
              <w:rPr>
                <w:sz w:val="20"/>
                <w:szCs w:val="20"/>
                <w:color w:val="auto"/>
              </w:rPr>
            </w:pPr>
            <w:r>
              <w:rPr>
                <w:rFonts w:ascii="Arial" w:cs="Arial" w:eastAsia="Arial" w:hAnsi="Arial"/>
                <w:sz w:val="18"/>
                <w:szCs w:val="18"/>
                <w:color w:val="auto"/>
              </w:rPr>
              <w:t>Date:   May 2, 2024</w:t>
            </w:r>
          </w:p>
        </w:tc>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Cathleen DeGenova</w:t>
            </w:r>
          </w:p>
        </w:tc>
      </w:tr>
      <w:tr>
        <w:trPr>
          <w:trHeight w:val="218"/>
        </w:trPr>
        <w:tc>
          <w:tcPr>
            <w:tcW w:w="36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Cathleen DeGenova</w:t>
            </w:r>
          </w:p>
        </w:tc>
      </w:tr>
      <w:tr>
        <w:trPr>
          <w:trHeight w:val="229"/>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39"/>
        </w:trPr>
        <w:tc>
          <w:tcPr>
            <w:tcW w:w="3660" w:type="dxa"/>
            <w:vAlign w:val="bottom"/>
          </w:tcPr>
          <w:p>
            <w:pPr>
              <w:spacing w:after="0"/>
              <w:rPr>
                <w:sz w:val="20"/>
                <w:szCs w:val="20"/>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918"/>
        </w:trPr>
        <w:tc>
          <w:tcPr>
            <w:tcW w:w="3660" w:type="dxa"/>
            <w:vAlign w:val="bottom"/>
          </w:tcPr>
          <w:p>
            <w:pPr>
              <w:spacing w:after="0"/>
              <w:rPr>
                <w:sz w:val="24"/>
                <w:szCs w:val="24"/>
                <w:color w:val="auto"/>
              </w:rPr>
            </w:pPr>
          </w:p>
        </w:tc>
        <w:tc>
          <w:tcPr>
            <w:tcW w:w="7580" w:type="dxa"/>
            <w:vAlign w:val="bottom"/>
          </w:tcPr>
          <w:p>
            <w:pPr>
              <w:ind w:left="1860"/>
              <w:spacing w:after="0"/>
              <w:rPr>
                <w:sz w:val="20"/>
                <w:szCs w:val="20"/>
                <w:color w:val="auto"/>
              </w:rPr>
            </w:pPr>
            <w:r>
              <w:rPr>
                <w:rFonts w:ascii="Arial" w:cs="Arial" w:eastAsia="Arial" w:hAnsi="Arial"/>
                <w:sz w:val="18"/>
                <w:szCs w:val="18"/>
                <w:color w:val="auto"/>
              </w:rPr>
              <w:t>36</w:t>
            </w:r>
          </w:p>
        </w:tc>
      </w:tr>
      <w:tr>
        <w:trPr>
          <w:trHeight w:val="111"/>
        </w:trPr>
        <w:tc>
          <w:tcPr>
            <w:tcW w:w="3660" w:type="dxa"/>
            <w:vAlign w:val="bottom"/>
            <w:tcBorders>
              <w:bottom w:val="single" w:sz="8" w:color="9A9A9A"/>
            </w:tcBorders>
          </w:tcPr>
          <w:p>
            <w:pPr>
              <w:spacing w:after="0"/>
              <w:rPr>
                <w:sz w:val="9"/>
                <w:szCs w:val="9"/>
                <w:color w:val="auto"/>
              </w:rPr>
            </w:pPr>
          </w:p>
        </w:tc>
        <w:tc>
          <w:tcPr>
            <w:tcW w:w="7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223"/>
        </w:trPr>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500" w:type="dxa"/>
            <w:vAlign w:val="bottom"/>
            <w:gridSpan w:val="23"/>
          </w:tcPr>
          <w:p>
            <w:pPr>
              <w:ind w:left="80"/>
              <w:spacing w:after="0"/>
              <w:rPr>
                <w:sz w:val="20"/>
                <w:szCs w:val="20"/>
                <w:color w:val="auto"/>
              </w:rPr>
            </w:pPr>
            <w:r>
              <w:rPr>
                <w:rFonts w:ascii="Arial" w:cs="Arial" w:eastAsia="Arial" w:hAnsi="Arial"/>
                <w:sz w:val="16"/>
                <w:szCs w:val="16"/>
                <w:b w:val="1"/>
                <w:bCs w:val="1"/>
                <w:color w:val="auto"/>
              </w:rPr>
              <w:t>Exhibit Index</w:t>
            </w:r>
          </w:p>
        </w:tc>
      </w:tr>
      <w:tr>
        <w:trPr>
          <w:trHeight w:val="250"/>
        </w:trPr>
        <w:tc>
          <w:tcPr>
            <w:tcW w:w="1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r>
      <w:tr>
        <w:trPr>
          <w:trHeight w:val="21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Exhibit No.</w:t>
            </w:r>
          </w:p>
        </w:tc>
        <w:tc>
          <w:tcPr>
            <w:tcW w:w="7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40" w:type="dxa"/>
            <w:vAlign w:val="bottom"/>
            <w:tcBorders>
              <w:bottom w:val="single" w:sz="8" w:color="auto"/>
              <w:right w:val="single" w:sz="8" w:color="auto"/>
            </w:tcBorders>
            <w:gridSpan w:val="21"/>
          </w:tcPr>
          <w:p>
            <w:pPr>
              <w:ind w:left="520"/>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w:t>
            </w:r>
          </w:p>
        </w:tc>
        <w:tc>
          <w:tcPr>
            <w:tcW w:w="10240" w:type="dxa"/>
            <w:vAlign w:val="bottom"/>
            <w:tcBorders>
              <w:right w:val="single" w:sz="8" w:color="auto"/>
            </w:tcBorders>
            <w:gridSpan w:val="26"/>
          </w:tcPr>
          <w:p>
            <w:pPr>
              <w:spacing w:after="0" w:line="169" w:lineRule="exact"/>
              <w:rPr>
                <w:rFonts w:ascii="Arial" w:cs="Arial" w:eastAsia="Arial" w:hAnsi="Arial"/>
                <w:sz w:val="16"/>
                <w:szCs w:val="16"/>
                <w:color w:val="0000FF"/>
              </w:rPr>
            </w:pPr>
            <w:hyperlink r:id="rId65">
              <w:r>
                <w:rPr>
                  <w:rFonts w:ascii="Arial" w:cs="Arial" w:eastAsia="Arial" w:hAnsi="Arial"/>
                  <w:sz w:val="16"/>
                  <w:szCs w:val="16"/>
                  <w:color w:val="0000FF"/>
                </w:rPr>
                <w:t>Amended and Restated Certificate of Incorporation of Avis Budget Group, Inc. (incorporated by reference to Exhibit 3.1 to the Company’s</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4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Current Report on Form 8-K dated September 5, 2006).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240" w:type="dxa"/>
            <w:vAlign w:val="bottom"/>
            <w:tcBorders>
              <w:right w:val="single" w:sz="8" w:color="auto"/>
            </w:tcBorders>
            <w:gridSpan w:val="26"/>
          </w:tcPr>
          <w:p>
            <w:pPr>
              <w:spacing w:after="0" w:line="169" w:lineRule="exact"/>
              <w:rPr>
                <w:rFonts w:ascii="Arial" w:cs="Arial" w:eastAsia="Arial" w:hAnsi="Arial"/>
                <w:sz w:val="16"/>
                <w:szCs w:val="16"/>
                <w:color w:val="0000FF"/>
              </w:rPr>
            </w:pPr>
            <w:hyperlink r:id="rId66">
              <w:r>
                <w:rPr>
                  <w:rFonts w:ascii="Arial" w:cs="Arial" w:eastAsia="Arial" w:hAnsi="Arial"/>
                  <w:sz w:val="16"/>
                  <w:szCs w:val="16"/>
                  <w:color w:val="0000FF"/>
                </w:rPr>
                <w:t>Amended and Restated Bylaws of Avis Budget Group, Inc., dated as of August 10, 2020 (incorporated by reference to Exhibit 3.2 to the</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0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Company’s Current Report on Form 8-K dated August 13, 2020).</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4.1</w:t>
            </w:r>
          </w:p>
        </w:tc>
        <w:tc>
          <w:tcPr>
            <w:tcW w:w="10240" w:type="dxa"/>
            <w:vAlign w:val="bottom"/>
            <w:tcBorders>
              <w:right w:val="single" w:sz="8" w:color="auto"/>
            </w:tcBorders>
            <w:gridSpan w:val="26"/>
          </w:tcPr>
          <w:p>
            <w:pPr>
              <w:spacing w:after="0" w:line="169" w:lineRule="exact"/>
              <w:rPr>
                <w:rFonts w:ascii="Arial" w:cs="Arial" w:eastAsia="Arial" w:hAnsi="Arial"/>
                <w:sz w:val="16"/>
                <w:szCs w:val="16"/>
                <w:color w:val="0000FF"/>
              </w:rPr>
            </w:pPr>
            <w:hyperlink r:id="rId67">
              <w:r>
                <w:rPr>
                  <w:rFonts w:ascii="Arial" w:cs="Arial" w:eastAsia="Arial" w:hAnsi="Arial"/>
                  <w:sz w:val="16"/>
                  <w:szCs w:val="16"/>
                  <w:color w:val="0000FF"/>
                </w:rPr>
                <w:t>Indenture, dated as of February 28, 2024, by and among Avis Budget Finance plc, as issuer, the guarantors party thereto, U.S. Bank Trust</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2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Company, National Association, as trustee, Elavon Financial Services DAC, as registrar and transfer agent, and Elavon Financial Services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100" w:type="dxa"/>
            <w:vAlign w:val="bottom"/>
            <w:tcBorders>
              <w:bottom w:val="single" w:sz="8" w:color="0000FF"/>
            </w:tcBorders>
            <w:gridSpan w:val="20"/>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DAC, UK Branch, as paying agent (incorporated by reference to Exhibit 4.1 to the Company’s Current Report on Form 8-K dated February</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380" w:type="dxa"/>
            <w:vAlign w:val="bottom"/>
            <w:gridSpan w:val="2"/>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29, 2024).</w:t>
              </w:r>
            </w:hyperlink>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w:t>
            </w:r>
          </w:p>
        </w:tc>
        <w:tc>
          <w:tcPr>
            <w:tcW w:w="10240" w:type="dxa"/>
            <w:vAlign w:val="bottom"/>
            <w:tcBorders>
              <w:right w:val="single" w:sz="8" w:color="auto"/>
            </w:tcBorders>
            <w:gridSpan w:val="26"/>
          </w:tcPr>
          <w:p>
            <w:pPr>
              <w:spacing w:after="0" w:line="169" w:lineRule="exact"/>
              <w:rPr>
                <w:rFonts w:ascii="Arial" w:cs="Arial" w:eastAsia="Arial" w:hAnsi="Arial"/>
                <w:sz w:val="16"/>
                <w:szCs w:val="16"/>
                <w:color w:val="0000FF"/>
              </w:rPr>
            </w:pPr>
            <w:hyperlink r:id="rId68">
              <w:r>
                <w:rPr>
                  <w:rFonts w:ascii="Arial" w:cs="Arial" w:eastAsia="Arial" w:hAnsi="Arial"/>
                  <w:sz w:val="16"/>
                  <w:szCs w:val="16"/>
                  <w:color w:val="0000FF"/>
                </w:rPr>
                <w:t>Series 2024-1 Supplement, dated as of January 12, 2024, between Avis Budget Rental Car Funding (AESOP) LLC and The Bank of New</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0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York Mellon Trust Company, N.A., as trustee and as Series 2024-1 Agent (incorporated by reference to Exhibit 10.1 to the Company’s</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60" w:type="dxa"/>
            <w:vAlign w:val="bottom"/>
            <w:gridSpan w:val="18"/>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Current Report on Form 8-K dated January 18, 2024).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w:t>
            </w:r>
          </w:p>
        </w:tc>
        <w:tc>
          <w:tcPr>
            <w:tcW w:w="10240" w:type="dxa"/>
            <w:vAlign w:val="bottom"/>
            <w:tcBorders>
              <w:right w:val="single" w:sz="8" w:color="auto"/>
            </w:tcBorders>
            <w:gridSpan w:val="26"/>
          </w:tcPr>
          <w:p>
            <w:pPr>
              <w:spacing w:after="0" w:line="169" w:lineRule="exact"/>
              <w:rPr>
                <w:rFonts w:ascii="Arial" w:cs="Arial" w:eastAsia="Arial" w:hAnsi="Arial"/>
                <w:sz w:val="16"/>
                <w:szCs w:val="16"/>
                <w:color w:val="0000FF"/>
              </w:rPr>
            </w:pPr>
            <w:hyperlink r:id="rId69">
              <w:r>
                <w:rPr>
                  <w:rFonts w:ascii="Arial" w:cs="Arial" w:eastAsia="Arial" w:hAnsi="Arial"/>
                  <w:sz w:val="16"/>
                  <w:szCs w:val="16"/>
                  <w:color w:val="0000FF"/>
                </w:rPr>
                <w:t>Fourth Amendment to Fifth Amended and Restated Series 2010-6 Supplement, dated as of January 12, 2024, by and among Avis Budget</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2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Rental Car Funding (AESOP) LLC, as Issuer, Avis Budget Car Rental, LLC, as Administrator, JPMorgan Chase Bank, N.A., as</w:t>
              </w:r>
            </w:hyperlink>
          </w:p>
        </w:tc>
        <w:tc>
          <w:tcPr>
            <w:tcW w:w="60" w:type="dxa"/>
            <w:vAlign w:val="bottom"/>
            <w:tcBorders>
              <w:bottom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80" w:type="dxa"/>
            <w:vAlign w:val="bottom"/>
            <w:gridSpan w:val="19"/>
          </w:tcPr>
          <w:p>
            <w:pPr>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Administrative Agent, the Non-Conduit Purchasers, the CP Conduit Purchasers, the Committed Note Purchasers, the APA Banks and the</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4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Funding Agents named therein and The Bank of New York Mellon Trust Company, N.A., as trustee and as Series 2010-6 Agent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40" w:type="dxa"/>
            <w:vAlign w:val="bottom"/>
            <w:tcBorders>
              <w:bottom w:val="single" w:sz="8" w:color="0000FF"/>
            </w:tcBorders>
            <w:gridSpan w:val="7"/>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140" w:type="dxa"/>
            <w:vAlign w:val="bottom"/>
            <w:gridSpan w:val="22"/>
          </w:tcPr>
          <w:p>
            <w:pPr>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(incorporated by reference to Exhibit 10.2 to the Company’s Current Report on Form 8-K dated January 18, 2024).</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92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w:t>
            </w:r>
          </w:p>
        </w:tc>
        <w:tc>
          <w:tcPr>
            <w:tcW w:w="10240" w:type="dxa"/>
            <w:vAlign w:val="bottom"/>
            <w:tcBorders>
              <w:right w:val="single" w:sz="8" w:color="auto"/>
            </w:tcBorders>
            <w:gridSpan w:val="26"/>
          </w:tcPr>
          <w:p>
            <w:pPr>
              <w:spacing w:after="0" w:line="169" w:lineRule="exact"/>
              <w:rPr>
                <w:rFonts w:ascii="Arial" w:cs="Arial" w:eastAsia="Arial" w:hAnsi="Arial"/>
                <w:sz w:val="16"/>
                <w:szCs w:val="16"/>
                <w:color w:val="0000FF"/>
              </w:rPr>
            </w:pPr>
            <w:hyperlink r:id="rId70">
              <w:r>
                <w:rPr>
                  <w:rFonts w:ascii="Arial" w:cs="Arial" w:eastAsia="Arial" w:hAnsi="Arial"/>
                  <w:sz w:val="16"/>
                  <w:szCs w:val="16"/>
                  <w:color w:val="0000FF"/>
                </w:rPr>
                <w:t>Fourth Amendment to Third Amended and Restated Series 2015-3 Supplement, dated as of January 12, 2024, by and among Avis Budget</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2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70">
              <w:r>
                <w:rPr>
                  <w:rFonts w:ascii="Arial" w:cs="Arial" w:eastAsia="Arial" w:hAnsi="Arial"/>
                  <w:sz w:val="16"/>
                  <w:szCs w:val="16"/>
                  <w:color w:val="0000FF"/>
                </w:rPr>
                <w:t>Rental Car Funding (AESOP) LLC, as Issuer, Avis Budget Car Rental, LLC, as Administrator, JPMorgan Chase Bank, N.A., as</w:t>
              </w:r>
            </w:hyperlink>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70">
              <w:r>
                <w:rPr>
                  <w:rFonts w:ascii="Arial" w:cs="Arial" w:eastAsia="Arial" w:hAnsi="Arial"/>
                  <w:sz w:val="16"/>
                  <w:szCs w:val="16"/>
                  <w:color w:val="0000FF"/>
                </w:rPr>
                <w:t>Administrative Agent, the Non-Conduit Purchasers, the CP Conduit Purchasers, the Committed Note Purchasers, the APA Banks and the</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4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70">
              <w:r>
                <w:rPr>
                  <w:rFonts w:ascii="Arial" w:cs="Arial" w:eastAsia="Arial" w:hAnsi="Arial"/>
                  <w:sz w:val="16"/>
                  <w:szCs w:val="16"/>
                  <w:color w:val="0000FF"/>
                </w:rPr>
                <w:t>Funding Agents named therein and The Bank of New York Mellon Trust Company, N.A., as trustee and as Series 2015-3 Agent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1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70">
              <w:r>
                <w:rPr>
                  <w:rFonts w:ascii="Arial" w:cs="Arial" w:eastAsia="Arial" w:hAnsi="Arial"/>
                  <w:sz w:val="16"/>
                  <w:szCs w:val="16"/>
                  <w:color w:val="0000FF"/>
                </w:rPr>
                <w:t>(incorporated by reference to Exhibit 10.3 to the Company’s Current Report on Form 8-K dated January 18, 2024).</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92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10.4</w:t>
            </w:r>
          </w:p>
        </w:tc>
        <w:tc>
          <w:tcPr>
            <w:tcW w:w="10240" w:type="dxa"/>
            <w:vAlign w:val="bottom"/>
            <w:tcBorders>
              <w:right w:val="single" w:sz="8" w:color="auto"/>
            </w:tcBorders>
            <w:gridSpan w:val="26"/>
          </w:tcPr>
          <w:p>
            <w:pPr>
              <w:spacing w:after="0" w:line="169" w:lineRule="exact"/>
              <w:rPr>
                <w:sz w:val="20"/>
                <w:szCs w:val="20"/>
                <w:color w:val="auto"/>
              </w:rPr>
            </w:pPr>
            <w:r>
              <w:rPr>
                <w:rFonts w:ascii="Arial" w:cs="Arial" w:eastAsia="Arial" w:hAnsi="Arial"/>
                <w:sz w:val="16"/>
                <w:szCs w:val="16"/>
                <w:color w:val="0000FF"/>
              </w:rPr>
              <w:t>First Amendment to Series 2022-5 Supplement, dated as of February 5, 2024, between Avis Budget Rental Car Funding (AESOP) LLC</w:t>
            </w: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8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and The Bank of New York Mellon Trust Company, N.A., as trustee and as Series 2022-5 Agent.</w:t>
            </w:r>
          </w:p>
        </w:tc>
        <w:tc>
          <w:tcPr>
            <w:tcW w:w="140" w:type="dxa"/>
            <w:vAlign w:val="bottom"/>
            <w:gridSpan w:val="7"/>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92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10.5</w:t>
            </w:r>
          </w:p>
        </w:tc>
        <w:tc>
          <w:tcPr>
            <w:tcW w:w="10240" w:type="dxa"/>
            <w:vAlign w:val="bottom"/>
            <w:tcBorders>
              <w:right w:val="single" w:sz="8" w:color="auto"/>
            </w:tcBorders>
            <w:gridSpan w:val="26"/>
          </w:tcPr>
          <w:p>
            <w:pPr>
              <w:spacing w:after="0" w:line="169" w:lineRule="exact"/>
              <w:rPr>
                <w:sz w:val="20"/>
                <w:szCs w:val="20"/>
                <w:color w:val="auto"/>
              </w:rPr>
            </w:pPr>
            <w:r>
              <w:rPr>
                <w:rFonts w:ascii="Arial" w:cs="Arial" w:eastAsia="Arial" w:hAnsi="Arial"/>
                <w:sz w:val="16"/>
                <w:szCs w:val="16"/>
                <w:color w:val="0000FF"/>
              </w:rPr>
              <w:t>First Amendment to Series 2023-1 Supplement, dated as of February 5, 2024, between Avis Budget Rental Car Funding (AESOP) LLC</w:t>
            </w: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8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and The Bank of New York Mellon Trust Company, N.A., as trustee and as Series 2023-1 Agent.</w:t>
            </w:r>
          </w:p>
        </w:tc>
        <w:tc>
          <w:tcPr>
            <w:tcW w:w="140" w:type="dxa"/>
            <w:vAlign w:val="bottom"/>
            <w:gridSpan w:val="7"/>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92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10.6</w:t>
            </w:r>
          </w:p>
        </w:tc>
        <w:tc>
          <w:tcPr>
            <w:tcW w:w="10240" w:type="dxa"/>
            <w:vAlign w:val="bottom"/>
            <w:tcBorders>
              <w:right w:val="single" w:sz="8" w:color="auto"/>
            </w:tcBorders>
            <w:gridSpan w:val="26"/>
          </w:tcPr>
          <w:p>
            <w:pPr>
              <w:spacing w:after="0" w:line="169" w:lineRule="exact"/>
              <w:rPr>
                <w:sz w:val="20"/>
                <w:szCs w:val="20"/>
                <w:color w:val="auto"/>
              </w:rPr>
            </w:pPr>
            <w:r>
              <w:rPr>
                <w:rFonts w:ascii="Arial" w:cs="Arial" w:eastAsia="Arial" w:hAnsi="Arial"/>
                <w:sz w:val="16"/>
                <w:szCs w:val="16"/>
                <w:color w:val="0000FF"/>
              </w:rPr>
              <w:t>First Amendment to Series 2023-2 Supplement, dated as of February 5, 2024, between Avis Budget Rental Car Funding (AESOP) LLC</w:t>
            </w: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8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and The Bank of New York Mellon Trust Company, N.A., as trustee and as Series 2023-2 Agent.</w:t>
            </w:r>
          </w:p>
        </w:tc>
        <w:tc>
          <w:tcPr>
            <w:tcW w:w="140" w:type="dxa"/>
            <w:vAlign w:val="bottom"/>
            <w:gridSpan w:val="7"/>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92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10.7</w:t>
            </w:r>
          </w:p>
        </w:tc>
        <w:tc>
          <w:tcPr>
            <w:tcW w:w="10240" w:type="dxa"/>
            <w:vAlign w:val="bottom"/>
            <w:tcBorders>
              <w:right w:val="single" w:sz="8" w:color="auto"/>
            </w:tcBorders>
            <w:gridSpan w:val="26"/>
          </w:tcPr>
          <w:p>
            <w:pPr>
              <w:spacing w:after="0" w:line="169" w:lineRule="exact"/>
              <w:rPr>
                <w:rFonts w:ascii="Arial" w:cs="Arial" w:eastAsia="Arial" w:hAnsi="Arial"/>
                <w:sz w:val="16"/>
                <w:szCs w:val="16"/>
                <w:color w:val="0000FF"/>
              </w:rPr>
            </w:pPr>
            <w:hyperlink r:id="rId71">
              <w:r>
                <w:rPr>
                  <w:rFonts w:ascii="Arial" w:cs="Arial" w:eastAsia="Arial" w:hAnsi="Arial"/>
                  <w:sz w:val="16"/>
                  <w:szCs w:val="16"/>
                  <w:color w:val="0000FF"/>
                </w:rPr>
                <w:t>Sixth Amended and Restated Series 2010-6 Supplement, dated as of March 4, 2024, by and among Avis Budget Rental Car Funding</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1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71">
              <w:r>
                <w:rPr>
                  <w:rFonts w:ascii="Arial" w:cs="Arial" w:eastAsia="Arial" w:hAnsi="Arial"/>
                  <w:sz w:val="16"/>
                  <w:szCs w:val="16"/>
                  <w:color w:val="0000FF"/>
                </w:rPr>
                <w:t>(AESOP) LLC, as Issuer, Avis Budget Car Rental, LLC, as Administrator, JPMorgan Chase Bank, N.A., as Administrative Agent, the Non-</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2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rPr>
            </w:pPr>
            <w:hyperlink r:id="rId71">
              <w:r>
                <w:rPr>
                  <w:rFonts w:ascii="Arial" w:cs="Arial" w:eastAsia="Arial" w:hAnsi="Arial"/>
                  <w:sz w:val="16"/>
                  <w:szCs w:val="16"/>
                  <w:color w:val="0000FF"/>
                </w:rPr>
                <w:t>Conduit Purchasers, the CP Conduit Purchasers, the Committed Note Purchasers, the APA Banks and the Funding Agents named therein</w:t>
              </w:r>
            </w:hyperlink>
          </w:p>
        </w:tc>
        <w:tc>
          <w:tcPr>
            <w:tcW w:w="40" w:type="dxa"/>
            <w:vAlign w:val="bottom"/>
            <w:tcBorders>
              <w:bottom w:val="single" w:sz="8" w:color="0000FF"/>
            </w:tcBorders>
            <w:gridSpan w:val="2"/>
          </w:tcPr>
          <w:p>
            <w:pPr>
              <w:spacing w:after="0"/>
              <w:rPr>
                <w:sz w:val="12"/>
                <w:szCs w:val="12"/>
                <w:color w:val="auto"/>
              </w:rPr>
            </w:pPr>
          </w:p>
        </w:tc>
        <w:tc>
          <w:tcPr>
            <w:tcW w:w="220" w:type="dxa"/>
            <w:vAlign w:val="bottom"/>
            <w:tcBorders>
              <w:bottom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180" w:type="dxa"/>
            <w:vAlign w:val="bottom"/>
            <w:gridSpan w:val="24"/>
          </w:tcPr>
          <w:p>
            <w:pPr>
              <w:spacing w:after="0" w:line="142" w:lineRule="exact"/>
              <w:rPr>
                <w:rFonts w:ascii="Arial" w:cs="Arial" w:eastAsia="Arial" w:hAnsi="Arial"/>
                <w:sz w:val="16"/>
                <w:szCs w:val="16"/>
                <w:color w:val="0000FF"/>
              </w:rPr>
            </w:pPr>
            <w:hyperlink r:id="rId71">
              <w:r>
                <w:rPr>
                  <w:rFonts w:ascii="Arial" w:cs="Arial" w:eastAsia="Arial" w:hAnsi="Arial"/>
                  <w:sz w:val="16"/>
                  <w:szCs w:val="16"/>
                  <w:color w:val="0000FF"/>
                </w:rPr>
                <w:t>and The Bank of New York Mellon Trust Company, N.A., as Trustee and as Series 2010-6 Agent (incorporated by reference to Exhibit 10.1</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6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71">
              <w:r>
                <w:rPr>
                  <w:rFonts w:ascii="Arial" w:cs="Arial" w:eastAsia="Arial" w:hAnsi="Arial"/>
                  <w:sz w:val="16"/>
                  <w:szCs w:val="16"/>
                  <w:color w:val="0000FF"/>
                </w:rPr>
                <w:t>to the Company’s Current Report on Form 8-K dated March 8, 2024).</w:t>
              </w:r>
            </w:hyperlink>
          </w:p>
        </w:tc>
        <w:tc>
          <w:tcPr>
            <w:tcW w:w="240" w:type="dxa"/>
            <w:vAlign w:val="bottom"/>
            <w:gridSpan w:val="1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10.8</w:t>
            </w:r>
          </w:p>
        </w:tc>
        <w:tc>
          <w:tcPr>
            <w:tcW w:w="10240" w:type="dxa"/>
            <w:vAlign w:val="bottom"/>
            <w:tcBorders>
              <w:right w:val="single" w:sz="8" w:color="auto"/>
            </w:tcBorders>
            <w:gridSpan w:val="26"/>
          </w:tcPr>
          <w:p>
            <w:pPr>
              <w:spacing w:after="0" w:line="169" w:lineRule="exact"/>
              <w:rPr>
                <w:rFonts w:ascii="Arial" w:cs="Arial" w:eastAsia="Arial" w:hAnsi="Arial"/>
                <w:sz w:val="16"/>
                <w:szCs w:val="16"/>
                <w:color w:val="0000FF"/>
              </w:rPr>
            </w:pPr>
            <w:hyperlink r:id="rId72">
              <w:r>
                <w:rPr>
                  <w:rFonts w:ascii="Arial" w:cs="Arial" w:eastAsia="Arial" w:hAnsi="Arial"/>
                  <w:sz w:val="16"/>
                  <w:szCs w:val="16"/>
                  <w:color w:val="0000FF"/>
                </w:rPr>
                <w:t>Fourth Amended and Restated Series 2015-3 Supplement, dated as of March 4, 2024, by and among Avis Budget Rental Car Funding</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12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72">
              <w:r>
                <w:rPr>
                  <w:rFonts w:ascii="Arial" w:cs="Arial" w:eastAsia="Arial" w:hAnsi="Arial"/>
                  <w:sz w:val="16"/>
                  <w:szCs w:val="16"/>
                  <w:color w:val="0000FF"/>
                </w:rPr>
                <w:t>(AESOP) LLC, as Issuer, Avis Budget Car Rental, LLC, as Administrator, JPMorgan Chase Bank, N.A., as Administrative Agent, the Non-</w:t>
              </w:r>
            </w:hyperlink>
          </w:p>
        </w:tc>
        <w:tc>
          <w:tcPr>
            <w:tcW w:w="80" w:type="dxa"/>
            <w:vAlign w:val="bottom"/>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2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72">
              <w:r>
                <w:rPr>
                  <w:rFonts w:ascii="Arial" w:cs="Arial" w:eastAsia="Arial" w:hAnsi="Arial"/>
                  <w:sz w:val="16"/>
                  <w:szCs w:val="16"/>
                  <w:color w:val="0000FF"/>
                </w:rPr>
                <w:t>Conduit Purchasers, the CP Conduit Purchasers, the Committed Note Purchasers, the APA Banks and the Funding Agents named therein</w:t>
              </w:r>
            </w:hyperlink>
          </w:p>
        </w:tc>
        <w:tc>
          <w:tcPr>
            <w:tcW w:w="280" w:type="dxa"/>
            <w:vAlign w:val="bottom"/>
            <w:gridSpan w:val="1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1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72">
              <w:r>
                <w:rPr>
                  <w:rFonts w:ascii="Arial" w:cs="Arial" w:eastAsia="Arial" w:hAnsi="Arial"/>
                  <w:sz w:val="16"/>
                  <w:szCs w:val="16"/>
                  <w:color w:val="0000FF"/>
                </w:rPr>
                <w:t>and The Bank of New York Mellon Trust Company, N.A., as Trustee and as Series 2015-3 Agent (incorporated by reference to Exhibit 10.2</w:t>
              </w:r>
            </w:hyperlink>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6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72">
              <w:r>
                <w:rPr>
                  <w:rFonts w:ascii="Arial" w:cs="Arial" w:eastAsia="Arial" w:hAnsi="Arial"/>
                  <w:sz w:val="16"/>
                  <w:szCs w:val="16"/>
                  <w:color w:val="0000FF"/>
                </w:rPr>
                <w:t>to the Company’s Current Report on Form 8-K dated March 8, 2024).</w:t>
              </w:r>
            </w:hyperlink>
          </w:p>
        </w:tc>
        <w:tc>
          <w:tcPr>
            <w:tcW w:w="240" w:type="dxa"/>
            <w:vAlign w:val="bottom"/>
            <w:gridSpan w:val="1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10.9</w:t>
            </w:r>
          </w:p>
        </w:tc>
        <w:tc>
          <w:tcPr>
            <w:tcW w:w="10240" w:type="dxa"/>
            <w:vAlign w:val="bottom"/>
            <w:tcBorders>
              <w:right w:val="single" w:sz="8" w:color="auto"/>
            </w:tcBorders>
            <w:gridSpan w:val="26"/>
          </w:tcPr>
          <w:p>
            <w:pPr>
              <w:spacing w:after="0" w:line="169" w:lineRule="exact"/>
              <w:rPr>
                <w:rFonts w:ascii="Arial" w:cs="Arial" w:eastAsia="Arial" w:hAnsi="Arial"/>
                <w:sz w:val="16"/>
                <w:szCs w:val="16"/>
                <w:color w:val="0000FF"/>
              </w:rPr>
            </w:pPr>
            <w:hyperlink r:id="rId73">
              <w:r>
                <w:rPr>
                  <w:rFonts w:ascii="Arial" w:cs="Arial" w:eastAsia="Arial" w:hAnsi="Arial"/>
                  <w:sz w:val="16"/>
                  <w:szCs w:val="16"/>
                  <w:color w:val="0000FF"/>
                </w:rPr>
                <w:t>Series 2024-2 Supplement, dated as of March 12, 2024, between Avis Budget Rental Car Funding (AESOP) LLC and The Bank of New</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2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73">
              <w:r>
                <w:rPr>
                  <w:rFonts w:ascii="Arial" w:cs="Arial" w:eastAsia="Arial" w:hAnsi="Arial"/>
                  <w:sz w:val="16"/>
                  <w:szCs w:val="16"/>
                  <w:color w:val="0000FF"/>
                </w:rPr>
                <w:t>York Mellon Trust Company, N.A., as trustee and as Series 2024-2 Agent (incorporated by reference to Exhibit 10.1 to the Company’s</w:t>
              </w:r>
            </w:hyperlink>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6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73">
              <w:r>
                <w:rPr>
                  <w:rFonts w:ascii="Arial" w:cs="Arial" w:eastAsia="Arial" w:hAnsi="Arial"/>
                  <w:sz w:val="16"/>
                  <w:szCs w:val="16"/>
                  <w:color w:val="0000FF"/>
                </w:rPr>
                <w:t>Current Report on Form 8-K dated March 18, 2024).</w:t>
              </w:r>
            </w:hyperlink>
          </w:p>
        </w:tc>
        <w:tc>
          <w:tcPr>
            <w:tcW w:w="180" w:type="dxa"/>
            <w:vAlign w:val="bottom"/>
            <w:tcBorders>
              <w:right w:val="single" w:sz="8" w:color="auto"/>
            </w:tcBorders>
            <w:gridSpan w:val="8"/>
          </w:tcPr>
          <w:p>
            <w:pPr>
              <w:spacing w:after="0"/>
              <w:rPr>
                <w:sz w:val="12"/>
                <w:szCs w:val="12"/>
                <w:color w:val="auto"/>
              </w:rPr>
            </w:pP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10.10</w:t>
            </w:r>
          </w:p>
        </w:tc>
        <w:tc>
          <w:tcPr>
            <w:tcW w:w="10240" w:type="dxa"/>
            <w:vAlign w:val="bottom"/>
            <w:tcBorders>
              <w:right w:val="single" w:sz="8" w:color="auto"/>
            </w:tcBorders>
            <w:gridSpan w:val="26"/>
          </w:tcPr>
          <w:p>
            <w:pPr>
              <w:spacing w:after="0" w:line="169" w:lineRule="exact"/>
              <w:rPr>
                <w:rFonts w:ascii="Arial" w:cs="Arial" w:eastAsia="Arial" w:hAnsi="Arial"/>
                <w:sz w:val="16"/>
                <w:szCs w:val="16"/>
                <w:color w:val="0000FF"/>
              </w:rPr>
            </w:pPr>
            <w:hyperlink r:id="rId74">
              <w:r>
                <w:rPr>
                  <w:rFonts w:ascii="Arial" w:cs="Arial" w:eastAsia="Arial" w:hAnsi="Arial"/>
                  <w:sz w:val="16"/>
                  <w:szCs w:val="16"/>
                  <w:color w:val="0000FF"/>
                </w:rPr>
                <w:t>Series 2024-3 Supplement, dated as of March 12, 2024, between Avis Budget Rental Car Funding (AESOP) LLC and The Bank of New</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20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York Mellon Trust Company, N.A., as trustee and as Series 2024-3 Agent (incorporated by reference to Exhibit 10.2 to the Company’s</w:t>
              </w:r>
            </w:hyperlink>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6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Current Report on Form 8-K dated March 18, 2024).</w:t>
              </w:r>
            </w:hyperlink>
          </w:p>
        </w:tc>
        <w:tc>
          <w:tcPr>
            <w:tcW w:w="180" w:type="dxa"/>
            <w:vAlign w:val="bottom"/>
            <w:tcBorders>
              <w:right w:val="single" w:sz="8" w:color="auto"/>
            </w:tcBorders>
            <w:gridSpan w:val="8"/>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31.1</w:t>
            </w:r>
          </w:p>
        </w:tc>
        <w:tc>
          <w:tcPr>
            <w:tcW w:w="10240" w:type="dxa"/>
            <w:vAlign w:val="bottom"/>
            <w:tcBorders>
              <w:right w:val="single" w:sz="8" w:color="auto"/>
            </w:tcBorders>
            <w:gridSpan w:val="26"/>
          </w:tcPr>
          <w:p>
            <w:pPr>
              <w:spacing w:after="0" w:line="169" w:lineRule="exact"/>
              <w:rPr>
                <w:sz w:val="20"/>
                <w:szCs w:val="20"/>
                <w:color w:val="auto"/>
              </w:rPr>
            </w:pPr>
            <w:r>
              <w:rPr>
                <w:rFonts w:ascii="Arial" w:cs="Arial" w:eastAsia="Arial" w:hAnsi="Arial"/>
                <w:sz w:val="16"/>
                <w:szCs w:val="16"/>
                <w:color w:val="0000FF"/>
              </w:rPr>
              <w:t>Certification of Chief Executive Officer pursuant to Rules 13(a)-14(a) and 15(d)-14(a) promulgated under the Securities Exchange Act of</w:t>
            </w: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160" w:type="dxa"/>
            <w:vAlign w:val="bottom"/>
            <w:tcBorders>
              <w:top w:val="single" w:sz="8" w:color="0000FF"/>
            </w:tcBorders>
            <w:gridSpan w:val="23"/>
          </w:tcPr>
          <w:p>
            <w:pPr>
              <w:spacing w:after="0" w:line="142" w:lineRule="exact"/>
              <w:rPr>
                <w:sz w:val="20"/>
                <w:szCs w:val="20"/>
                <w:color w:val="auto"/>
              </w:rPr>
            </w:pPr>
            <w:r>
              <w:rPr>
                <w:rFonts w:ascii="Arial" w:cs="Arial" w:eastAsia="Arial" w:hAnsi="Arial"/>
                <w:sz w:val="16"/>
                <w:szCs w:val="16"/>
                <w:color w:val="0000FF"/>
              </w:rPr>
              <w:t>1934, as amended.</w:t>
            </w:r>
          </w:p>
        </w:tc>
        <w:tc>
          <w:tcPr>
            <w:tcW w:w="80" w:type="dxa"/>
            <w:vAlign w:val="bottom"/>
            <w:tcBorders>
              <w:right w:val="single" w:sz="8" w:color="auto"/>
            </w:tcBorders>
            <w:gridSpan w:val="3"/>
          </w:tcPr>
          <w:p>
            <w:pPr>
              <w:spacing w:after="0"/>
              <w:rPr>
                <w:sz w:val="12"/>
                <w:szCs w:val="12"/>
                <w:color w:val="auto"/>
              </w:rPr>
            </w:pP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31.2</w:t>
            </w:r>
          </w:p>
        </w:tc>
        <w:tc>
          <w:tcPr>
            <w:tcW w:w="10240" w:type="dxa"/>
            <w:vAlign w:val="bottom"/>
            <w:tcBorders>
              <w:right w:val="single" w:sz="8" w:color="auto"/>
            </w:tcBorders>
            <w:gridSpan w:val="26"/>
          </w:tcPr>
          <w:p>
            <w:pPr>
              <w:spacing w:after="0" w:line="169" w:lineRule="exact"/>
              <w:rPr>
                <w:sz w:val="20"/>
                <w:szCs w:val="20"/>
                <w:color w:val="auto"/>
              </w:rPr>
            </w:pPr>
            <w:r>
              <w:rPr>
                <w:rFonts w:ascii="Arial" w:cs="Arial" w:eastAsia="Arial" w:hAnsi="Arial"/>
                <w:sz w:val="16"/>
                <w:szCs w:val="16"/>
                <w:color w:val="0000FF"/>
              </w:rPr>
              <w:t>Certification of Chief Financial Officer pursuant to Rules 13(a)-14(a) and 15(d)-14(a) promulgated under the Securities Exchange Act of</w:t>
            </w: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160" w:type="dxa"/>
            <w:vAlign w:val="bottom"/>
            <w:tcBorders>
              <w:top w:val="single" w:sz="8" w:color="0000FF"/>
            </w:tcBorders>
            <w:gridSpan w:val="23"/>
          </w:tcPr>
          <w:p>
            <w:pPr>
              <w:spacing w:after="0" w:line="142" w:lineRule="exact"/>
              <w:rPr>
                <w:sz w:val="20"/>
                <w:szCs w:val="20"/>
                <w:color w:val="auto"/>
              </w:rPr>
            </w:pPr>
            <w:r>
              <w:rPr>
                <w:rFonts w:ascii="Arial" w:cs="Arial" w:eastAsia="Arial" w:hAnsi="Arial"/>
                <w:sz w:val="16"/>
                <w:szCs w:val="16"/>
                <w:color w:val="0000FF"/>
              </w:rPr>
              <w:t>1934, as amended.</w:t>
            </w:r>
          </w:p>
        </w:tc>
        <w:tc>
          <w:tcPr>
            <w:tcW w:w="80" w:type="dxa"/>
            <w:vAlign w:val="bottom"/>
            <w:tcBorders>
              <w:right w:val="single" w:sz="8" w:color="auto"/>
            </w:tcBorders>
            <w:gridSpan w:val="3"/>
          </w:tcPr>
          <w:p>
            <w:pPr>
              <w:spacing w:after="0"/>
              <w:rPr>
                <w:sz w:val="12"/>
                <w:szCs w:val="12"/>
                <w:color w:val="auto"/>
              </w:rPr>
            </w:pP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240" w:type="dxa"/>
            <w:vAlign w:val="bottom"/>
            <w:tcBorders>
              <w:right w:val="single" w:sz="8" w:color="auto"/>
            </w:tcBorders>
            <w:gridSpan w:val="26"/>
          </w:tcPr>
          <w:p>
            <w:pPr>
              <w:spacing w:after="0" w:line="169" w:lineRule="exact"/>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w:t>
            </w: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23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92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56"/>
        </w:trPr>
        <w:tc>
          <w:tcPr>
            <w:tcW w:w="126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101.INS</w:t>
            </w:r>
          </w:p>
        </w:tc>
        <w:tc>
          <w:tcPr>
            <w:tcW w:w="10240" w:type="dxa"/>
            <w:vAlign w:val="bottom"/>
            <w:tcBorders>
              <w:right w:val="single" w:sz="8" w:color="auto"/>
            </w:tcBorders>
            <w:gridSpan w:val="26"/>
          </w:tcPr>
          <w:p>
            <w:pPr>
              <w:spacing w:after="0" w:line="155"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15"/>
        </w:trPr>
        <w:tc>
          <w:tcPr>
            <w:tcW w:w="1260" w:type="dxa"/>
            <w:vAlign w:val="bottom"/>
            <w:tcBorders>
              <w:left w:val="single" w:sz="8" w:color="auto"/>
              <w:bottom w:val="single" w:sz="8" w:color="auto"/>
              <w:right w:val="single" w:sz="8" w:color="auto"/>
            </w:tcBorders>
          </w:tcPr>
          <w:p>
            <w:pPr>
              <w:spacing w:after="0"/>
              <w:rPr>
                <w:sz w:val="18"/>
                <w:szCs w:val="18"/>
                <w:color w:val="auto"/>
              </w:rPr>
            </w:pPr>
          </w:p>
        </w:tc>
        <w:tc>
          <w:tcPr>
            <w:tcW w:w="10240" w:type="dxa"/>
            <w:vAlign w:val="bottom"/>
            <w:tcBorders>
              <w:bottom w:val="single" w:sz="8" w:color="auto"/>
              <w:right w:val="single" w:sz="8" w:color="auto"/>
            </w:tcBorders>
            <w:gridSpan w:val="26"/>
          </w:tcPr>
          <w:p>
            <w:pPr>
              <w:spacing w:after="0"/>
              <w:rPr>
                <w:sz w:val="20"/>
                <w:szCs w:val="20"/>
                <w:color w:val="auto"/>
              </w:rPr>
            </w:pPr>
            <w:r>
              <w:rPr>
                <w:rFonts w:ascii="Arial" w:cs="Arial" w:eastAsia="Arial" w:hAnsi="Arial"/>
                <w:sz w:val="16"/>
                <w:szCs w:val="16"/>
                <w:color w:val="auto"/>
              </w:rPr>
              <w:t>within the Inline XBRL document.</w:t>
            </w:r>
          </w:p>
        </w:tc>
      </w:tr>
      <w:tr>
        <w:trPr>
          <w:trHeight w:val="21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101.SCH</w:t>
            </w:r>
          </w:p>
        </w:tc>
        <w:tc>
          <w:tcPr>
            <w:tcW w:w="10240" w:type="dxa"/>
            <w:vAlign w:val="bottom"/>
            <w:tcBorders>
              <w:bottom w:val="single" w:sz="8" w:color="auto"/>
              <w:right w:val="single" w:sz="8" w:color="auto"/>
            </w:tcBorders>
            <w:gridSpan w:val="26"/>
          </w:tcPr>
          <w:p>
            <w:pPr>
              <w:spacing w:after="0"/>
              <w:rPr>
                <w:sz w:val="20"/>
                <w:szCs w:val="20"/>
                <w:color w:val="auto"/>
              </w:rPr>
            </w:pPr>
            <w:r>
              <w:rPr>
                <w:rFonts w:ascii="Arial" w:cs="Arial" w:eastAsia="Arial" w:hAnsi="Arial"/>
                <w:sz w:val="16"/>
                <w:szCs w:val="16"/>
                <w:color w:val="auto"/>
              </w:rPr>
              <w:t>XBRL Taxonomy Extension Schema.</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35" w:right="339" w:bottom="1440" w:gutter="0" w:footer="0" w:header="0"/>
        </w:sectPr>
      </w:pPr>
    </w:p>
    <w:bookmarkStart w:id="39" w:name="page40"/>
    <w:bookmarkEnd w:id="39"/>
    <w:tbl>
      <w:tblPr>
        <w:tblLayout w:type="fixed"/>
        <w:tblInd w:w="10" w:type="dxa"/>
        <w:tblCellMar>
          <w:top w:w="0" w:type="dxa"/>
          <w:left w:w="0" w:type="dxa"/>
          <w:bottom w:w="0" w:type="dxa"/>
          <w:right w:w="0" w:type="dxa"/>
        </w:tblCellMar>
      </w:tblPr>
      <w:tr>
        <w:trPr>
          <w:trHeight w:val="229"/>
        </w:trPr>
        <w:tc>
          <w:tcPr>
            <w:tcW w:w="1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101.CAL</w:t>
            </w:r>
          </w:p>
        </w:tc>
        <w:tc>
          <w:tcPr>
            <w:tcW w:w="99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101.DEF</w:t>
            </w:r>
          </w:p>
        </w:tc>
        <w:tc>
          <w:tcPr>
            <w:tcW w:w="9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1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101.LAB</w:t>
            </w:r>
          </w:p>
        </w:tc>
        <w:tc>
          <w:tcPr>
            <w:tcW w:w="9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XBRL Taxonomy Extension Label Linkbase.</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101.PRE</w:t>
            </w:r>
          </w:p>
        </w:tc>
        <w:tc>
          <w:tcPr>
            <w:tcW w:w="9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w:t>
            </w:r>
          </w:p>
        </w:tc>
        <w:tc>
          <w:tcPr>
            <w:tcW w:w="9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Cover Page Interactive Data File -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40" w:top="95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FIRST AMENDMENT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SERIES 2022-5 SUPPLEMENT</w:t>
      </w:r>
    </w:p>
    <w:p>
      <w:pPr>
        <w:spacing w:after="0" w:line="19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This FIRST AMENDMENT TO SERIES 2022-5 SUPPLEMENT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February 5, 2024 amends the Series 2022-5 Supplement (the “</w:t>
      </w:r>
      <w:r>
        <w:rPr>
          <w:rFonts w:ascii="Times New Roman" w:cs="Times New Roman" w:eastAsia="Times New Roman" w:hAnsi="Times New Roman"/>
          <w:sz w:val="22"/>
          <w:szCs w:val="22"/>
          <w:u w:val="single" w:color="auto"/>
          <w:color w:val="auto"/>
        </w:rPr>
        <w:t>Series 2022-5 Supplement</w:t>
      </w:r>
      <w:r>
        <w:rPr>
          <w:rFonts w:ascii="Times New Roman" w:cs="Times New Roman" w:eastAsia="Times New Roman" w:hAnsi="Times New Roman"/>
          <w:sz w:val="22"/>
          <w:szCs w:val="22"/>
          <w:color w:val="auto"/>
        </w:rPr>
        <w:t>”), dated as of November 29, 2022,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and THE BANK OF NEW YORK MELLON TRUST COMPANY, N.A., a national banking association,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agent for the benefit of the Series 2022-5 Noteholders (in such capacity, the “</w:t>
      </w:r>
      <w:r>
        <w:rPr>
          <w:rFonts w:ascii="Times New Roman" w:cs="Times New Roman" w:eastAsia="Times New Roman" w:hAnsi="Times New Roman"/>
          <w:sz w:val="22"/>
          <w:szCs w:val="22"/>
          <w:u w:val="single" w:color="auto"/>
          <w:color w:val="auto"/>
        </w:rPr>
        <w:t>Series 2022-5 Agent</w:t>
      </w:r>
      <w:r>
        <w:rPr>
          <w:rFonts w:ascii="Times New Roman" w:cs="Times New Roman" w:eastAsia="Times New Roman" w:hAnsi="Times New Roman"/>
          <w:sz w:val="22"/>
          <w:szCs w:val="22"/>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All capitalized terms used herein and not otherwise defined herein shall have the respective meanings provided therefor in the Definitions List attached as Schedule I to the Base Indenture (as amended through the date hereof) or the Series 2022-5 Supplement, as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pursuant to Section 12.2 of the Base Indenture, any Supplement thereto may be amended (i) with the consent of ABRCF, the Trustee, any applicable Enhancement Provider and in connection with certain amendments, either the Required Noteholders of a Series of Notes or each affected Noteholder, as applicable and (ii) upon satisfying the Rating Agency Consent Condition;</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pursuant to Section 5.7 of the Series 2022-5 Supplement, the Series 2022-5 Supplement may be amended in accordance with the terms of the Base Indenture;</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parties desire to amend the Series 2022-5 Supplement to revise the definition of “Class C Note Rate” and to make conforming revisions in connection therewith;</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Issuer has determined that the Class C Noteholders and the Class R Noteholders are the affected Noteholders with respect to the revisions contemplated hereby; and</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WHEREAS, ABRCF has requested the Trustee, the Series 2022-5 Agent and the affected Noteholders to, and, upon the effectiveness of this Amendment, ABRCF, the Trustee, the Series 2022-5 Agent, the Class C Noteholders and the Class R Noteholders have agreed to, make the amendments described above as set forth herein.</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220" w:lineRule="exact"/>
        <w:rPr>
          <w:sz w:val="20"/>
          <w:szCs w:val="20"/>
          <w:color w:val="auto"/>
        </w:rPr>
      </w:pPr>
    </w:p>
    <w:p>
      <w:pPr>
        <w:jc w:val="both"/>
        <w:ind w:firstLine="1304"/>
        <w:spacing w:after="0" w:line="257" w:lineRule="auto"/>
        <w:tabs>
          <w:tab w:leader="none" w:pos="194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The Series 2022-5 Supplement is hereby amended by deleting the stricken text (indicated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adding the inserted text (indicated in the same manner as the following example: </w:t>
      </w:r>
      <w:r>
        <w:rPr>
          <w:rFonts w:ascii="Times New Roman" w:cs="Times New Roman" w:eastAsia="Times New Roman" w:hAnsi="Times New Roman"/>
          <w:sz w:val="22"/>
          <w:szCs w:val="22"/>
          <w:b w:val="1"/>
          <w:bCs w:val="1"/>
          <w:u w:val="single" w:color="auto"/>
          <w:color w:val="0070C0"/>
        </w:rPr>
        <w:t>inserted text</w:t>
      </w:r>
      <w:r>
        <w:rPr>
          <w:rFonts w:ascii="Times New Roman" w:cs="Times New Roman" w:eastAsia="Times New Roman" w:hAnsi="Times New Roman"/>
          <w:sz w:val="22"/>
          <w:szCs w:val="22"/>
          <w:color w:val="auto"/>
        </w:rPr>
        <w:t xml:space="preserve">) as set forth on the pages of the Series 2022-5 Supplement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ectPr>
          <w:pgSz w:w="11900" w:h="16838" w:orient="portrait"/>
          <w:cols w:equalWidth="0" w:num="1">
            <w:col w:w="11240"/>
          </w:cols>
          <w:pgMar w:left="320" w:top="122" w:right="339" w:bottom="1440" w:gutter="0" w:footer="0" w:header="0"/>
        </w:sectPr>
      </w:pPr>
    </w:p>
    <w:bookmarkStart w:id="41" w:name="page42"/>
    <w:bookmarkEnd w:id="41"/>
    <w:p>
      <w:pPr>
        <w:spacing w:after="0" w:line="198" w:lineRule="exact"/>
        <w:rPr>
          <w:sz w:val="20"/>
          <w:szCs w:val="20"/>
          <w:color w:val="auto"/>
        </w:rPr>
      </w:pPr>
    </w:p>
    <w:p>
      <w:pPr>
        <w:jc w:val="both"/>
        <w:ind w:firstLine="1304"/>
        <w:spacing w:after="0" w:line="256"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Direction</w:t>
      </w:r>
      <w:r>
        <w:rPr>
          <w:rFonts w:ascii="Times New Roman" w:cs="Times New Roman" w:eastAsia="Times New Roman" w:hAnsi="Times New Roman"/>
          <w:sz w:val="22"/>
          <w:szCs w:val="22"/>
          <w:color w:val="auto"/>
        </w:rPr>
        <w:t>. By their signatures hereto, each of the undersigned (excluding The Bank of New York Mellon Trust Company, N.A., in its capacity as Trustee and Series 2022-5 Agent) hereby authorize and direct the Trustee and Series 2022-5 Agent to execute this Amendment and take any and all further action necessary or appropriate to give effect to the transaction contemplated hereby.</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limited as specified and, except as expressly stated herein, shall not constitute a modification, acceptance or waiver of any other provision of the Series 2022-5 Supplement.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on the date hereof upon satisfaction of the Rating Agency Consent Condition. From and after the date hereof, all references to the Series 2022-5 Supplement shall be deemed to be references to the Series 2022-5 Supplement as amended hereby.</w:t>
      </w:r>
    </w:p>
    <w:p>
      <w:pPr>
        <w:spacing w:after="0" w:line="16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so executed shall be deemed to be an original, but all of such counterparts shall together constitute but one and the same instrument. Delivery of an executed counterpart of a signature page to this Amendment by facsimile or electronic mail in a “pdf” file shall be effective as delivery of a manually executed counterpart of this Amendment. The parties agree that this Amendment may be executed and delivered by electronic signatures and that the signatures appearing on this Amendment are the same as handwritten signatures for the purposes of validity, enforceability and admissibility. The words “execution,” “signed,” “signature,” “delivery,” and words of like import in or relating to this Amendment or any document to be signed in connection with this Amendment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8" w:lineRule="exact"/>
        <w:rPr>
          <w:rFonts w:ascii="Times New Roman" w:cs="Times New Roman" w:eastAsia="Times New Roman" w:hAnsi="Times New Roman"/>
          <w:sz w:val="22"/>
          <w:szCs w:val="22"/>
          <w:color w:val="auto"/>
        </w:rPr>
      </w:pPr>
    </w:p>
    <w:p>
      <w:pPr>
        <w:ind w:firstLine="1304"/>
        <w:spacing w:after="0" w:line="295" w:lineRule="auto"/>
        <w:tabs>
          <w:tab w:leader="none" w:pos="194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AND THE RIGHTS AND OBLIGATIONS OF THE PARTIES HEREUNDER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42" w:name="page43"/>
    <w:bookmarkEnd w:id="42"/>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hereto have caused this Amendment to be duly executed by their respective duly authorized officers as of the date above first written.</w:t>
      </w:r>
    </w:p>
    <w:p>
      <w:pPr>
        <w:spacing w:after="0" w:line="18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AVIS BUDGET RENTAL CAR FUNDING</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(AESOP) LLC, as Issuer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ectPr>
          <w:pgSz w:w="11900" w:h="16838" w:orient="portrait"/>
          <w:cols w:equalWidth="0" w:num="1">
            <w:col w:w="11220"/>
          </w:cols>
          <w:pgMar w:left="320" w:top="1422" w:right="35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1"/>
          <w:szCs w:val="21"/>
          <w:color w:val="auto"/>
        </w:rPr>
        <w:t>THE BANK OF NEW YORK MELLON TRUST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COMPANY, N.A., as Trustee and</w:t>
      </w:r>
    </w:p>
    <w:p>
      <w:pPr>
        <w:spacing w:after="0" w:line="200" w:lineRule="exact"/>
        <w:rPr>
          <w:sz w:val="20"/>
          <w:szCs w:val="20"/>
          <w:color w:val="auto"/>
        </w:rPr>
      </w:pPr>
    </w:p>
    <w:p>
      <w:pPr>
        <w:spacing w:after="0" w:line="3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Series 2022-5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1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540"/>
          </w:cols>
          <w:pgMar w:left="1440" w:top="1440" w:right="919" w:bottom="1440" w:gutter="0" w:footer="0" w:header="0"/>
        </w:sectPr>
      </w:pPr>
    </w:p>
    <w:bookmarkStart w:id="44" w:name="page45"/>
    <w:bookmarkEnd w:id="44"/>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AGREED, ACKNOWLEDGED AND CONSENTED: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AVIS BUDGET RENTAL CAR</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FUNDING (AESOP) LLC,</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as Class C Noteholder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AESOP LEASING L.P.,</w:t>
      </w:r>
    </w:p>
    <w:p>
      <w:pPr>
        <w:spacing w:after="0" w:line="200" w:lineRule="exact"/>
        <w:rPr>
          <w:sz w:val="20"/>
          <w:szCs w:val="20"/>
          <w:color w:val="auto"/>
        </w:rPr>
      </w:pPr>
    </w:p>
    <w:p>
      <w:pPr>
        <w:spacing w:after="0" w:line="3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as Class R Noteholder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AESOP LEASING CORP., as its general partner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ectPr>
          <w:pgSz w:w="11900" w:h="16838" w:orient="portrait"/>
          <w:cols w:equalWidth="0" w:num="1">
            <w:col w:w="10119"/>
          </w:cols>
          <w:pgMar w:left="340" w:top="1440"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Amendments to Series 2022-5 Supplement</w:t>
      </w:r>
    </w:p>
    <w:p>
      <w:pPr>
        <w:sectPr>
          <w:pgSz w:w="11900" w:h="16838" w:orient="portrait"/>
          <w:cols w:equalWidth="0" w:num="1">
            <w:col w:w="9019"/>
          </w:cols>
          <w:pgMar w:left="1440" w:top="1422"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9"/>
          <w:szCs w:val="19"/>
          <w:b w:val="1"/>
          <w:bCs w:val="1"/>
          <w:i w:val="1"/>
          <w:iCs w:val="1"/>
          <w:u w:val="single" w:color="auto"/>
          <w:color w:val="0000FF"/>
        </w:rPr>
        <w:t>Conformed through</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FF0000"/>
          <w:strike w:val="1"/>
        </w:rPr>
        <w:t>EXECUTION VERSION</w:t>
      </w:r>
      <w:r>
        <w:rPr>
          <w:rFonts w:ascii="Times New Roman" w:cs="Times New Roman" w:eastAsia="Times New Roman" w:hAnsi="Times New Roman"/>
          <w:sz w:val="19"/>
          <w:szCs w:val="19"/>
          <w:b w:val="1"/>
          <w:bCs w:val="1"/>
          <w:i w:val="1"/>
          <w:iCs w:val="1"/>
          <w:u w:val="single" w:color="auto"/>
          <w:color w:val="0000FF"/>
          <w:strike w:val="1"/>
        </w:rPr>
        <w:t>First Amendment</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i w:val="1"/>
          <w:iCs w:val="1"/>
          <w:u w:val="single" w:color="auto"/>
          <w:color w:val="0000FF"/>
        </w:rPr>
        <w:t>dated February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AVIS BUDGET RENTAL CAR FUNDING (AESOP) LLC,</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Issuer</w:t>
      </w:r>
    </w:p>
    <w:p>
      <w:pPr>
        <w:spacing w:after="0" w:line="200" w:lineRule="exact"/>
        <w:rPr>
          <w:sz w:val="20"/>
          <w:szCs w:val="20"/>
          <w:color w:val="auto"/>
        </w:rPr>
      </w:pPr>
    </w:p>
    <w:p>
      <w:pPr>
        <w:spacing w:after="0" w:line="2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THE BANK OF NEW YORK MELLON TRUST COMPANY, N.A.,</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Trustee and Series 2022-5 Agent</w:t>
      </w: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SERIES 2022-5 SUPPLEMENT</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November 29, 2022</w:t>
      </w:r>
    </w:p>
    <w:p>
      <w:pPr>
        <w:spacing w:after="0" w:line="200" w:lineRule="exact"/>
        <w:rPr>
          <w:sz w:val="20"/>
          <w:szCs w:val="20"/>
          <w:color w:val="auto"/>
        </w:rPr>
      </w:pPr>
    </w:p>
    <w:p>
      <w:pPr>
        <w:spacing w:after="0" w:line="23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to</w:t>
      </w:r>
    </w:p>
    <w:p>
      <w:pPr>
        <w:spacing w:after="0" w:line="200" w:lineRule="exact"/>
        <w:rPr>
          <w:sz w:val="20"/>
          <w:szCs w:val="20"/>
          <w:color w:val="auto"/>
        </w:rPr>
      </w:pPr>
    </w:p>
    <w:p>
      <w:pPr>
        <w:spacing w:after="0" w:line="2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SECOND AMENDED AND RESTATED BASE INDENTURE</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 June 3, 2004</w:t>
      </w:r>
    </w:p>
    <w:p>
      <w:pPr>
        <w:spacing w:after="0" w:line="200" w:lineRule="exact"/>
        <w:rPr>
          <w:sz w:val="20"/>
          <w:szCs w:val="20"/>
          <w:color w:val="auto"/>
        </w:rPr>
      </w:pP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90" w:lineRule="exact"/>
        <w:rPr>
          <w:sz w:val="20"/>
          <w:szCs w:val="20"/>
          <w:color w:val="auto"/>
        </w:rPr>
      </w:pPr>
    </w:p>
    <w:p>
      <w:pPr>
        <w:jc w:val="center"/>
        <w:ind w:left="1500" w:right="2600"/>
        <w:spacing w:after="0" w:line="268" w:lineRule="auto"/>
        <w:rPr>
          <w:sz w:val="20"/>
          <w:szCs w:val="20"/>
          <w:color w:val="auto"/>
        </w:rPr>
      </w:pPr>
      <w:r>
        <w:rPr>
          <w:rFonts w:ascii="Times New Roman" w:cs="Times New Roman" w:eastAsia="Times New Roman" w:hAnsi="Times New Roman"/>
          <w:sz w:val="21"/>
          <w:szCs w:val="21"/>
          <w:color w:val="auto"/>
        </w:rPr>
        <w:t xml:space="preserve">Series 2022-5 6.12% Rental Car Asset Backed Notes, Class A Series 2022-5 7.09% Rental Car Asset Backed Notes, Class B Series 2022-5 </w:t>
      </w:r>
      <w:r>
        <w:rPr>
          <w:rFonts w:ascii="Times New Roman" w:cs="Times New Roman" w:eastAsia="Times New Roman" w:hAnsi="Times New Roman"/>
          <w:sz w:val="21"/>
          <w:szCs w:val="21"/>
          <w:color w:val="FF0000"/>
          <w:strike w:val="1"/>
        </w:rPr>
        <w:t>9.27</w:t>
      </w:r>
      <w:r>
        <w:rPr>
          <w:rFonts w:ascii="Times New Roman" w:cs="Times New Roman" w:eastAsia="Times New Roman" w:hAnsi="Times New Roman"/>
          <w:sz w:val="21"/>
          <w:szCs w:val="21"/>
          <w:u w:val="single" w:color="auto"/>
          <w:color w:val="0000FF"/>
        </w:rPr>
        <w:t>6.24</w:t>
      </w:r>
      <w:r>
        <w:rPr>
          <w:rFonts w:ascii="Times New Roman" w:cs="Times New Roman" w:eastAsia="Times New Roman" w:hAnsi="Times New Roman"/>
          <w:sz w:val="21"/>
          <w:szCs w:val="21"/>
          <w:color w:val="auto"/>
        </w:rPr>
        <w:t>% Rental Car Asset Backed Notes, Class C Series 2022-5 11.162% Rental Car Asset Backed Notes, Class R</w:t>
      </w:r>
    </w:p>
    <w:p>
      <w:pPr>
        <w:sectPr>
          <w:pgSz w:w="11900" w:h="16838" w:orient="portrait"/>
          <w:cols w:equalWidth="0" w:num="1">
            <w:col w:w="10120"/>
          </w:cols>
          <w:pgMar w:left="1440" w:top="1403" w:right="339" w:bottom="1440" w:gutter="0" w:footer="0" w:header="0"/>
        </w:sectPr>
      </w:pPr>
    </w:p>
    <w:bookmarkStart w:id="47" w:name="page48"/>
    <w:bookmarkEnd w:id="47"/>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SERIES 2022-5 SUPPLEMENT, dated as of November 29, 2022 (this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THE BANK OF NEW YORK MELLON TRUST COMPANY, N.A. (formerly known as The Bank of New York), as agent (in such capacity, the "</w:t>
      </w:r>
      <w:r>
        <w:rPr>
          <w:rFonts w:ascii="Times New Roman" w:cs="Times New Roman" w:eastAsia="Times New Roman" w:hAnsi="Times New Roman"/>
          <w:sz w:val="22"/>
          <w:szCs w:val="22"/>
          <w:u w:val="single" w:color="auto"/>
          <w:color w:val="auto"/>
        </w:rPr>
        <w:t>Series 2022-5 Agent</w:t>
      </w:r>
      <w:r>
        <w:rPr>
          <w:rFonts w:ascii="Times New Roman" w:cs="Times New Roman" w:eastAsia="Times New Roman" w:hAnsi="Times New Roman"/>
          <w:sz w:val="22"/>
          <w:szCs w:val="22"/>
          <w:color w:val="auto"/>
        </w:rPr>
        <w:t>") for the benefit of the Series 2022-5 Noteholders,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PRELIMINARY STATEMENT</w:t>
      </w:r>
    </w:p>
    <w:p>
      <w:pPr>
        <w:spacing w:after="0" w:line="197" w:lineRule="exact"/>
        <w:rPr>
          <w:sz w:val="20"/>
          <w:szCs w:val="20"/>
          <w:color w:val="auto"/>
        </w:rPr>
      </w:pPr>
    </w:p>
    <w:p>
      <w:pPr>
        <w:jc w:val="both"/>
        <w:ind w:right="60" w:firstLine="1296"/>
        <w:spacing w:after="0" w:line="250" w:lineRule="auto"/>
        <w:rPr>
          <w:sz w:val="20"/>
          <w:szCs w:val="20"/>
          <w:color w:val="auto"/>
        </w:rPr>
      </w:pPr>
      <w:r>
        <w:rPr>
          <w:rFonts w:ascii="Times New Roman" w:cs="Times New Roman" w:eastAsia="Times New Roman" w:hAnsi="Times New Roman"/>
          <w:sz w:val="22"/>
          <w:szCs w:val="22"/>
          <w:color w:val="auto"/>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spacing w:after="0" w:line="1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NOW, THEREFORE, the parties hereto agree as follows:</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DESIGNATION</w:t>
      </w:r>
    </w:p>
    <w:p>
      <w:pPr>
        <w:spacing w:after="0" w:line="210" w:lineRule="exact"/>
        <w:rPr>
          <w:sz w:val="20"/>
          <w:szCs w:val="20"/>
          <w:color w:val="auto"/>
        </w:rPr>
      </w:pPr>
    </w:p>
    <w:p>
      <w:pPr>
        <w:jc w:val="both"/>
        <w:ind w:right="60" w:firstLine="1296"/>
        <w:spacing w:after="0" w:line="243" w:lineRule="auto"/>
        <w:rPr>
          <w:sz w:val="20"/>
          <w:szCs w:val="20"/>
          <w:color w:val="auto"/>
        </w:rPr>
      </w:pPr>
      <w:r>
        <w:rPr>
          <w:rFonts w:ascii="Times New Roman" w:cs="Times New Roman" w:eastAsia="Times New Roman" w:hAnsi="Times New Roman"/>
          <w:sz w:val="22"/>
          <w:szCs w:val="22"/>
          <w:color w:val="auto"/>
        </w:rPr>
        <w:t>There is hereby created a Series of Notes to be issued pursuant to the Base Indenture and this Supplement, and such Series of Notes shall be designated generally as the "Series 2022-5 Rental Car Asset Backed Notes". The Series 2022-5 Notes shall be issued in up to five Classes, the first of which shall be known as the "Class A Notes", the second of which shall be known as the "Class B Notes", the third of which shall be known as the "Class C Notes", the fourth of which shall be known as the "Class R Notes" and the fifth of which, if issued, shall be known as the "Class D Notes".</w:t>
      </w:r>
    </w:p>
    <w:p>
      <w:pPr>
        <w:spacing w:after="0" w:line="164" w:lineRule="exact"/>
        <w:rPr>
          <w:sz w:val="20"/>
          <w:szCs w:val="20"/>
          <w:color w:val="auto"/>
        </w:rPr>
      </w:pPr>
    </w:p>
    <w:p>
      <w:pPr>
        <w:jc w:val="both"/>
        <w:ind w:right="60" w:firstLine="1296"/>
        <w:spacing w:after="0" w:line="243" w:lineRule="auto"/>
        <w:rPr>
          <w:sz w:val="20"/>
          <w:szCs w:val="20"/>
          <w:color w:val="auto"/>
        </w:rPr>
      </w:pPr>
      <w:r>
        <w:rPr>
          <w:rFonts w:ascii="Times New Roman" w:cs="Times New Roman" w:eastAsia="Times New Roman" w:hAnsi="Times New Roman"/>
          <w:sz w:val="22"/>
          <w:szCs w:val="22"/>
          <w:color w:val="auto"/>
        </w:rPr>
        <w:t xml:space="preserve">On the Series 2022-5 Closing Date, ABRCF shall issue (i) one tranche of Class A Notes, which shall be designated as the "Series 2022-5 6.12% Rental Car Asset Backed Notes, Class A", (ii) one tranche of Class B Notes, which shall be designated as the "Series 2022-5 7.09% Rental Car Asset Backed Notes, Class B", (iii) one tranche of Class C Notes, which shall be designated as the "Series 2022-5 </w:t>
      </w:r>
      <w:r>
        <w:rPr>
          <w:rFonts w:ascii="Times New Roman" w:cs="Times New Roman" w:eastAsia="Times New Roman" w:hAnsi="Times New Roman"/>
          <w:sz w:val="22"/>
          <w:szCs w:val="22"/>
          <w:color w:val="FF0000"/>
          <w:strike w:val="1"/>
        </w:rPr>
        <w:t>9.27</w:t>
      </w:r>
      <w:r>
        <w:rPr>
          <w:rFonts w:ascii="Times New Roman" w:cs="Times New Roman" w:eastAsia="Times New Roman" w:hAnsi="Times New Roman"/>
          <w:sz w:val="22"/>
          <w:szCs w:val="22"/>
          <w:u w:val="single" w:color="auto"/>
          <w:color w:val="0000FF"/>
        </w:rPr>
        <w:t>6.24</w:t>
      </w:r>
      <w:r>
        <w:rPr>
          <w:rFonts w:ascii="Times New Roman" w:cs="Times New Roman" w:eastAsia="Times New Roman" w:hAnsi="Times New Roman"/>
          <w:sz w:val="22"/>
          <w:szCs w:val="22"/>
          <w:color w:val="auto"/>
        </w:rPr>
        <w:t>% Rental Car Asset Backed Notes, Class C" and (iv) one tranche of Class R Notes, which shall be designated the "Series 2022-5 11.162% Rental Car Asset Backed Notes, Class R".</w:t>
      </w:r>
    </w:p>
    <w:p>
      <w:pPr>
        <w:spacing w:after="0" w:line="177" w:lineRule="exact"/>
        <w:rPr>
          <w:sz w:val="20"/>
          <w:szCs w:val="20"/>
          <w:color w:val="auto"/>
        </w:rPr>
      </w:pPr>
    </w:p>
    <w:p>
      <w:pPr>
        <w:jc w:val="both"/>
        <w:ind w:right="60" w:firstLine="1296"/>
        <w:spacing w:after="0" w:line="244" w:lineRule="auto"/>
        <w:rPr>
          <w:sz w:val="20"/>
          <w:szCs w:val="20"/>
          <w:color w:val="auto"/>
        </w:rPr>
      </w:pPr>
      <w:r>
        <w:rPr>
          <w:rFonts w:ascii="Times New Roman" w:cs="Times New Roman" w:eastAsia="Times New Roman" w:hAnsi="Times New Roman"/>
          <w:sz w:val="22"/>
          <w:szCs w:val="22"/>
          <w:color w:val="auto"/>
        </w:rPr>
        <w:t>Subsequent to the Series 2022-5 Closing Date, ABRCF may on any date during the Series 2022-5 Revolving Period offer and sell additional Series 2022-5 Notes subject to the conditions set forth in Section 5.15. Such additional Series 2022-5 Notes, if issued, shall be designated as the "Series 2022-5 Rental Car Asset Backed Notes, Class D" and shall be referred to herein as the "Class D Notes".</w:t>
      </w:r>
    </w:p>
    <w:p>
      <w:pPr>
        <w:spacing w:after="0" w:line="186" w:lineRule="exact"/>
        <w:rPr>
          <w:sz w:val="20"/>
          <w:szCs w:val="20"/>
          <w:color w:val="auto"/>
        </w:rPr>
      </w:pPr>
    </w:p>
    <w:p>
      <w:pPr>
        <w:jc w:val="both"/>
        <w:ind w:right="80" w:firstLine="1296"/>
        <w:spacing w:after="0" w:line="258" w:lineRule="auto"/>
        <w:rPr>
          <w:sz w:val="20"/>
          <w:szCs w:val="20"/>
          <w:color w:val="auto"/>
        </w:rPr>
      </w:pPr>
      <w:r>
        <w:rPr>
          <w:rFonts w:ascii="Times New Roman" w:cs="Times New Roman" w:eastAsia="Times New Roman" w:hAnsi="Times New Roman"/>
          <w:sz w:val="22"/>
          <w:szCs w:val="22"/>
          <w:color w:val="auto"/>
        </w:rPr>
        <w:t>The Class A Notes, Class B Notes, Class C Notes, Class D Notes, if issued, and Class R Notes collectively, constitute the Series 2022-5 Notes. The Class B Notes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60"/>
          </w:cols>
          <w:pgMar w:left="400" w:top="1408" w:right="339" w:bottom="1440" w:gutter="0" w:footer="0" w:header="0"/>
        </w:sectPr>
      </w:pPr>
    </w:p>
    <w:bookmarkStart w:id="48" w:name="page49"/>
    <w:bookmarkEnd w:id="48"/>
    <w:p>
      <w:pPr>
        <w:jc w:val="both"/>
        <w:ind w:right="80"/>
        <w:spacing w:after="0" w:line="258" w:lineRule="auto"/>
        <w:rPr>
          <w:sz w:val="20"/>
          <w:szCs w:val="20"/>
          <w:color w:val="auto"/>
        </w:rPr>
      </w:pPr>
      <w:r>
        <w:rPr>
          <w:rFonts w:ascii="Times New Roman" w:cs="Times New Roman" w:eastAsia="Times New Roman" w:hAnsi="Times New Roman"/>
          <w:sz w:val="22"/>
          <w:szCs w:val="22"/>
          <w:color w:val="auto"/>
        </w:rPr>
        <w:t>an amount equal to the product of (A) one-twelfth of the Class B Note Rate and (B) the Class B Invested Amount on the first day of such Series 2022-5 Interest Period, after giving effect to any principal payments made on such date.</w:t>
      </w:r>
    </w:p>
    <w:p>
      <w:pPr>
        <w:spacing w:after="0" w:line="172" w:lineRule="exact"/>
        <w:rPr>
          <w:sz w:val="20"/>
          <w:szCs w:val="20"/>
          <w:color w:val="auto"/>
        </w:rPr>
      </w:pPr>
    </w:p>
    <w:p>
      <w:pPr>
        <w:jc w:val="both"/>
        <w:ind w:right="60" w:firstLine="123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w:t>
      </w:r>
      <w:r>
        <w:rPr>
          <w:rFonts w:ascii="Times New Roman" w:cs="Times New Roman" w:eastAsia="Times New Roman" w:hAnsi="Times New Roman"/>
          <w:sz w:val="22"/>
          <w:szCs w:val="22"/>
          <w:color w:val="auto"/>
        </w:rPr>
        <w:t xml:space="preserve">" means any one of the Series 2022-5 7.09% Rental Car Asset Backed Notes, Class B,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 Definitive Class B Notes shall have such insertions and deletions as are necessary to give effect to the provisions of Section 2.18 of the Base Indenture.</w:t>
      </w:r>
    </w:p>
    <w:p>
      <w:pPr>
        <w:spacing w:after="0" w:line="17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 Rate</w:t>
      </w:r>
      <w:r>
        <w:rPr>
          <w:rFonts w:ascii="Times New Roman" w:cs="Times New Roman" w:eastAsia="Times New Roman" w:hAnsi="Times New Roman"/>
          <w:sz w:val="22"/>
          <w:szCs w:val="22"/>
          <w:color w:val="auto"/>
        </w:rPr>
        <w:t>" means 7.09% per annum.</w:t>
      </w:r>
    </w:p>
    <w:p>
      <w:pPr>
        <w:spacing w:after="0" w:line="20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Noteholder</w:t>
      </w:r>
      <w:r>
        <w:rPr>
          <w:rFonts w:ascii="Times New Roman" w:cs="Times New Roman" w:eastAsia="Times New Roman" w:hAnsi="Times New Roman"/>
          <w:sz w:val="22"/>
          <w:szCs w:val="22"/>
          <w:color w:val="auto"/>
        </w:rPr>
        <w:t>" means the Person in whose name a Class B Note is registered in the Note Register.</w:t>
      </w:r>
    </w:p>
    <w:p>
      <w:pPr>
        <w:spacing w:after="0" w:line="2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Shortfall</w:t>
      </w:r>
      <w:r>
        <w:rPr>
          <w:rFonts w:ascii="Times New Roman" w:cs="Times New Roman" w:eastAsia="Times New Roman" w:hAnsi="Times New Roman"/>
          <w:sz w:val="22"/>
          <w:szCs w:val="22"/>
          <w:color w:val="auto"/>
        </w:rPr>
        <w:t>" has the meaning set forth in Section 2.3(g)(ii).</w:t>
      </w:r>
    </w:p>
    <w:p>
      <w:pPr>
        <w:spacing w:after="0" w:line="206" w:lineRule="exact"/>
        <w:rPr>
          <w:sz w:val="20"/>
          <w:szCs w:val="20"/>
          <w:color w:val="auto"/>
        </w:rPr>
      </w:pPr>
    </w:p>
    <w:p>
      <w:pPr>
        <w:jc w:val="both"/>
        <w:ind w:right="80" w:firstLine="1231"/>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Carryover Controlled Amortization Amount</w:t>
      </w:r>
      <w:r>
        <w:rPr>
          <w:rFonts w:ascii="Times New Roman" w:cs="Times New Roman" w:eastAsia="Times New Roman" w:hAnsi="Times New Roman"/>
          <w:sz w:val="22"/>
          <w:szCs w:val="22"/>
          <w:color w:val="auto"/>
        </w:rPr>
        <w:t xml:space="preserve">" means, with respect to any Related Month during the Series 2022-5 Controlled Amortization Period, the amount, if any, by which the portion of the Monthly Total Principal Allocation paid to the Class C Noteholders pursuant to Section 2.5(e)(iii) for the previous Related Month was less than the Class C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2022-5 Controlled Amortization Period, the Class C Carryover Controlled Amortization Amount shall be zero.</w:t>
      </w:r>
    </w:p>
    <w:p>
      <w:pPr>
        <w:spacing w:after="0" w:line="177" w:lineRule="exact"/>
        <w:rPr>
          <w:sz w:val="20"/>
          <w:szCs w:val="20"/>
          <w:color w:val="auto"/>
        </w:rPr>
      </w:pPr>
    </w:p>
    <w:p>
      <w:pPr>
        <w:jc w:val="both"/>
        <w:ind w:right="60" w:firstLine="123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Controlled Amortization Amount</w:t>
      </w:r>
      <w:r>
        <w:rPr>
          <w:rFonts w:ascii="Times New Roman" w:cs="Times New Roman" w:eastAsia="Times New Roman" w:hAnsi="Times New Roman"/>
          <w:sz w:val="22"/>
          <w:szCs w:val="22"/>
          <w:color w:val="auto"/>
        </w:rPr>
        <w:t>" means, (i) with respect to any Related Month during the Series 2022-5 Controlled Amortization Period other than the Related Month immediately preceding the Series 2022-5 Expected Final Distribution Date, $8,755,833.33 and (ii) with respect to the Related Month immediately preceding the Series 2022-5 Expected Final Distribution Date, $8,755,833.35.</w:t>
      </w:r>
    </w:p>
    <w:p>
      <w:pPr>
        <w:spacing w:after="0" w:line="186" w:lineRule="exact"/>
        <w:rPr>
          <w:sz w:val="20"/>
          <w:szCs w:val="20"/>
          <w:color w:val="auto"/>
        </w:rPr>
      </w:pPr>
    </w:p>
    <w:p>
      <w:pPr>
        <w:jc w:val="both"/>
        <w:ind w:right="60" w:firstLine="1231"/>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Controlled Distribution Amount</w:t>
      </w:r>
      <w:r>
        <w:rPr>
          <w:rFonts w:ascii="Times New Roman" w:cs="Times New Roman" w:eastAsia="Times New Roman" w:hAnsi="Times New Roman"/>
          <w:sz w:val="22"/>
          <w:szCs w:val="22"/>
          <w:color w:val="auto"/>
        </w:rPr>
        <w:t>" means, with respect to any Related Month during the Series 2022-5 Controlled Amortization Period, an amount equal to the sum of the Class C Controlled Amortization Amount and any Class C Carryover Controlled Amortization Amount for such Related Month.</w:t>
      </w:r>
    </w:p>
    <w:p>
      <w:pPr>
        <w:spacing w:after="0" w:line="15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Initial Invested Amount</w:t>
      </w:r>
      <w:r>
        <w:rPr>
          <w:rFonts w:ascii="Times New Roman" w:cs="Times New Roman" w:eastAsia="Times New Roman" w:hAnsi="Times New Roman"/>
          <w:sz w:val="22"/>
          <w:szCs w:val="22"/>
          <w:color w:val="auto"/>
        </w:rPr>
        <w:t>" means the aggregate initial principal amount of the Class C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$52,535,000.</w:t>
      </w:r>
    </w:p>
    <w:p>
      <w:pPr>
        <w:spacing w:after="0" w:line="196" w:lineRule="exact"/>
        <w:rPr>
          <w:sz w:val="20"/>
          <w:szCs w:val="20"/>
          <w:color w:val="auto"/>
        </w:rPr>
      </w:pPr>
    </w:p>
    <w:p>
      <w:pPr>
        <w:jc w:val="both"/>
        <w:ind w:right="60" w:firstLine="123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Invested Amount</w:t>
      </w:r>
      <w:r>
        <w:rPr>
          <w:rFonts w:ascii="Times New Roman" w:cs="Times New Roman" w:eastAsia="Times New Roman" w:hAnsi="Times New Roman"/>
          <w:sz w:val="22"/>
          <w:szCs w:val="22"/>
          <w:color w:val="auto"/>
        </w:rPr>
        <w:t xml:space="preserve">" means, when used with respect to any date, an amount equal to (a) the Class C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C Noteholders on or prior to such date.</w:t>
      </w:r>
    </w:p>
    <w:p>
      <w:pPr>
        <w:spacing w:after="0" w:line="172" w:lineRule="exact"/>
        <w:rPr>
          <w:sz w:val="20"/>
          <w:szCs w:val="20"/>
          <w:color w:val="auto"/>
        </w:rPr>
      </w:pPr>
    </w:p>
    <w:p>
      <w:pPr>
        <w:jc w:val="both"/>
        <w:ind w:firstLine="1231"/>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Monthly Interest</w:t>
      </w:r>
      <w:r>
        <w:rPr>
          <w:rFonts w:ascii="Times New Roman" w:cs="Times New Roman" w:eastAsia="Times New Roman" w:hAnsi="Times New Roman"/>
          <w:sz w:val="22"/>
          <w:szCs w:val="22"/>
          <w:color w:val="auto"/>
        </w:rPr>
        <w:t xml:space="preserve">" means, (A) for so long as ABRCF owns 100% of the Class C Notes, $0 and (B) if ABRCF owns less than 100% of the Class C Notes, with respect to (i) the initial Series 2022-5 Interest Period </w:t>
      </w:r>
      <w:r>
        <w:rPr>
          <w:rFonts w:ascii="Times New Roman" w:cs="Times New Roman" w:eastAsia="Times New Roman" w:hAnsi="Times New Roman"/>
          <w:sz w:val="22"/>
          <w:szCs w:val="22"/>
          <w:u w:val="single" w:color="auto"/>
          <w:color w:val="0000FF"/>
        </w:rPr>
        <w:t>with respect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Class C Notes</w:t>
      </w:r>
      <w:r>
        <w:rPr>
          <w:rFonts w:ascii="Times New Roman" w:cs="Times New Roman" w:eastAsia="Times New Roman" w:hAnsi="Times New Roman"/>
          <w:sz w:val="22"/>
          <w:szCs w:val="22"/>
          <w:color w:val="000000"/>
        </w:rPr>
        <w:t>, an amount equal to $</w:t>
      </w:r>
      <w:r>
        <w:rPr>
          <w:rFonts w:ascii="Times New Roman" w:cs="Times New Roman" w:eastAsia="Times New Roman" w:hAnsi="Times New Roman"/>
          <w:sz w:val="22"/>
          <w:szCs w:val="22"/>
          <w:color w:val="FF0000"/>
          <w:strike w:val="1"/>
        </w:rPr>
        <w:t>284,083.01</w:t>
      </w:r>
      <w:r>
        <w:rPr>
          <w:rFonts w:ascii="Times New Roman" w:cs="Times New Roman" w:eastAsia="Times New Roman" w:hAnsi="Times New Roman"/>
          <w:sz w:val="22"/>
          <w:szCs w:val="22"/>
          <w:u w:val="single" w:color="auto"/>
          <w:color w:val="0000FF"/>
        </w:rPr>
        <w:t>409,773.00</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(ii) any other Series 2022-5 Interest Period, an amount equal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product of (A) one-twelfth of the Class C Note Rate and (B) the Class C Invested Amount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60"/>
          </w:cols>
          <w:pgMar w:left="400" w:top="1422" w:right="339" w:bottom="1440" w:gutter="0" w:footer="0" w:header="0"/>
        </w:sectPr>
      </w:pPr>
    </w:p>
    <w:bookmarkStart w:id="49" w:name="page50"/>
    <w:bookmarkEnd w:id="49"/>
    <w:p>
      <w:pPr>
        <w:ind w:left="80"/>
        <w:spacing w:after="0"/>
        <w:rPr>
          <w:sz w:val="20"/>
          <w:szCs w:val="20"/>
          <w:color w:val="auto"/>
        </w:rPr>
      </w:pPr>
      <w:r>
        <w:rPr>
          <w:rFonts w:ascii="Times New Roman" w:cs="Times New Roman" w:eastAsia="Times New Roman" w:hAnsi="Times New Roman"/>
          <w:sz w:val="22"/>
          <w:szCs w:val="22"/>
          <w:color w:val="auto"/>
        </w:rPr>
        <w:t>first day of such Series 2022-5 Interest Period, after giving effect to any principal payments made on such date.</w:t>
      </w:r>
    </w:p>
    <w:p>
      <w:pPr>
        <w:spacing w:after="0" w:line="220" w:lineRule="exact"/>
        <w:rPr>
          <w:sz w:val="20"/>
          <w:szCs w:val="20"/>
          <w:color w:val="auto"/>
        </w:rPr>
      </w:pPr>
    </w:p>
    <w:p>
      <w:pPr>
        <w:jc w:val="both"/>
        <w:ind w:left="80" w:right="60" w:firstLine="1231"/>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C Note</w:t>
      </w:r>
      <w:r>
        <w:rPr>
          <w:rFonts w:ascii="Times New Roman" w:cs="Times New Roman" w:eastAsia="Times New Roman" w:hAnsi="Times New Roman"/>
          <w:sz w:val="21"/>
          <w:szCs w:val="21"/>
          <w:color w:val="auto"/>
        </w:rPr>
        <w:t xml:space="preserve">" means any one of the Series 2022-5 </w:t>
      </w:r>
      <w:r>
        <w:rPr>
          <w:rFonts w:ascii="Times New Roman" w:cs="Times New Roman" w:eastAsia="Times New Roman" w:hAnsi="Times New Roman"/>
          <w:sz w:val="21"/>
          <w:szCs w:val="21"/>
          <w:color w:val="FF0000"/>
          <w:strike w:val="1"/>
        </w:rPr>
        <w:t>9.27</w:t>
      </w:r>
      <w:r>
        <w:rPr>
          <w:rFonts w:ascii="Times New Roman" w:cs="Times New Roman" w:eastAsia="Times New Roman" w:hAnsi="Times New Roman"/>
          <w:sz w:val="21"/>
          <w:szCs w:val="21"/>
          <w:u w:val="single" w:color="auto"/>
          <w:color w:val="0000FF"/>
        </w:rPr>
        <w:t>6.24</w:t>
      </w:r>
      <w:r>
        <w:rPr>
          <w:rFonts w:ascii="Times New Roman" w:cs="Times New Roman" w:eastAsia="Times New Roman" w:hAnsi="Times New Roman"/>
          <w:sz w:val="21"/>
          <w:szCs w:val="21"/>
          <w:color w:val="auto"/>
        </w:rPr>
        <w:t xml:space="preserve">% Rental Car Asset Backed Notes, Class C, executed by ABRCF and authenticated by or on behalf of the Trustee, substantially in the form of </w:t>
      </w:r>
      <w:r>
        <w:rPr>
          <w:rFonts w:ascii="Times New Roman" w:cs="Times New Roman" w:eastAsia="Times New Roman" w:hAnsi="Times New Roman"/>
          <w:sz w:val="21"/>
          <w:szCs w:val="21"/>
          <w:u w:val="single" w:color="auto"/>
          <w:color w:val="auto"/>
        </w:rPr>
        <w:t>Exhibit C-1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Exhibit C-2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Exhibit C-3</w:t>
      </w:r>
      <w:r>
        <w:rPr>
          <w:rFonts w:ascii="Times New Roman" w:cs="Times New Roman" w:eastAsia="Times New Roman" w:hAnsi="Times New Roman"/>
          <w:sz w:val="21"/>
          <w:szCs w:val="21"/>
          <w:color w:val="auto"/>
        </w:rPr>
        <w:t>. Definitive Class C Notes shall have such insertions and deletions as are necessary to give effect to the provisions of Section</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2.18 of the Base Indenture.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 Rate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color w:val="FF0000"/>
          <w:strike w:val="1"/>
        </w:rPr>
        <w:t>9.27</w:t>
      </w:r>
      <w:r>
        <w:rPr>
          <w:rFonts w:ascii="Times New Roman" w:cs="Times New Roman" w:eastAsia="Times New Roman" w:hAnsi="Times New Roman"/>
          <w:sz w:val="22"/>
          <w:szCs w:val="22"/>
          <w:u w:val="single" w:color="auto"/>
          <w:color w:val="0000FF"/>
        </w:rPr>
        <w:t>6.24</w:t>
      </w:r>
      <w:r>
        <w:rPr>
          <w:rFonts w:ascii="Times New Roman" w:cs="Times New Roman" w:eastAsia="Times New Roman" w:hAnsi="Times New Roman"/>
          <w:sz w:val="22"/>
          <w:szCs w:val="22"/>
          <w:color w:val="auto"/>
        </w:rPr>
        <w:t>%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Noteholder</w:t>
      </w:r>
      <w:r>
        <w:rPr>
          <w:rFonts w:ascii="Times New Roman" w:cs="Times New Roman" w:eastAsia="Times New Roman" w:hAnsi="Times New Roman"/>
          <w:sz w:val="22"/>
          <w:szCs w:val="22"/>
          <w:color w:val="auto"/>
        </w:rPr>
        <w:t>" means the Person in whose name a Class C Note is registered in the Note Register.</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Shortfall</w:t>
      </w:r>
      <w:r>
        <w:rPr>
          <w:rFonts w:ascii="Times New Roman" w:cs="Times New Roman" w:eastAsia="Times New Roman" w:hAnsi="Times New Roman"/>
          <w:sz w:val="22"/>
          <w:szCs w:val="22"/>
          <w:color w:val="auto"/>
        </w:rPr>
        <w:t>" has the meaning set forth in Section 2.3(g)(iii).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Noteholder</w:t>
      </w:r>
      <w:r>
        <w:rPr>
          <w:rFonts w:ascii="Times New Roman" w:cs="Times New Roman" w:eastAsia="Times New Roman" w:hAnsi="Times New Roman"/>
          <w:sz w:val="22"/>
          <w:szCs w:val="22"/>
          <w:color w:val="auto"/>
        </w:rPr>
        <w:t>" means the Person in whose name a Class D Note is registered in the Note Register.</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Notes</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jc w:val="both"/>
        <w:ind w:left="80" w:right="60" w:firstLine="123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Controlled Amortization Amount</w:t>
      </w:r>
      <w:r>
        <w:rPr>
          <w:rFonts w:ascii="Times New Roman" w:cs="Times New Roman" w:eastAsia="Times New Roman" w:hAnsi="Times New Roman"/>
          <w:sz w:val="22"/>
          <w:szCs w:val="22"/>
          <w:color w:val="auto"/>
        </w:rPr>
        <w:t>" means, (i) with respect to any Related Month during the Series 2022-5 Controlled Amortization Period other than the Related Month immediately preceding the Series 2022-5 Expected Final Distribution Date, $0 and (ii) with respect to the Related Month immediately preceding the Series 2022-5 Expected Final Distribution Date, the sum of (x) $30,400,000 and (y) the aggregate principal amount of any Additional Class R Notes.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Initial Invested Amount</w:t>
      </w:r>
      <w:r>
        <w:rPr>
          <w:rFonts w:ascii="Times New Roman" w:cs="Times New Roman" w:eastAsia="Times New Roman" w:hAnsi="Times New Roman"/>
          <w:sz w:val="22"/>
          <w:szCs w:val="22"/>
          <w:color w:val="auto"/>
        </w:rPr>
        <w:t>" means the aggregate initial principal amount of the Class R Notes, which is</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$30,400,000.</w:t>
      </w:r>
    </w:p>
    <w:p>
      <w:pPr>
        <w:spacing w:after="0" w:line="182" w:lineRule="exact"/>
        <w:rPr>
          <w:sz w:val="20"/>
          <w:szCs w:val="20"/>
          <w:color w:val="auto"/>
        </w:rPr>
      </w:pPr>
    </w:p>
    <w:p>
      <w:pPr>
        <w:jc w:val="both"/>
        <w:ind w:left="80" w:right="60" w:firstLine="1231"/>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R Invested Amount</w:t>
      </w:r>
      <w:r>
        <w:rPr>
          <w:rFonts w:ascii="Times New Roman" w:cs="Times New Roman" w:eastAsia="Times New Roman" w:hAnsi="Times New Roman"/>
          <w:sz w:val="21"/>
          <w:szCs w:val="21"/>
          <w:color w:val="auto"/>
        </w:rPr>
        <w:t xml:space="preserve">" means, when used with respect to any date, an amount equal to (a) the Class R Initial Invested Amount plus (b) the aggregate principal amount of any Additional Class R Notes issued on or prior to such date </w:t>
      </w:r>
      <w:r>
        <w:rPr>
          <w:rFonts w:ascii="Times New Roman" w:cs="Times New Roman" w:eastAsia="Times New Roman" w:hAnsi="Times New Roman"/>
          <w:sz w:val="21"/>
          <w:szCs w:val="21"/>
          <w:u w:val="single" w:color="auto"/>
          <w:color w:val="auto"/>
        </w:rPr>
        <w:t>minus</w:t>
      </w:r>
    </w:p>
    <w:p>
      <w:pPr>
        <w:ind w:left="80"/>
        <w:spacing w:after="0"/>
        <w:rPr>
          <w:sz w:val="20"/>
          <w:szCs w:val="20"/>
          <w:color w:val="auto"/>
        </w:rPr>
      </w:pPr>
      <w:r>
        <w:rPr>
          <w:rFonts w:ascii="Times New Roman" w:cs="Times New Roman" w:eastAsia="Times New Roman" w:hAnsi="Times New Roman"/>
          <w:sz w:val="22"/>
          <w:szCs w:val="22"/>
          <w:color w:val="auto"/>
        </w:rPr>
        <w:t>(b) the amount of principal payments made to Class R Noteholders on or prior to such date.</w:t>
      </w:r>
    </w:p>
    <w:p>
      <w:pPr>
        <w:spacing w:after="0" w:line="196" w:lineRule="exact"/>
        <w:rPr>
          <w:sz w:val="20"/>
          <w:szCs w:val="20"/>
          <w:color w:val="auto"/>
        </w:rPr>
      </w:pPr>
    </w:p>
    <w:p>
      <w:pPr>
        <w:jc w:val="both"/>
        <w:ind w:left="80" w:right="60" w:firstLine="123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Monthly Interest</w:t>
      </w:r>
      <w:r>
        <w:rPr>
          <w:rFonts w:ascii="Times New Roman" w:cs="Times New Roman" w:eastAsia="Times New Roman" w:hAnsi="Times New Roman"/>
          <w:sz w:val="22"/>
          <w:szCs w:val="22"/>
          <w:color w:val="auto"/>
        </w:rPr>
        <w:t>" means, with respect to (i) the initial Series 2022-5 Interest Period, an amount equal to $197,939.47 and (ii) any other Series 2022-5 Interest Period, an amount equal to the product of (A) one-twelfth of the Class R Note Rate and (B) the Class R Invested Amount on the first day of such Series 2022-5 Interest Period, after giving effect to any principal payments made on such date.</w:t>
      </w:r>
    </w:p>
    <w:p>
      <w:pPr>
        <w:spacing w:after="0" w:line="20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Class R Note</w:t>
      </w:r>
      <w:r>
        <w:rPr>
          <w:rFonts w:ascii="Times New Roman" w:cs="Times New Roman" w:eastAsia="Times New Roman" w:hAnsi="Times New Roman"/>
          <w:sz w:val="22"/>
          <w:szCs w:val="22"/>
          <w:color w:val="auto"/>
        </w:rPr>
        <w:t xml:space="preserve">" means any one of the Series 2022-5 11.162% Rental Car Asset Backed Notes, Class R,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 Definitive Class R Notes shall have such insertions and deletions as are necessary to give effect to the provisions of Section 2.18 of the Base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50" w:name="page51"/>
    <w:bookmarkEnd w:id="5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2022-5 Expected Final Distribution Date</w:t>
      </w:r>
      <w:r>
        <w:rPr>
          <w:rFonts w:ascii="Times New Roman" w:cs="Times New Roman" w:eastAsia="Times New Roman" w:hAnsi="Times New Roman"/>
          <w:sz w:val="22"/>
          <w:szCs w:val="22"/>
          <w:color w:val="auto"/>
        </w:rPr>
        <w:t>" means the April 2026 Distribution Date.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2022-5 Final Distribution Date</w:t>
      </w:r>
      <w:r>
        <w:rPr>
          <w:rFonts w:ascii="Times New Roman" w:cs="Times New Roman" w:eastAsia="Times New Roman" w:hAnsi="Times New Roman"/>
          <w:sz w:val="22"/>
          <w:szCs w:val="22"/>
          <w:color w:val="auto"/>
        </w:rPr>
        <w:t>" means the April 2027 Distribution Date.</w:t>
      </w:r>
    </w:p>
    <w:p>
      <w:pPr>
        <w:spacing w:after="0" w:line="206" w:lineRule="exact"/>
        <w:rPr>
          <w:sz w:val="20"/>
          <w:szCs w:val="20"/>
          <w:color w:val="auto"/>
        </w:rPr>
      </w:pPr>
    </w:p>
    <w:p>
      <w:pPr>
        <w:jc w:val="both"/>
        <w:ind w:right="80" w:firstLine="1296"/>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2022-5 Interest Period</w:t>
      </w:r>
      <w:r>
        <w:rPr>
          <w:rFonts w:ascii="Times New Roman" w:cs="Times New Roman" w:eastAsia="Times New Roman" w:hAnsi="Times New Roman"/>
          <w:sz w:val="22"/>
          <w:szCs w:val="22"/>
          <w:color w:val="auto"/>
        </w:rPr>
        <w:t xml:space="preserve">" means a period commencing on and including a Distribution Date and ending on and including the day preceding the next succeeding Distribution Date;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0000FF"/>
        </w:rPr>
        <w:t>(x)</w:t>
      </w:r>
      <w:r>
        <w:rPr>
          <w:rFonts w:ascii="Times New Roman" w:cs="Times New Roman" w:eastAsia="Times New Roman" w:hAnsi="Times New Roman"/>
          <w:sz w:val="22"/>
          <w:szCs w:val="22"/>
          <w:color w:val="auto"/>
        </w:rPr>
        <w:t xml:space="preserve"> the initial Series 2022-5 Interest Period </w:t>
      </w:r>
      <w:r>
        <w:rPr>
          <w:rFonts w:ascii="Times New Roman" w:cs="Times New Roman" w:eastAsia="Times New Roman" w:hAnsi="Times New Roman"/>
          <w:sz w:val="22"/>
          <w:szCs w:val="22"/>
          <w:u w:val="single" w:color="auto"/>
          <w:color w:val="0000FF"/>
        </w:rPr>
        <w:t>for the Class A Notes and the Class B Notes</w:t>
      </w:r>
      <w:r>
        <w:rPr>
          <w:rFonts w:ascii="Times New Roman" w:cs="Times New Roman" w:eastAsia="Times New Roman" w:hAnsi="Times New Roman"/>
          <w:sz w:val="22"/>
          <w:szCs w:val="22"/>
          <w:color w:val="auto"/>
        </w:rPr>
        <w:t xml:space="preserve"> shall commence on and include the Series 2022-5 Closing Date and end on and include December 19, 2022 </w:t>
      </w:r>
      <w:r>
        <w:rPr>
          <w:rFonts w:ascii="Times New Roman" w:cs="Times New Roman" w:eastAsia="Times New Roman" w:hAnsi="Times New Roman"/>
          <w:sz w:val="22"/>
          <w:szCs w:val="22"/>
          <w:color w:val="0000FF"/>
        </w:rPr>
        <w:t>and (y) the initial Series 2022-5 Interest Period for the Class C Notes shall commence 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and include February 5, 2024 and end on and include March 19, 2024</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-194945</wp:posOffset>
            </wp:positionV>
            <wp:extent cx="4930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4930775" cy="8890"/>
                    </a:xfrm>
                    <a:prstGeom prst="rect">
                      <a:avLst/>
                    </a:prstGeom>
                    <a:noFill/>
                  </pic:spPr>
                </pic:pic>
              </a:graphicData>
            </a:graphic>
          </wp:anchor>
        </w:drawing>
      </w:r>
    </w:p>
    <w:p>
      <w:pPr>
        <w:spacing w:after="0" w:line="157" w:lineRule="exact"/>
        <w:rPr>
          <w:sz w:val="20"/>
          <w:szCs w:val="20"/>
          <w:color w:val="auto"/>
        </w:rPr>
      </w:pPr>
    </w:p>
    <w:p>
      <w:pPr>
        <w:jc w:val="both"/>
        <w:ind w:right="6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2022-5 Invested Amount</w:t>
      </w:r>
      <w:r>
        <w:rPr>
          <w:rFonts w:ascii="Times New Roman" w:cs="Times New Roman" w:eastAsia="Times New Roman" w:hAnsi="Times New Roman"/>
          <w:sz w:val="22"/>
          <w:szCs w:val="22"/>
          <w:color w:val="auto"/>
        </w:rPr>
        <w:t>" means, as of any date of determination, the sum of the Class A Invested Amount as of such date, the Class B Invested Amount as of such date, the Class C Invested Amount as of such date and the Class R Invested Amount as of such date.</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2022-5 Invested Percentage</w:t>
      </w:r>
      <w:r>
        <w:rPr>
          <w:rFonts w:ascii="Times New Roman" w:cs="Times New Roman" w:eastAsia="Times New Roman" w:hAnsi="Times New Roman"/>
          <w:sz w:val="22"/>
          <w:szCs w:val="22"/>
          <w:color w:val="auto"/>
        </w:rPr>
        <w:t>" means as of any date of determination:</w:t>
      </w:r>
    </w:p>
    <w:p>
      <w:pPr>
        <w:spacing w:after="0" w:line="220" w:lineRule="exact"/>
        <w:rPr>
          <w:sz w:val="20"/>
          <w:szCs w:val="20"/>
          <w:color w:val="auto"/>
        </w:rPr>
      </w:pPr>
    </w:p>
    <w:p>
      <w:pPr>
        <w:jc w:val="both"/>
        <w:ind w:right="60" w:firstLine="1304"/>
        <w:spacing w:after="0" w:line="238"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used with respect to Principal Collections, the percentage equivalent (which percentage shall never exceed 100%) of a fraction, the numerator of which shall be equal to the sum of the Series 2022-5 Invested Amount and the Series 2022-5 Overcollateralization Amount, determined during the Series 2022-5 Revolving Period as of the end of the Related Month (or, until the end of the initial Related Month, on the Series 2022-5 Closing Date), or, during the Series 2022-5 Controlled Amortization Period and the Series 2022-5 Rapid Amortization Period, as of the end of the Series 2022-5 Revolving Period, and the denominator of which shall be the greater of (I) the Aggregate Asset Amount as of the end of the Related Month or, until the end of the initial Related Month, as of the Series 2022-5 Closing Date, and (II) as of the same date as in clause (I), the sum of the numerators used to determine the invested percentages for allocations with respect to Principal Collections (for all Series of Notes and all classes of such Series of Notes); and</w:t>
      </w:r>
    </w:p>
    <w:p>
      <w:pPr>
        <w:spacing w:after="0" w:line="185" w:lineRule="exact"/>
        <w:rPr>
          <w:rFonts w:ascii="Times New Roman" w:cs="Times New Roman" w:eastAsia="Times New Roman" w:hAnsi="Times New Roman"/>
          <w:sz w:val="22"/>
          <w:szCs w:val="22"/>
          <w:color w:val="auto"/>
        </w:rPr>
      </w:pPr>
    </w:p>
    <w:p>
      <w:pPr>
        <w:jc w:val="both"/>
        <w:ind w:right="60" w:firstLine="1304"/>
        <w:spacing w:after="0" w:line="241"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used with respect to Interest Collections, the percentage equivalent (which percentage shall never exceed 100%) of a fraction, the numerator of which shall be the Accrued Amounts with respect to the Series 2022-5 Notes on such date of determination, and the denominator of which shall be the aggregate Accrued Amounts with respect to all Series of Notes on such date of determination. For so long as ABRCF owns 100% of the Class C Notes, the accrued and unpaid interest with respect to the Class C Notes shall be $0 for purposes of calculating the Accrued Amounts with respect to the Series 2022-5 Notes.</w:t>
      </w:r>
    </w:p>
    <w:p>
      <w:pPr>
        <w:spacing w:after="0" w:line="20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2022-5 Lease Interest Payment Deficit</w:t>
      </w:r>
      <w:r>
        <w:rPr>
          <w:rFonts w:ascii="Times New Roman" w:cs="Times New Roman" w:eastAsia="Times New Roman" w:hAnsi="Times New Roman"/>
          <w:sz w:val="22"/>
          <w:szCs w:val="22"/>
          <w:color w:val="auto"/>
        </w:rPr>
        <w:t>" means, on any Distribution Date, an amount equal to the excess, if any, of (1) the excess, if any, of (a) the aggregate amount of Interest Collections which pursuant to Section 2.2(a), (b), (c) or (d) would have been allocated to the Series 2022-5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08"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C-1</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20"/>
        <w:spacing w:after="0" w:line="248" w:lineRule="auto"/>
        <w:rPr>
          <w:sz w:val="20"/>
          <w:szCs w:val="20"/>
          <w:color w:val="auto"/>
        </w:rPr>
      </w:pPr>
      <w:r>
        <w:rPr>
          <w:rFonts w:ascii="Times New Roman" w:cs="Times New Roman" w:eastAsia="Times New Roman" w:hAnsi="Times New Roman"/>
          <w:sz w:val="22"/>
          <w:szCs w:val="22"/>
          <w:color w:val="auto"/>
        </w:rPr>
        <w:t>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9"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THE PRINCIPAL OF THIS CLASS C NOTE IS PAYABLE IN INSTALLMENTS AS SET FORTH HEREIN. ACCORDINGLY, THE OUTSTANDING PRINCIPAL AMOUNT OF THIS CLASS C NOTE AT ANY TIME MAY BE LESS THAN THE AMOUNT SHOWN ON THE FACE HEREOF.</w:t>
      </w:r>
    </w:p>
    <w:p>
      <w:pPr>
        <w:spacing w:after="0" w:line="18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AVIS BUDGET RENTAL CAR FUNDING (AESOP) LLC</w:t>
      </w:r>
    </w:p>
    <w:p>
      <w:pPr>
        <w:spacing w:after="0" w:line="20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 xml:space="preserve">SERIES 2022-5 </w:t>
      </w:r>
      <w:r>
        <w:rPr>
          <w:rFonts w:ascii="Times New Roman" w:cs="Times New Roman" w:eastAsia="Times New Roman" w:hAnsi="Times New Roman"/>
          <w:sz w:val="22"/>
          <w:szCs w:val="22"/>
          <w:b w:val="1"/>
          <w:bCs w:val="1"/>
          <w:color w:val="FF0000"/>
          <w:strike w:val="1"/>
        </w:rPr>
        <w:t>9.27</w:t>
      </w:r>
      <w:r>
        <w:rPr>
          <w:rFonts w:ascii="Times New Roman" w:cs="Times New Roman" w:eastAsia="Times New Roman" w:hAnsi="Times New Roman"/>
          <w:sz w:val="22"/>
          <w:szCs w:val="22"/>
          <w:b w:val="1"/>
          <w:bCs w:val="1"/>
          <w:u w:val="single" w:color="auto"/>
          <w:color w:val="0000FF"/>
        </w:rPr>
        <w:t>6.24</w:t>
      </w:r>
      <w:r>
        <w:rPr>
          <w:rFonts w:ascii="Times New Roman" w:cs="Times New Roman" w:eastAsia="Times New Roman" w:hAnsi="Times New Roman"/>
          <w:sz w:val="22"/>
          <w:szCs w:val="22"/>
          <w:b w:val="1"/>
          <w:bCs w:val="1"/>
          <w:color w:val="auto"/>
        </w:rPr>
        <w:t>% RENTAL CAR ASSET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BACKED NOTES, CLASS C</w:t>
      </w:r>
    </w:p>
    <w:p>
      <w:pPr>
        <w:spacing w:after="0" w:line="1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AVIS BUDGET RENTAL CAR FUNDING (AESOP) LLC, a Delaware limited liability company (herein referred to as the</w:t>
      </w:r>
    </w:p>
    <w:tbl>
      <w:tblPr>
        <w:tblLayout w:type="fixed"/>
        <w:tblInd w:w="0" w:type="dxa"/>
        <w:tblCellMar>
          <w:top w:w="0" w:type="dxa"/>
          <w:left w:w="0" w:type="dxa"/>
          <w:bottom w:w="0" w:type="dxa"/>
          <w:right w:w="0" w:type="dxa"/>
        </w:tblCellMar>
      </w:tblPr>
      <w:tr>
        <w:trPr>
          <w:trHeight w:val="220"/>
        </w:trPr>
        <w:tc>
          <w:tcPr>
            <w:tcW w:w="1520" w:type="dxa"/>
            <w:vAlign w:val="bottom"/>
            <w:gridSpan w:val="3"/>
          </w:tcPr>
          <w:p>
            <w:pPr>
              <w:spacing w:after="0" w:line="220" w:lineRule="exact"/>
              <w:rPr>
                <w:sz w:val="20"/>
                <w:szCs w:val="20"/>
                <w:color w:val="auto"/>
              </w:rPr>
            </w:pPr>
            <w:r>
              <w:rPr>
                <w:rFonts w:ascii="Times New Roman" w:cs="Times New Roman" w:eastAsia="Times New Roman" w:hAnsi="Times New Roman"/>
                <w:sz w:val="22"/>
                <w:szCs w:val="22"/>
                <w:color w:val="auto"/>
              </w:rPr>
              <w:t>"Company"),</w:t>
            </w:r>
          </w:p>
        </w:tc>
        <w:tc>
          <w:tcPr>
            <w:tcW w:w="1420" w:type="dxa"/>
            <w:vAlign w:val="bottom"/>
          </w:tcPr>
          <w:p>
            <w:pPr>
              <w:ind w:left="440"/>
              <w:spacing w:after="0" w:line="220" w:lineRule="exact"/>
              <w:rPr>
                <w:sz w:val="20"/>
                <w:szCs w:val="20"/>
                <w:color w:val="auto"/>
              </w:rPr>
            </w:pPr>
            <w:r>
              <w:rPr>
                <w:rFonts w:ascii="Times New Roman" w:cs="Times New Roman" w:eastAsia="Times New Roman" w:hAnsi="Times New Roman"/>
                <w:sz w:val="22"/>
                <w:szCs w:val="22"/>
                <w:color w:val="auto"/>
              </w:rPr>
              <w:t>for</w:t>
            </w:r>
          </w:p>
        </w:tc>
        <w:tc>
          <w:tcPr>
            <w:tcW w:w="940" w:type="dxa"/>
            <w:vAlign w:val="bottom"/>
          </w:tcPr>
          <w:p>
            <w:pPr>
              <w:ind w:left="80"/>
              <w:spacing w:after="0" w:line="220" w:lineRule="exact"/>
              <w:rPr>
                <w:sz w:val="20"/>
                <w:szCs w:val="20"/>
                <w:color w:val="auto"/>
              </w:rPr>
            </w:pPr>
            <w:r>
              <w:rPr>
                <w:rFonts w:ascii="Times New Roman" w:cs="Times New Roman" w:eastAsia="Times New Roman" w:hAnsi="Times New Roman"/>
                <w:sz w:val="22"/>
                <w:szCs w:val="22"/>
                <w:color w:val="auto"/>
              </w:rPr>
              <w:t>value</w:t>
            </w:r>
          </w:p>
        </w:tc>
        <w:tc>
          <w:tcPr>
            <w:tcW w:w="1460" w:type="dxa"/>
            <w:vAlign w:val="bottom"/>
          </w:tcPr>
          <w:p>
            <w:pPr>
              <w:ind w:left="400"/>
              <w:spacing w:after="0" w:line="220" w:lineRule="exact"/>
              <w:rPr>
                <w:sz w:val="20"/>
                <w:szCs w:val="20"/>
                <w:color w:val="auto"/>
              </w:rPr>
            </w:pPr>
            <w:r>
              <w:rPr>
                <w:rFonts w:ascii="Times New Roman" w:cs="Times New Roman" w:eastAsia="Times New Roman" w:hAnsi="Times New Roman"/>
                <w:sz w:val="22"/>
                <w:szCs w:val="22"/>
                <w:color w:val="auto"/>
              </w:rPr>
              <w:t>received,</w:t>
            </w:r>
          </w:p>
        </w:tc>
        <w:tc>
          <w:tcPr>
            <w:tcW w:w="1520" w:type="dxa"/>
            <w:vAlign w:val="bottom"/>
          </w:tcPr>
          <w:p>
            <w:pPr>
              <w:ind w:left="540"/>
              <w:spacing w:after="0" w:line="220" w:lineRule="exact"/>
              <w:rPr>
                <w:sz w:val="20"/>
                <w:szCs w:val="20"/>
                <w:color w:val="auto"/>
              </w:rPr>
            </w:pPr>
            <w:r>
              <w:rPr>
                <w:rFonts w:ascii="Times New Roman" w:cs="Times New Roman" w:eastAsia="Times New Roman" w:hAnsi="Times New Roman"/>
                <w:sz w:val="22"/>
                <w:szCs w:val="22"/>
                <w:color w:val="auto"/>
              </w:rPr>
              <w:t>hereby</w:t>
            </w:r>
          </w:p>
        </w:tc>
        <w:tc>
          <w:tcPr>
            <w:tcW w:w="1600" w:type="dxa"/>
            <w:vAlign w:val="bottom"/>
          </w:tcPr>
          <w:p>
            <w:pPr>
              <w:ind w:left="400"/>
              <w:spacing w:after="0" w:line="220" w:lineRule="exact"/>
              <w:rPr>
                <w:sz w:val="20"/>
                <w:szCs w:val="20"/>
                <w:color w:val="auto"/>
              </w:rPr>
            </w:pPr>
            <w:r>
              <w:rPr>
                <w:rFonts w:ascii="Times New Roman" w:cs="Times New Roman" w:eastAsia="Times New Roman" w:hAnsi="Times New Roman"/>
                <w:sz w:val="22"/>
                <w:szCs w:val="22"/>
                <w:color w:val="auto"/>
              </w:rPr>
              <w:t>promises</w:t>
            </w:r>
          </w:p>
        </w:tc>
        <w:tc>
          <w:tcPr>
            <w:tcW w:w="960" w:type="dxa"/>
            <w:vAlign w:val="bottom"/>
          </w:tcPr>
          <w:p>
            <w:pPr>
              <w:ind w:left="400"/>
              <w:spacing w:after="0" w:line="220" w:lineRule="exact"/>
              <w:rPr>
                <w:sz w:val="20"/>
                <w:szCs w:val="20"/>
                <w:color w:val="auto"/>
              </w:rPr>
            </w:pPr>
            <w:r>
              <w:rPr>
                <w:rFonts w:ascii="Times New Roman" w:cs="Times New Roman" w:eastAsia="Times New Roman" w:hAnsi="Times New Roman"/>
                <w:sz w:val="22"/>
                <w:szCs w:val="22"/>
                <w:color w:val="auto"/>
              </w:rPr>
              <w:t>to</w:t>
            </w:r>
          </w:p>
        </w:tc>
        <w:tc>
          <w:tcPr>
            <w:tcW w:w="1120" w:type="dxa"/>
            <w:vAlign w:val="bottom"/>
          </w:tcPr>
          <w:p>
            <w:pPr>
              <w:ind w:left="400"/>
              <w:spacing w:after="0" w:line="220" w:lineRule="exact"/>
              <w:rPr>
                <w:sz w:val="20"/>
                <w:szCs w:val="20"/>
                <w:color w:val="auto"/>
              </w:rPr>
            </w:pPr>
            <w:r>
              <w:rPr>
                <w:rFonts w:ascii="Times New Roman" w:cs="Times New Roman" w:eastAsia="Times New Roman" w:hAnsi="Times New Roman"/>
                <w:sz w:val="22"/>
                <w:szCs w:val="22"/>
                <w:color w:val="auto"/>
              </w:rPr>
              <w:t>pay</w:t>
            </w:r>
          </w:p>
        </w:tc>
        <w:tc>
          <w:tcPr>
            <w:tcW w:w="580" w:type="dxa"/>
            <w:vAlign w:val="bottom"/>
          </w:tcPr>
          <w:p>
            <w:pPr>
              <w:ind w:left="400"/>
              <w:spacing w:after="0" w:line="220" w:lineRule="exact"/>
              <w:rPr>
                <w:sz w:val="20"/>
                <w:szCs w:val="20"/>
                <w:color w:val="auto"/>
              </w:rPr>
            </w:pPr>
            <w:r>
              <w:rPr>
                <w:rFonts w:ascii="Times New Roman" w:cs="Times New Roman" w:eastAsia="Times New Roman" w:hAnsi="Times New Roman"/>
                <w:sz w:val="22"/>
                <w:szCs w:val="22"/>
                <w:color w:val="auto"/>
                <w:w w:val="93"/>
              </w:rPr>
              <w:t>to</w:t>
            </w:r>
          </w:p>
        </w:tc>
      </w:tr>
      <w:tr>
        <w:trPr>
          <w:trHeight w:val="20"/>
        </w:trPr>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87"/>
        </w:trPr>
        <w:tc>
          <w:tcPr>
            <w:tcW w:w="1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Cede  &amp;  Co.,</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or  registered</w:t>
            </w:r>
          </w:p>
        </w:tc>
        <w:tc>
          <w:tcPr>
            <w:tcW w:w="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assigns,</w:t>
            </w:r>
          </w:p>
        </w:tc>
        <w:tc>
          <w:tcPr>
            <w:tcW w:w="14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principal</w:t>
            </w:r>
          </w:p>
        </w:tc>
        <w:tc>
          <w:tcPr>
            <w:tcW w:w="1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sum  of</w:t>
            </w: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jc w:val="both"/>
        <w:ind w:right="120" w:firstLine="8"/>
        <w:spacing w:after="0" w:line="237" w:lineRule="auto"/>
        <w:tabs>
          <w:tab w:leader="none" w:pos="2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_____________________________] DOLLARS, which amount shall be payable in the amounts and at the times set forth in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entire unpaid principal amount of this Class C Note shall be due on the Series 2022-5 Final Distribution Date, which is the April 2027 Distribution Date. However, principal with respect to the Class C Notes may be paid earlier or later under certain limited circumstances described in the Indenture. The Company will pay interest on this Class C Note at the Class C Note Rate. Such interest shall be payable on each Distribution Date until the principal of this Class C Note is paid or made available for payment. Interest on this Class C Note will accrue for each Distribution Date from the most recent Distribution Date on which interest has been paid to but excluding such Distribution Date or, if no interest has yet been paid, from </w:t>
      </w:r>
      <w:r>
        <w:rPr>
          <w:rFonts w:ascii="Times New Roman" w:cs="Times New Roman" w:eastAsia="Times New Roman" w:hAnsi="Times New Roman"/>
          <w:sz w:val="22"/>
          <w:szCs w:val="22"/>
          <w:color w:val="FF0000"/>
          <w:strike w:val="1"/>
        </w:rPr>
        <w:t>November 29, 2022</w:t>
      </w:r>
      <w:r>
        <w:rPr>
          <w:rFonts w:ascii="Times New Roman" w:cs="Times New Roman" w:eastAsia="Times New Roman" w:hAnsi="Times New Roman"/>
          <w:sz w:val="22"/>
          <w:szCs w:val="22"/>
          <w:u w:val="single" w:color="auto"/>
          <w:color w:val="0000FF"/>
        </w:rPr>
        <w:t>February 5, 2024</w:t>
      </w:r>
      <w:r>
        <w:rPr>
          <w:rFonts w:ascii="Times New Roman" w:cs="Times New Roman" w:eastAsia="Times New Roman" w:hAnsi="Times New Roman"/>
          <w:sz w:val="22"/>
          <w:szCs w:val="22"/>
          <w:color w:val="auto"/>
        </w:rPr>
        <w:t>. Interest with respect to the Class C Notes will be calculated in the manner provided in the Indenture. Such principal of and interest on this Class C Note shall be paid in the manner specified on the reverse hereof.</w:t>
      </w:r>
    </w:p>
    <w:p>
      <w:pPr>
        <w:spacing w:after="0" w:line="178" w:lineRule="exact"/>
        <w:rPr>
          <w:sz w:val="20"/>
          <w:szCs w:val="20"/>
          <w:color w:val="auto"/>
        </w:rPr>
      </w:pPr>
    </w:p>
    <w:p>
      <w:pPr>
        <w:jc w:val="both"/>
        <w:ind w:right="140"/>
        <w:spacing w:after="0" w:line="241" w:lineRule="auto"/>
        <w:rPr>
          <w:sz w:val="20"/>
          <w:szCs w:val="20"/>
          <w:color w:val="auto"/>
        </w:rPr>
      </w:pPr>
      <w:r>
        <w:rPr>
          <w:rFonts w:ascii="Times New Roman" w:cs="Times New Roman" w:eastAsia="Times New Roman" w:hAnsi="Times New Roman"/>
          <w:sz w:val="22"/>
          <w:szCs w:val="22"/>
          <w:color w:val="auto"/>
        </w:rPr>
        <w:t>The principal of and interest on this Class C Note are payable in such coin or currency of the United States of America as at the time of payment is legal tender for payment of public and private debts. All payments made by the Company with respect to this Class C Note shall be applied first to interest due and payable on this Class C Note as provided above and then to the unpaid principal of this Class C Note. This Class C Note does not represent an interest in, or an obligation of, Original AESOP, AESOP Leasing, AESOP Leasing II, ABCR, BRAC, ARAC or any affiliate of Original AESOP, AESOP Leasing, AESOP Leasing II, ABCR, BRAC or ARAC, other than the Company.</w:t>
      </w:r>
    </w:p>
    <w:p>
      <w:pPr>
        <w:spacing w:after="0" w:line="1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Interests in this Class C Note are exchangeable or transferable in whole or in part for interests in a Restricted Global Note if this Class C Note is a Temporary Global Note, or for interests in a Temporary Global Note or a Permanent Global Note if this Class C Note is a Restricted Global Note (each as defined in the Base Indenture), in each case of the same Class and Series, provided</w:t>
      </w:r>
    </w:p>
    <w:p>
      <w:pPr>
        <w:sectPr>
          <w:pgSz w:w="11900" w:h="16838" w:orient="portrait"/>
          <w:cols w:equalWidth="0" w:num="1">
            <w:col w:w="11240"/>
          </w:cols>
          <w:pgMar w:left="320" w:top="126"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C-1</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[REVERSE OF CLASS C NOTE]</w:t>
      </w:r>
    </w:p>
    <w:p>
      <w:pPr>
        <w:spacing w:after="0" w:line="224"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22"/>
          <w:szCs w:val="22"/>
          <w:color w:val="auto"/>
        </w:rPr>
        <w:t xml:space="preserve">This Class C Note is one of a duly authorized issue of Class C Notes of the Company, designated as its Series 2022-5 </w:t>
      </w:r>
      <w:r>
        <w:rPr>
          <w:rFonts w:ascii="Times New Roman" w:cs="Times New Roman" w:eastAsia="Times New Roman" w:hAnsi="Times New Roman"/>
          <w:sz w:val="22"/>
          <w:szCs w:val="22"/>
          <w:color w:val="FF0000"/>
          <w:strike w:val="1"/>
        </w:rPr>
        <w:t>9.27</w:t>
      </w:r>
      <w:r>
        <w:rPr>
          <w:rFonts w:ascii="Times New Roman" w:cs="Times New Roman" w:eastAsia="Times New Roman" w:hAnsi="Times New Roman"/>
          <w:sz w:val="22"/>
          <w:szCs w:val="22"/>
          <w:u w:val="single" w:color="auto"/>
          <w:color w:val="0000FF"/>
        </w:rPr>
        <w:t>6.24</w:t>
      </w:r>
      <w:r>
        <w:rPr>
          <w:rFonts w:ascii="Times New Roman" w:cs="Times New Roman" w:eastAsia="Times New Roman" w:hAnsi="Times New Roman"/>
          <w:sz w:val="22"/>
          <w:szCs w:val="22"/>
          <w:color w:val="auto"/>
        </w:rPr>
        <w:t>% Rental Car Asset Backed Notes, Class C (herein called the "</w:t>
      </w:r>
      <w:r>
        <w:rPr>
          <w:rFonts w:ascii="Times New Roman" w:cs="Times New Roman" w:eastAsia="Times New Roman" w:hAnsi="Times New Roman"/>
          <w:sz w:val="22"/>
          <w:szCs w:val="22"/>
          <w:u w:val="single" w:color="auto"/>
          <w:color w:val="auto"/>
        </w:rPr>
        <w:t>Class C Notes</w:t>
      </w:r>
      <w:r>
        <w:rPr>
          <w:rFonts w:ascii="Times New Roman" w:cs="Times New Roman" w:eastAsia="Times New Roman" w:hAnsi="Times New Roman"/>
          <w:sz w:val="22"/>
          <w:szCs w:val="22"/>
          <w:color w:val="auto"/>
        </w:rPr>
        <w:t>"), all issued under (i) a Second Amended and Restated Base Indenture, dated as of June 3, 2004 (such Base Indenture, as may be further amended, restated, supplemented or modified in accordance with its terms (exclusive of any Supplements thereto creating a new Series of Notes), is herein called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between the Company, as Issuer, and The Bank of New York Mellon Trust Company, N.A. (as successor in interest to The Bank of New York),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which term includes any successor Trustee under the Base Indenture), and (ii) a Series 2022-5 Supplement, dated as of November 29, 2022 (such supplement, as may be amended or modified, is herein called the "</w:t>
      </w:r>
      <w:r>
        <w:rPr>
          <w:rFonts w:ascii="Times New Roman" w:cs="Times New Roman" w:eastAsia="Times New Roman" w:hAnsi="Times New Roman"/>
          <w:sz w:val="22"/>
          <w:szCs w:val="22"/>
          <w:u w:val="single" w:color="auto"/>
          <w:color w:val="auto"/>
        </w:rPr>
        <w:t>Series 2022-5 Supplement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among the Company, the Trustee and The Bank of New York Mellon Trust Company, N.A., as Series 2022-5 Agent. The Base Indenture and the Series 2022-5 Supplement are referred to herein as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The Class C Notes are subject to all terms of the Indenture. To the extent not defined herein, all terms used in this Class C Note that are defined in the Indenture shall have the meanings assigned to them in or pursuant to the Indenture.</w:t>
      </w:r>
    </w:p>
    <w:p>
      <w:pPr>
        <w:spacing w:after="0" w:line="188"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22"/>
          <w:szCs w:val="22"/>
          <w:color w:val="auto"/>
        </w:rPr>
        <w:t>The Class C Notes are and will be equally and ratably secured by the Series 2022-5 Collateral pledged as security therefor as provided in the Indenture.</w:t>
      </w:r>
    </w:p>
    <w:p>
      <w:pPr>
        <w:spacing w:after="0" w:line="144"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22"/>
          <w:szCs w:val="22"/>
          <w:color w:val="auto"/>
        </w:rPr>
        <w:t>Interest on the Class C Notes will be payable on each Distribution Date specified in and in the amounts described in the Indenture. "</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xml:space="preserve">" means the 20th day of each month, or, if any such date is not a Business Day, the next succeeding Business Day, commencing on </w:t>
      </w:r>
      <w:r>
        <w:rPr>
          <w:rFonts w:ascii="Times New Roman" w:cs="Times New Roman" w:eastAsia="Times New Roman" w:hAnsi="Times New Roman"/>
          <w:sz w:val="22"/>
          <w:szCs w:val="22"/>
          <w:color w:val="FF0000"/>
          <w:strike w:val="1"/>
        </w:rPr>
        <w:t>December</w:t>
      </w:r>
      <w:r>
        <w:rPr>
          <w:rFonts w:ascii="Times New Roman" w:cs="Times New Roman" w:eastAsia="Times New Roman" w:hAnsi="Times New Roman"/>
          <w:sz w:val="22"/>
          <w:szCs w:val="22"/>
          <w:u w:val="single" w:color="auto"/>
          <w:color w:val="0000FF"/>
        </w:rPr>
        <w:t>March</w:t>
      </w:r>
      <w:r>
        <w:rPr>
          <w:rFonts w:ascii="Times New Roman" w:cs="Times New Roman" w:eastAsia="Times New Roman" w:hAnsi="Times New Roman"/>
          <w:sz w:val="22"/>
          <w:szCs w:val="22"/>
          <w:color w:val="auto"/>
        </w:rPr>
        <w:t xml:space="preserve"> 20, </w:t>
      </w:r>
      <w:r>
        <w:rPr>
          <w:rFonts w:ascii="Times New Roman" w:cs="Times New Roman" w:eastAsia="Times New Roman" w:hAnsi="Times New Roman"/>
          <w:sz w:val="22"/>
          <w:szCs w:val="22"/>
          <w:color w:val="FF0000"/>
          <w:strike w:val="1"/>
        </w:rPr>
        <w:t>2022</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21"/>
          <w:szCs w:val="21"/>
          <w:color w:val="auto"/>
        </w:rPr>
        <w:t xml:space="preserve">Commencing on the Distribution Date following the second Determination Date during the Series 2022-5 Controlled Amortization Period, payments with respect to principal will be made on the Class C Notes. In addition, beginning on the first Distribution Date during the Series 2022-5 Rapid Amortization Period on which the Class A Notes and the Class B Notes have been paid in full, payments with respect to principal will be made on the Class C Notes. As described above, the entire unpaid principal amount of this Class C Note shall be due and payable on the Series 2022-5 Final Distribution Date. Notwithstanding the foregoing, if an Amortization Event, Liquidation Event of Default, Waiver Event or Series 2022-5 Limited Liquidation Event of Default shall have occurred and be continuing then, in certain circumstances, principal on the Class C Notes may be paid earlier, as described in the Indenture. All payments of interest on, and principal of, the Class C Notes will be subordinated to the payment of interest on, and principal of, as applicable, the Class A Notes and the Class B Notes, as set forth in the Series 2022-5 Supplement. All principal payments on the Class C Notes shall be made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to the Noteholders entitled thereto.</w:t>
      </w:r>
    </w:p>
    <w:p>
      <w:pPr>
        <w:spacing w:after="0" w:line="175" w:lineRule="exact"/>
        <w:rPr>
          <w:sz w:val="20"/>
          <w:szCs w:val="20"/>
          <w:color w:val="auto"/>
        </w:rPr>
      </w:pPr>
    </w:p>
    <w:p>
      <w:pPr>
        <w:jc w:val="both"/>
        <w:ind w:right="140"/>
        <w:spacing w:after="0" w:line="243" w:lineRule="auto"/>
        <w:rPr>
          <w:sz w:val="20"/>
          <w:szCs w:val="20"/>
          <w:color w:val="auto"/>
        </w:rPr>
      </w:pPr>
      <w:r>
        <w:rPr>
          <w:rFonts w:ascii="Times New Roman" w:cs="Times New Roman" w:eastAsia="Times New Roman" w:hAnsi="Times New Roman"/>
          <w:sz w:val="22"/>
          <w:szCs w:val="22"/>
          <w:color w:val="auto"/>
        </w:rPr>
        <w:t>Payments of interest on this Class C Note due and payable on each Distribution Date, together with the installment of principal then due, if any, to the extent not in full payment of this Class C Note, shall be made by wire transfer for credit to the account designated by the Holder of record of this Class C Note (or one or more predecessor Class C Notes) on the Note Register as of the close of business on each Record Date, except that with respect to Class C Notes registered on the Record Date in the name of the nominee of the Clearing Agency (initially, such nominee to</w:t>
      </w:r>
    </w:p>
    <w:p>
      <w:pPr>
        <w:sectPr>
          <w:pgSz w:w="11900" w:h="16838" w:orient="portrait"/>
          <w:cols w:equalWidth="0" w:num="1">
            <w:col w:w="11240"/>
          </w:cols>
          <w:pgMar w:left="320" w:top="126"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C-2</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CLEARING AGENCY OR TO A NOMINEE OF SUCH SUCCESSOR CLEARING AGENCY. UNLESS THIS CLASS C NOTE IS PRESENTED BY AN AUTHORIZED REPRESENTATIVE OF THE DEPOSITORY TRUST COMPANY, A NEW YORK CORPORATION ("</w:t>
      </w: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rPr>
        <w:t>"), TO THE COMPANY OR ITS AGENT FOR REGISTRATION OF TRANSFER, EXCHANGE OR PAYMENT, AND ANY CLASS C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9"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22"/>
          <w:szCs w:val="22"/>
          <w:color w:val="auto"/>
        </w:rPr>
        <w:t>THE PRINCIPAL OF THIS CLASS C NOTE IS PAYABLE IN INSTALLMENTS AS SET FORTH HEREIN. ACCORDINGLY, THE OUTSTANDING PRINCIPAL AMOUNT OF THIS CLASS C NOTE AT ANY TIME MAY BE LESS THAN THE AMOUNT SHOWN ON THE FACE HEREOF.</w:t>
      </w:r>
    </w:p>
    <w:p>
      <w:pPr>
        <w:spacing w:after="0" w:line="168"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22"/>
          <w:szCs w:val="22"/>
          <w:color w:val="auto"/>
        </w:rPr>
        <w:t>INTERESTS IN THIS TEMPORARY GLOBAL NOTE MAY ONLY BE HELD BY NON-U.S. PERSONS AS SUCH TERM IS DEFINED IN REGULATION S OF THE SECURITIES ACT, AND MAY ONLY BE HELD IN BOOK-ENTRY FORM THROUGH EUROCLEAR OR CLEARSTREAM.</w:t>
      </w:r>
    </w:p>
    <w:p>
      <w:pPr>
        <w:spacing w:after="0" w:line="17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AVIS BUDGET RENTAL CAR FUNDING (AESOP) LLC</w:t>
      </w:r>
    </w:p>
    <w:p>
      <w:pPr>
        <w:spacing w:after="0" w:line="20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 xml:space="preserve">SERIES 2022-5 </w:t>
      </w:r>
      <w:r>
        <w:rPr>
          <w:rFonts w:ascii="Times New Roman" w:cs="Times New Roman" w:eastAsia="Times New Roman" w:hAnsi="Times New Roman"/>
          <w:sz w:val="22"/>
          <w:szCs w:val="22"/>
          <w:b w:val="1"/>
          <w:bCs w:val="1"/>
          <w:color w:val="FF0000"/>
          <w:strike w:val="1"/>
        </w:rPr>
        <w:t>9.27</w:t>
      </w:r>
      <w:r>
        <w:rPr>
          <w:rFonts w:ascii="Times New Roman" w:cs="Times New Roman" w:eastAsia="Times New Roman" w:hAnsi="Times New Roman"/>
          <w:sz w:val="22"/>
          <w:szCs w:val="22"/>
          <w:b w:val="1"/>
          <w:bCs w:val="1"/>
          <w:u w:val="single" w:color="auto"/>
          <w:color w:val="0000FF"/>
        </w:rPr>
        <w:t>6.24</w:t>
      </w:r>
      <w:r>
        <w:rPr>
          <w:rFonts w:ascii="Times New Roman" w:cs="Times New Roman" w:eastAsia="Times New Roman" w:hAnsi="Times New Roman"/>
          <w:sz w:val="22"/>
          <w:szCs w:val="22"/>
          <w:b w:val="1"/>
          <w:bCs w:val="1"/>
          <w:color w:val="auto"/>
        </w:rPr>
        <w:t>% RENTAL CAR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ASSET BACKED NOTES, CLASS C</w:t>
      </w:r>
    </w:p>
    <w:p>
      <w:pPr>
        <w:spacing w:after="0" w:line="169"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2"/>
          <w:szCs w:val="22"/>
          <w:color w:val="auto"/>
        </w:rPr>
        <w:t>AVIS BUDGET RENTAL CAR FUNDING (AESOP) LLC, a Delaware limited liability company (herein referred to as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for value received, hereby promises to pay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Cede &amp; Co., or registered assigns, the principal sum of [_______________________]</w:t>
      </w:r>
    </w:p>
    <w:p>
      <w:pPr>
        <w:spacing w:after="0" w:line="4"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21"/>
          <w:szCs w:val="21"/>
          <w:color w:val="auto"/>
        </w:rPr>
        <w:t xml:space="preserve">DOLLARS (or such lesser amount as shall be the outstanding principal amount of this Temporary Global Note shown in Schedule A hereto), which amount shall be payable in the amounts and at the times set forth in the Indenture;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entire unpaid principal amount of this Class C Note shall be due on the Series 2022-5 Final Distribution Date, which is the April 2027 Distribution Date. However, principal with respect to the Class C Notes may be paid earlier or later under certain limited circumstances described in the Indenture. The Company will pay interest on this Class C Note at the Class C Note Rate. Such interest shall be payable on each Distribution Date until the principal of this Class C Note is paid or made available for payment. Interest on this Class C Note will accrue for each Distribution Date from the most recent Distribution Date on which interest has been paid to but excluding such Distribution Date or, if no interest has yet been paid, from </w:t>
      </w:r>
      <w:r>
        <w:rPr>
          <w:rFonts w:ascii="Times New Roman" w:cs="Times New Roman" w:eastAsia="Times New Roman" w:hAnsi="Times New Roman"/>
          <w:sz w:val="21"/>
          <w:szCs w:val="21"/>
          <w:color w:val="FF0000"/>
          <w:strike w:val="1"/>
        </w:rPr>
        <w:t>November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29, 2022</w:t>
      </w:r>
      <w:r>
        <w:rPr>
          <w:rFonts w:ascii="Times New Roman" w:cs="Times New Roman" w:eastAsia="Times New Roman" w:hAnsi="Times New Roman"/>
          <w:sz w:val="21"/>
          <w:szCs w:val="21"/>
          <w:u w:val="single" w:color="auto"/>
          <w:color w:val="0000FF"/>
        </w:rPr>
        <w:t>February 5, 2024</w:t>
      </w:r>
      <w:r>
        <w:rPr>
          <w:rFonts w:ascii="Times New Roman" w:cs="Times New Roman" w:eastAsia="Times New Roman" w:hAnsi="Times New Roman"/>
          <w:sz w:val="21"/>
          <w:szCs w:val="21"/>
          <w:color w:val="000000"/>
        </w:rPr>
        <w:t>. Interest with respect to the Class C Notes will be calculated in the manner provided in the Indenture.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Such principal of and interest on this Class C Note shall be paid in the manner specified on the reverse hereof.</w:t>
      </w:r>
    </w:p>
    <w:p>
      <w:pPr>
        <w:sectPr>
          <w:pgSz w:w="11900" w:h="16838" w:orient="portrait"/>
          <w:cols w:equalWidth="0" w:num="1">
            <w:col w:w="11240"/>
          </w:cols>
          <w:pgMar w:left="320" w:top="126"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C-2</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[REVERSE OF CLASS C NOTE]</w:t>
      </w:r>
    </w:p>
    <w:p>
      <w:pPr>
        <w:spacing w:after="0" w:line="224"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22"/>
          <w:szCs w:val="22"/>
          <w:color w:val="auto"/>
        </w:rPr>
        <w:t xml:space="preserve">This Class C Note is one of a duly authorized issue of Class C Notes of the Company, designated as its Series 2022-5 </w:t>
      </w:r>
      <w:r>
        <w:rPr>
          <w:rFonts w:ascii="Times New Roman" w:cs="Times New Roman" w:eastAsia="Times New Roman" w:hAnsi="Times New Roman"/>
          <w:sz w:val="22"/>
          <w:szCs w:val="22"/>
          <w:color w:val="FF0000"/>
          <w:strike w:val="1"/>
        </w:rPr>
        <w:t>9.27</w:t>
      </w:r>
      <w:r>
        <w:rPr>
          <w:rFonts w:ascii="Times New Roman" w:cs="Times New Roman" w:eastAsia="Times New Roman" w:hAnsi="Times New Roman"/>
          <w:sz w:val="22"/>
          <w:szCs w:val="22"/>
          <w:u w:val="single" w:color="auto"/>
          <w:color w:val="0000FF"/>
        </w:rPr>
        <w:t>6.24</w:t>
      </w:r>
      <w:r>
        <w:rPr>
          <w:rFonts w:ascii="Times New Roman" w:cs="Times New Roman" w:eastAsia="Times New Roman" w:hAnsi="Times New Roman"/>
          <w:sz w:val="22"/>
          <w:szCs w:val="22"/>
          <w:color w:val="000000"/>
        </w:rPr>
        <w:t>% Rental Car Asset Backed Notes, Class C (herein called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"Class C Notes</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all issued under (i) a Second Amended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Restated Base Indenture, dated as of June 3, 2004 (such Base Indenture, as may be further amended, restated, supplemented or modified in accordance with its terms (exclusive of any Supplements thereto creating a new Series of Notes), is herein called the "</w:t>
      </w:r>
      <w:r>
        <w:rPr>
          <w:rFonts w:ascii="Times New Roman" w:cs="Times New Roman" w:eastAsia="Times New Roman" w:hAnsi="Times New Roman"/>
          <w:sz w:val="22"/>
          <w:szCs w:val="22"/>
          <w:u w:val="single" w:color="auto"/>
          <w:color w:val="000000"/>
        </w:rPr>
        <w:t>Base Indenture</w:t>
      </w:r>
      <w:r>
        <w:rPr>
          <w:rFonts w:ascii="Times New Roman" w:cs="Times New Roman" w:eastAsia="Times New Roman" w:hAnsi="Times New Roman"/>
          <w:sz w:val="22"/>
          <w:szCs w:val="22"/>
          <w:color w:val="000000"/>
        </w:rPr>
        <w:t>"), between the Company, as Issuer, and The Bank of New York Mellon Trust Company, N.A. (as successor in interest to The Bank of New York), as trustee (the "</w:t>
      </w:r>
      <w:r>
        <w:rPr>
          <w:rFonts w:ascii="Times New Roman" w:cs="Times New Roman" w:eastAsia="Times New Roman" w:hAnsi="Times New Roman"/>
          <w:sz w:val="22"/>
          <w:szCs w:val="22"/>
          <w:u w:val="single" w:color="auto"/>
          <w:color w:val="000000"/>
        </w:rPr>
        <w:t>Trustee</w:t>
      </w:r>
      <w:r>
        <w:rPr>
          <w:rFonts w:ascii="Times New Roman" w:cs="Times New Roman" w:eastAsia="Times New Roman" w:hAnsi="Times New Roman"/>
          <w:sz w:val="22"/>
          <w:szCs w:val="22"/>
          <w:color w:val="000000"/>
        </w:rPr>
        <w:t>," which term includes any successor Trustee under the Base Indenture), and (ii) a Series 2022-5 Supplement, dated as of November 29, 2022 (such supplement, as may be amended or modified, is herein called the "</w:t>
      </w:r>
      <w:r>
        <w:rPr>
          <w:rFonts w:ascii="Times New Roman" w:cs="Times New Roman" w:eastAsia="Times New Roman" w:hAnsi="Times New Roman"/>
          <w:sz w:val="22"/>
          <w:szCs w:val="22"/>
          <w:u w:val="single" w:color="auto"/>
          <w:color w:val="000000"/>
        </w:rPr>
        <w:t>Series 2022-5 Supplement</w:t>
      </w:r>
      <w:r>
        <w:rPr>
          <w:rFonts w:ascii="Times New Roman" w:cs="Times New Roman" w:eastAsia="Times New Roman" w:hAnsi="Times New Roman"/>
          <w:sz w:val="22"/>
          <w:szCs w:val="22"/>
          <w:color w:val="000000"/>
        </w:rPr>
        <w:t>"), among the Company, the Trustee and The Bank of New York Mellon Trust Company, N.A., as Series 2022-5 Agent. The Base Indenture and the Series 2022-5 Supplement are referred to herein as the "</w:t>
      </w:r>
      <w:r>
        <w:rPr>
          <w:rFonts w:ascii="Times New Roman" w:cs="Times New Roman" w:eastAsia="Times New Roman" w:hAnsi="Times New Roman"/>
          <w:sz w:val="22"/>
          <w:szCs w:val="22"/>
          <w:u w:val="single" w:color="auto"/>
          <w:color w:val="000000"/>
        </w:rPr>
        <w:t>Indenture</w:t>
      </w:r>
      <w:r>
        <w:rPr>
          <w:rFonts w:ascii="Times New Roman" w:cs="Times New Roman" w:eastAsia="Times New Roman" w:hAnsi="Times New Roman"/>
          <w:sz w:val="22"/>
          <w:szCs w:val="22"/>
          <w:color w:val="000000"/>
        </w:rPr>
        <w:t>". The Class C Notes are subject to all terms of the Indenture. To the extent not defined herein, all terms used in this Class C Note that are defined in the Indenture shall have the meanings assigned to them in or pursuant to the Indenture.</w:t>
      </w:r>
    </w:p>
    <w:p>
      <w:pPr>
        <w:spacing w:after="0" w:line="188"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22"/>
          <w:szCs w:val="22"/>
          <w:color w:val="auto"/>
        </w:rPr>
        <w:t>The Class C Notes are and will be equally and ratably secured by the Series 2022-5 Collateral pledged as security therefor as provided in the Indenture.</w:t>
      </w:r>
    </w:p>
    <w:p>
      <w:pPr>
        <w:spacing w:after="0" w:line="144"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22"/>
          <w:szCs w:val="22"/>
          <w:color w:val="auto"/>
        </w:rPr>
        <w:t>Interest on the Class C Notes will be payable on each Distribution Date specified in and in the amounts described in the Indenture. "</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xml:space="preserve">" means the 20th day of each month, or, if any such date is not a Business Day, the next succeeding Business Day, commencing on </w:t>
      </w:r>
      <w:r>
        <w:rPr>
          <w:rFonts w:ascii="Times New Roman" w:cs="Times New Roman" w:eastAsia="Times New Roman" w:hAnsi="Times New Roman"/>
          <w:sz w:val="22"/>
          <w:szCs w:val="22"/>
          <w:color w:val="FF0000"/>
          <w:strike w:val="1"/>
        </w:rPr>
        <w:t>December</w:t>
      </w:r>
      <w:r>
        <w:rPr>
          <w:rFonts w:ascii="Times New Roman" w:cs="Times New Roman" w:eastAsia="Times New Roman" w:hAnsi="Times New Roman"/>
          <w:sz w:val="22"/>
          <w:szCs w:val="22"/>
          <w:u w:val="single" w:color="auto"/>
          <w:color w:val="0000FF"/>
        </w:rPr>
        <w:t>March</w:t>
      </w:r>
      <w:r>
        <w:rPr>
          <w:rFonts w:ascii="Times New Roman" w:cs="Times New Roman" w:eastAsia="Times New Roman" w:hAnsi="Times New Roman"/>
          <w:sz w:val="22"/>
          <w:szCs w:val="22"/>
          <w:color w:val="auto"/>
        </w:rPr>
        <w:t xml:space="preserve"> 20, </w:t>
      </w:r>
      <w:r>
        <w:rPr>
          <w:rFonts w:ascii="Times New Roman" w:cs="Times New Roman" w:eastAsia="Times New Roman" w:hAnsi="Times New Roman"/>
          <w:sz w:val="22"/>
          <w:szCs w:val="22"/>
          <w:color w:val="FF0000"/>
          <w:strike w:val="1"/>
        </w:rPr>
        <w:t>2022</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21"/>
          <w:szCs w:val="21"/>
          <w:color w:val="auto"/>
        </w:rPr>
        <w:t xml:space="preserve">Commencing on the Distribution Date following the second Determination Date during the Series 2022-5 Controlled Amortization Period, payments with respect to principal will be made on the Class C Notes. In addition, beginning on the first Distribution Date during the Series 2022-5 Rapid Amortization Period on which the Class A Notes and the Class B Notes have been paid in full, payments with respect to principal will be made on the Class C Notes. As described above, the entire unpaid principal amount of this Class C Note shall be due and payable on the Series 2022-5 Final Distribution Date. Notwithstanding the foregoing, if an Amortization Event, Liquidation Event of Default, Waiver Event or Series 2022-5 Limited Liquidation Event of Default shall have occurred and be continuing then, in certain circumstances, principal on the Class C Notes may be paid earlier, as described in the Indenture. All payments of interest on, and principal of, the Class C Notes will be subordinated to the payment of interest on, and principal of, as applicable, the Class A Notes and the Class B Notes, as set forth in the Series 2022-5 Supplement. All principal payments on the Class C Notes shall be made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to the Noteholders entitled thereto.</w:t>
      </w:r>
    </w:p>
    <w:p>
      <w:pPr>
        <w:spacing w:after="0" w:line="175" w:lineRule="exact"/>
        <w:rPr>
          <w:sz w:val="20"/>
          <w:szCs w:val="20"/>
          <w:color w:val="auto"/>
        </w:rPr>
      </w:pPr>
    </w:p>
    <w:p>
      <w:pPr>
        <w:jc w:val="both"/>
        <w:ind w:right="120"/>
        <w:spacing w:after="0" w:line="243" w:lineRule="auto"/>
        <w:rPr>
          <w:sz w:val="20"/>
          <w:szCs w:val="20"/>
          <w:color w:val="auto"/>
        </w:rPr>
      </w:pPr>
      <w:r>
        <w:rPr>
          <w:rFonts w:ascii="Times New Roman" w:cs="Times New Roman" w:eastAsia="Times New Roman" w:hAnsi="Times New Roman"/>
          <w:sz w:val="22"/>
          <w:szCs w:val="22"/>
          <w:color w:val="auto"/>
        </w:rPr>
        <w:t>Payments of interest on this Class C Note due and payable on each Distribution Date, together with the installment of principal then due, if any, to the extent not in full payment of this Class C Note, shall be made by wire transfer for credit to the account designated by the Holder of record of this Class C Note (or one or more predecessor Class C Notes) on the Note Register as of the close of business on each Record Date, except that with respect to Class C Notes registered on the Record Date in the name of the nominee of the Clearing Agency (initially, such nominee to</w:t>
      </w:r>
    </w:p>
    <w:p>
      <w:pPr>
        <w:sectPr>
          <w:pgSz w:w="11900" w:h="16838" w:orient="portrait"/>
          <w:cols w:equalWidth="0" w:num="1">
            <w:col w:w="11160"/>
          </w:cols>
          <w:pgMar w:left="400" w:top="126"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C-3</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6"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22"/>
          <w:szCs w:val="22"/>
          <w:color w:val="auto"/>
        </w:rPr>
        <w:t>THE PRINCIPAL OF THIS CLASS C NOTE IS PAYABLE IN INSTALLMENTS AS SET FORTH HEREIN. ACCORDINGLY, THE OUTSTANDING PRINCIPAL AMOUNT OF THIS CLASS C NOTE AT ANY TIME MAY BE LESS THAN THE AMOUNT SHOWN ON THE FACE HEREOF.</w:t>
      </w:r>
    </w:p>
    <w:p>
      <w:pPr>
        <w:spacing w:after="0" w:line="16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AVIS BUDGET RENTAL CAR FUNDING (AESOP) LLC</w:t>
      </w:r>
    </w:p>
    <w:p>
      <w:pPr>
        <w:spacing w:after="0" w:line="22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 xml:space="preserve">SERIES 2022-5 </w:t>
      </w:r>
      <w:r>
        <w:rPr>
          <w:rFonts w:ascii="Times New Roman" w:cs="Times New Roman" w:eastAsia="Times New Roman" w:hAnsi="Times New Roman"/>
          <w:sz w:val="22"/>
          <w:szCs w:val="22"/>
          <w:b w:val="1"/>
          <w:bCs w:val="1"/>
          <w:color w:val="FF0000"/>
          <w:strike w:val="1"/>
        </w:rPr>
        <w:t>9.27</w:t>
      </w:r>
      <w:r>
        <w:rPr>
          <w:rFonts w:ascii="Times New Roman" w:cs="Times New Roman" w:eastAsia="Times New Roman" w:hAnsi="Times New Roman"/>
          <w:sz w:val="22"/>
          <w:szCs w:val="22"/>
          <w:b w:val="1"/>
          <w:bCs w:val="1"/>
          <w:u w:val="single" w:color="auto"/>
          <w:color w:val="0000FF"/>
        </w:rPr>
        <w:t>6.24</w:t>
      </w:r>
      <w:r>
        <w:rPr>
          <w:rFonts w:ascii="Times New Roman" w:cs="Times New Roman" w:eastAsia="Times New Roman" w:hAnsi="Times New Roman"/>
          <w:sz w:val="22"/>
          <w:szCs w:val="22"/>
          <w:b w:val="1"/>
          <w:bCs w:val="1"/>
          <w:color w:val="auto"/>
        </w:rPr>
        <w:t>% RENTAL CAR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ASSET BACKED NOTES, CLASS C</w:t>
      </w:r>
    </w:p>
    <w:p>
      <w:pPr>
        <w:spacing w:after="0" w:line="182" w:lineRule="exact"/>
        <w:rPr>
          <w:sz w:val="20"/>
          <w:szCs w:val="20"/>
          <w:color w:val="auto"/>
        </w:rPr>
      </w:pPr>
    </w:p>
    <w:p>
      <w:pPr>
        <w:jc w:val="both"/>
        <w:ind w:right="140"/>
        <w:spacing w:after="0" w:line="248" w:lineRule="auto"/>
        <w:rPr>
          <w:sz w:val="20"/>
          <w:szCs w:val="20"/>
          <w:color w:val="auto"/>
        </w:rPr>
      </w:pPr>
      <w:r>
        <w:rPr>
          <w:rFonts w:ascii="Times New Roman" w:cs="Times New Roman" w:eastAsia="Times New Roman" w:hAnsi="Times New Roman"/>
          <w:sz w:val="22"/>
          <w:szCs w:val="22"/>
          <w:color w:val="auto"/>
        </w:rPr>
        <w:t>AVIS BUDGET RENTAL CAR FUNDING (AESOP) LLC, a Delaware limited liability company (herein referred to as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for value received, hereby promises to pay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Cede &amp; Co., or registered assigns, the principal sum of [________________________]</w:t>
      </w:r>
    </w:p>
    <w:p>
      <w:pPr>
        <w:spacing w:after="0" w:line="4"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22"/>
          <w:szCs w:val="22"/>
          <w:color w:val="auto"/>
        </w:rPr>
        <w:t xml:space="preserve">DOLLARS, which amount shall be payable in the amounts and at the times set forth in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entire unpaid principal amount of this Class C Note shall be due on the Series 2022-5 Final Distribution Date, which is the April 2027 Distribution Date. However, principal with respect to the Class C Notes may be paid earlier or later under certain limited circumstances described in the Indenture. The Company will pay interest on this Class C Note at the Class C Note Rate. Such interest shall be payable on each Distribution Date until the principal of this Class C Note is paid or made available for payment. Interest on this Class C Note will accrue for each Distribution Date from the most recent Distribution Date on which interest has been paid to but excluding such Distribution Date or, if no interest has yet been paid, from </w:t>
      </w:r>
      <w:r>
        <w:rPr>
          <w:rFonts w:ascii="Times New Roman" w:cs="Times New Roman" w:eastAsia="Times New Roman" w:hAnsi="Times New Roman"/>
          <w:sz w:val="22"/>
          <w:szCs w:val="22"/>
          <w:color w:val="FF0000"/>
          <w:strike w:val="1"/>
        </w:rPr>
        <w:t>November 29,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2022</w:t>
      </w:r>
      <w:r>
        <w:rPr>
          <w:rFonts w:ascii="Times New Roman" w:cs="Times New Roman" w:eastAsia="Times New Roman" w:hAnsi="Times New Roman"/>
          <w:sz w:val="22"/>
          <w:szCs w:val="22"/>
          <w:u w:val="single" w:color="auto"/>
          <w:color w:val="0000FF"/>
        </w:rPr>
        <w:t>February 5, 2024</w:t>
      </w:r>
      <w:r>
        <w:rPr>
          <w:rFonts w:ascii="Times New Roman" w:cs="Times New Roman" w:eastAsia="Times New Roman" w:hAnsi="Times New Roman"/>
          <w:sz w:val="22"/>
          <w:szCs w:val="22"/>
          <w:color w:val="000000"/>
        </w:rPr>
        <w:t>. Interest with respect to the Class C Notes will be calculated in the manner provided in the Indenture.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Such principal of and interest on this Class C Note shall be paid in the manner specified on the reverse hereof.</w:t>
      </w:r>
    </w:p>
    <w:p>
      <w:pPr>
        <w:spacing w:after="0" w:line="181" w:lineRule="exact"/>
        <w:rPr>
          <w:sz w:val="20"/>
          <w:szCs w:val="20"/>
          <w:color w:val="auto"/>
        </w:rPr>
      </w:pPr>
    </w:p>
    <w:p>
      <w:pPr>
        <w:jc w:val="both"/>
        <w:ind w:right="140"/>
        <w:spacing w:after="0" w:line="241" w:lineRule="auto"/>
        <w:rPr>
          <w:sz w:val="20"/>
          <w:szCs w:val="20"/>
          <w:color w:val="auto"/>
        </w:rPr>
      </w:pPr>
      <w:r>
        <w:rPr>
          <w:rFonts w:ascii="Times New Roman" w:cs="Times New Roman" w:eastAsia="Times New Roman" w:hAnsi="Times New Roman"/>
          <w:sz w:val="22"/>
          <w:szCs w:val="22"/>
          <w:color w:val="auto"/>
        </w:rPr>
        <w:t>The principal of and interest on this Class C Note are payable in such coin or currency of the United States of America as at the time of payment is legal tender for payment of public and private debts. All payments made by the Company with respect to this Class C Note shall be applied first to interest due and payable on this Class C Note as provided above and then to the unpaid principal of this Class C Note. This Class C Note does not represent an interest in, or an obligation of, Original AESOP, AESOP Leasing, AESOP Leasing II, ABCR, BRAC, ARAC or any affiliate of Original AESOP, AESOP Leasing, AESOP Leasing II</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ABCR, BRAC or ARAC, other than the Company.</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Reference is made to the further provisions of this Class C Note set forth on the reverse hereof, which shall have the same effect as though fully set forth on the face of this Class C Note. Although a summary of certain provisions of the Indenture is set forth below and on the reverse hereof and made a part hereof, this Class C Note does not purport to summarize the Indenture and reference is made to the Indenture for information with respect to the interests, rights, benefits, obligations, proceeds and duties evidenced hereby and the rights, duties and obligations</w:t>
      </w:r>
    </w:p>
    <w:p>
      <w:pPr>
        <w:sectPr>
          <w:pgSz w:w="11900" w:h="16838" w:orient="portrait"/>
          <w:cols w:equalWidth="0" w:num="1">
            <w:col w:w="11240"/>
          </w:cols>
          <w:pgMar w:left="320" w:top="126"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C-3</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[REVERSE OF CLASS C NOTE]</w:t>
      </w:r>
    </w:p>
    <w:p>
      <w:pPr>
        <w:spacing w:after="0" w:line="224"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22"/>
          <w:szCs w:val="22"/>
          <w:color w:val="auto"/>
        </w:rPr>
        <w:t xml:space="preserve">This Class C Note is one of a duly authorized issue of Class C Notes of the Company, designated as its Series 2022-5 </w:t>
      </w:r>
      <w:r>
        <w:rPr>
          <w:rFonts w:ascii="Times New Roman" w:cs="Times New Roman" w:eastAsia="Times New Roman" w:hAnsi="Times New Roman"/>
          <w:sz w:val="22"/>
          <w:szCs w:val="22"/>
          <w:color w:val="FF0000"/>
          <w:strike w:val="1"/>
        </w:rPr>
        <w:t>9.27</w:t>
      </w:r>
      <w:r>
        <w:rPr>
          <w:rFonts w:ascii="Times New Roman" w:cs="Times New Roman" w:eastAsia="Times New Roman" w:hAnsi="Times New Roman"/>
          <w:sz w:val="22"/>
          <w:szCs w:val="22"/>
          <w:u w:val="single" w:color="auto"/>
          <w:color w:val="0000FF"/>
        </w:rPr>
        <w:t>6.24</w:t>
      </w:r>
      <w:r>
        <w:rPr>
          <w:rFonts w:ascii="Times New Roman" w:cs="Times New Roman" w:eastAsia="Times New Roman" w:hAnsi="Times New Roman"/>
          <w:sz w:val="22"/>
          <w:szCs w:val="22"/>
          <w:color w:val="auto"/>
        </w:rPr>
        <w:t>% Rental Car Asset Backed Notes, Class C (herein called the "</w:t>
      </w:r>
      <w:r>
        <w:rPr>
          <w:rFonts w:ascii="Times New Roman" w:cs="Times New Roman" w:eastAsia="Times New Roman" w:hAnsi="Times New Roman"/>
          <w:sz w:val="22"/>
          <w:szCs w:val="22"/>
          <w:u w:val="single" w:color="auto"/>
          <w:color w:val="auto"/>
        </w:rPr>
        <w:t>Class C Notes</w:t>
      </w:r>
      <w:r>
        <w:rPr>
          <w:rFonts w:ascii="Times New Roman" w:cs="Times New Roman" w:eastAsia="Times New Roman" w:hAnsi="Times New Roman"/>
          <w:sz w:val="22"/>
          <w:szCs w:val="22"/>
          <w:color w:val="auto"/>
        </w:rPr>
        <w:t>"), all issued under (i) a Second Amended and Restated Base Indenture, dated as of June 3, 2004 (such Base Indenture, as may be further amended, restated, supplemented or modified in accordance with its terms (exclusive of any Supplements thereto creating a new Series of Notes), is herein called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between the Company, as Issuer, and The Bank of New York Mellon Trust Company, N.A. (as successor in interest to The Bank of New York),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which term includes any successor Trustee under the Base Indenture), and (ii) a Series 2022-5 Supplement, dated as of November 29, 2022 (such supplement, as may be amended or modified, is herein called the "</w:t>
      </w:r>
      <w:r>
        <w:rPr>
          <w:rFonts w:ascii="Times New Roman" w:cs="Times New Roman" w:eastAsia="Times New Roman" w:hAnsi="Times New Roman"/>
          <w:sz w:val="22"/>
          <w:szCs w:val="22"/>
          <w:u w:val="single" w:color="auto"/>
          <w:color w:val="auto"/>
        </w:rPr>
        <w:t>Series 2022-5 Supplement</w:t>
      </w:r>
      <w:r>
        <w:rPr>
          <w:rFonts w:ascii="Times New Roman" w:cs="Times New Roman" w:eastAsia="Times New Roman" w:hAnsi="Times New Roman"/>
          <w:sz w:val="22"/>
          <w:szCs w:val="22"/>
          <w:color w:val="auto"/>
        </w:rPr>
        <w:t>"), among the Company, the Trustee and The Bank of New York Mellon Trust Company, N.A., as Series 2022-5 Agent. The Base Indenture and the Series 2022-5 Supplement are referred to herein as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The Class C Notes are subject to all terms of the Indenture. To the extent not defined herein, all terms used in this Class C Note that are defined in the Indenture shall have the meanings assigned to them in or pursuant to the Indenture.</w:t>
      </w:r>
    </w:p>
    <w:p>
      <w:pPr>
        <w:spacing w:after="0" w:line="188"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22"/>
          <w:szCs w:val="22"/>
          <w:color w:val="auto"/>
        </w:rPr>
        <w:t>The Class C Notes are and will be equally and ratably secured by the Series 2022-5 Collateral pledged as security therefor as provided in the Indenture.</w:t>
      </w:r>
    </w:p>
    <w:p>
      <w:pPr>
        <w:spacing w:after="0" w:line="144"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22"/>
          <w:szCs w:val="22"/>
          <w:color w:val="auto"/>
        </w:rPr>
        <w:t>Interest on the Class C Notes will be payable on each Distribution Date specified in and in the amounts described in the Indenture. "</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xml:space="preserve">" means the 20th day of each month, or, if any such date is not a Business Day, the next succeeding Business Day, commencing on </w:t>
      </w:r>
      <w:r>
        <w:rPr>
          <w:rFonts w:ascii="Times New Roman" w:cs="Times New Roman" w:eastAsia="Times New Roman" w:hAnsi="Times New Roman"/>
          <w:sz w:val="22"/>
          <w:szCs w:val="22"/>
          <w:color w:val="FF0000"/>
          <w:strike w:val="1"/>
        </w:rPr>
        <w:t>December</w:t>
      </w:r>
      <w:r>
        <w:rPr>
          <w:rFonts w:ascii="Times New Roman" w:cs="Times New Roman" w:eastAsia="Times New Roman" w:hAnsi="Times New Roman"/>
          <w:sz w:val="22"/>
          <w:szCs w:val="22"/>
          <w:u w:val="single" w:color="auto"/>
          <w:color w:val="0000FF"/>
        </w:rPr>
        <w:t>March</w:t>
      </w:r>
      <w:r>
        <w:rPr>
          <w:rFonts w:ascii="Times New Roman" w:cs="Times New Roman" w:eastAsia="Times New Roman" w:hAnsi="Times New Roman"/>
          <w:sz w:val="22"/>
          <w:szCs w:val="22"/>
          <w:color w:val="auto"/>
        </w:rPr>
        <w:t xml:space="preserve"> 20, </w:t>
      </w:r>
      <w:r>
        <w:rPr>
          <w:rFonts w:ascii="Times New Roman" w:cs="Times New Roman" w:eastAsia="Times New Roman" w:hAnsi="Times New Roman"/>
          <w:sz w:val="22"/>
          <w:szCs w:val="22"/>
          <w:color w:val="FF0000"/>
          <w:strike w:val="1"/>
        </w:rPr>
        <w:t>2022</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21"/>
          <w:szCs w:val="21"/>
          <w:color w:val="auto"/>
        </w:rPr>
        <w:t xml:space="preserve">Commencing on the Distribution Date following the second Determination Date during the Series 2022-5 Controlled Amortization Period, payments with respect to principal will be made on the Class C Notes. In addition, beginning on the first Distribution Date during the Series 2022-5 Rapid Amortization Period on which the Class A Notes and the Class B Notes have been paid in full, payments with respect to principal will be made on the Class C Notes. As described above, the entire unpaid principal amount of this Class C Note shall be due and payable on the Series 2022-5 Final Distribution Date. Notwithstanding the foregoing, if an Amortization Event, Liquidation Event of Default, Waiver Event or Series 2022-5 Limited Liquidation Event of Default shall have occurred and be continuing then, in certain circumstances, principal on the Class C Notes may be paid earlier, as described in the Indenture. All payments of interest on, and principal of, the Class C Notes will be subordinated to the payment of interest on, and principal of, as applicable, the Class A Notes and the Class B Notes, as set forth in the Series 2022-5 Supplement. All principal payments on the Class C Notes shall be made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to the Noteholders entitled thereto.</w:t>
      </w:r>
    </w:p>
    <w:p>
      <w:pPr>
        <w:spacing w:after="0" w:line="161" w:lineRule="exact"/>
        <w:rPr>
          <w:sz w:val="20"/>
          <w:szCs w:val="20"/>
          <w:color w:val="auto"/>
        </w:rPr>
      </w:pPr>
    </w:p>
    <w:p>
      <w:pPr>
        <w:jc w:val="both"/>
        <w:ind w:right="140"/>
        <w:spacing w:after="0" w:line="217" w:lineRule="auto"/>
        <w:rPr>
          <w:sz w:val="20"/>
          <w:szCs w:val="20"/>
          <w:color w:val="auto"/>
        </w:rPr>
      </w:pPr>
      <w:r>
        <w:rPr>
          <w:rFonts w:ascii="Times New Roman" w:cs="Times New Roman" w:eastAsia="Times New Roman" w:hAnsi="Times New Roman"/>
          <w:sz w:val="22"/>
          <w:szCs w:val="22"/>
          <w:color w:val="auto"/>
        </w:rPr>
        <w:t>Payments of interest on this Class C Note due and payable on each Distribution Date, together with the installment of principal then due, if any, to the extent not in full payment of this Class C Note, shall be made by wire transfer for credit to the account designated by the Holder of record of this Class C Note (or one or more predecessor Class C Notes) on the Note Register as of the close of business on each Record Date, except that with respect to Class C Notes registered on the Record Date in the name of the nominee of the Clearing Agency (initially, such nominee to</w:t>
      </w:r>
    </w:p>
    <w:p>
      <w:pPr>
        <w:sectPr>
          <w:pgSz w:w="11900" w:h="16838" w:orient="portrait"/>
          <w:cols w:equalWidth="0" w:num="1">
            <w:col w:w="11240"/>
          </w:cols>
          <w:pgMar w:left="320" w:top="126"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FIRST AMENDMENT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SERIES 2023-1 SUPPLEMENT</w:t>
      </w:r>
    </w:p>
    <w:p>
      <w:pPr>
        <w:spacing w:after="0" w:line="19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This FIRST AMENDMENT TO SERIES 2023-1 SUPPLEMENT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February 5, 2024 amends the Series 2023-1 Supplement (the “</w:t>
      </w:r>
      <w:r>
        <w:rPr>
          <w:rFonts w:ascii="Times New Roman" w:cs="Times New Roman" w:eastAsia="Times New Roman" w:hAnsi="Times New Roman"/>
          <w:sz w:val="22"/>
          <w:szCs w:val="22"/>
          <w:u w:val="single" w:color="auto"/>
          <w:color w:val="auto"/>
        </w:rPr>
        <w:t>Series 2023-1 Supplement</w:t>
      </w:r>
      <w:r>
        <w:rPr>
          <w:rFonts w:ascii="Times New Roman" w:cs="Times New Roman" w:eastAsia="Times New Roman" w:hAnsi="Times New Roman"/>
          <w:sz w:val="22"/>
          <w:szCs w:val="22"/>
          <w:color w:val="auto"/>
        </w:rPr>
        <w:t>”), dated as of January 17, 2023,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and THE BANK OF NEW YORK MELLON TRUST COMPANY, N.A., a national banking association,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agent for the benefit of the Series 2023-1 Noteholders (in such capacity, the “</w:t>
      </w:r>
      <w:r>
        <w:rPr>
          <w:rFonts w:ascii="Times New Roman" w:cs="Times New Roman" w:eastAsia="Times New Roman" w:hAnsi="Times New Roman"/>
          <w:sz w:val="22"/>
          <w:szCs w:val="22"/>
          <w:u w:val="single" w:color="auto"/>
          <w:color w:val="auto"/>
        </w:rPr>
        <w:t>Series 2023-1 Agent</w:t>
      </w:r>
      <w:r>
        <w:rPr>
          <w:rFonts w:ascii="Times New Roman" w:cs="Times New Roman" w:eastAsia="Times New Roman" w:hAnsi="Times New Roman"/>
          <w:sz w:val="22"/>
          <w:szCs w:val="22"/>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All capitalized terms used herein and not otherwise defined herein shall have the respective meanings provided therefor in the Definitions List attached as Schedule I to the Base Indenture (as amended through the date hereof) or the Series 2023-1 Supplement, as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pursuant to Section 12.2 of the Base Indenture, any Supplement thereto may be amended (i) with the consent of ABRCF, the Trustee, any applicable Enhancement Provider and in connection with certain amendments, either the Required Noteholders of a Series of Notes or each affected Noteholder, as applicable and (ii) upon satisfying the Rating Agency Consent Condition;</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pursuant to Section 5.7 of the Series 2023-1 Supplement, the Series 2023-1 Supplement may be amended in accordance with the terms of the Base Indenture;</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parties desire to amend the Series 2023-1 Supplement to revise the definition of “Class C Note Rate” and to make conforming revisions in connection therewith;</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Issuer has determined that the Class C Noteholders and the Class R Noteholders are the affected Noteholders with respect to the revisions contemplated hereby; and</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WHEREAS, ABRCF has requested the Trustee, the Series 2023-1 Agent and the affected Noteholders to, and, upon the effectiveness of this Amendment, ABRCF, the Trustee, the Series 2023-1 Agent, the Class C Noteholders and the Class R Noteholders have agreed to, make the amendments described above as set forth herein.</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220" w:lineRule="exact"/>
        <w:rPr>
          <w:sz w:val="20"/>
          <w:szCs w:val="20"/>
          <w:color w:val="auto"/>
        </w:rPr>
      </w:pPr>
    </w:p>
    <w:p>
      <w:pPr>
        <w:jc w:val="both"/>
        <w:ind w:firstLine="1304"/>
        <w:spacing w:after="0" w:line="257" w:lineRule="auto"/>
        <w:tabs>
          <w:tab w:leader="none" w:pos="19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The Series 2023-1 Supplement is hereby amended by deleting the stricken text (indicated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adding the inserted text (indicated in the same manner as the following example: </w:t>
      </w:r>
      <w:r>
        <w:rPr>
          <w:rFonts w:ascii="Times New Roman" w:cs="Times New Roman" w:eastAsia="Times New Roman" w:hAnsi="Times New Roman"/>
          <w:sz w:val="22"/>
          <w:szCs w:val="22"/>
          <w:b w:val="1"/>
          <w:bCs w:val="1"/>
          <w:u w:val="single" w:color="auto"/>
          <w:color w:val="0070C0"/>
        </w:rPr>
        <w:t>inserted text</w:t>
      </w:r>
      <w:r>
        <w:rPr>
          <w:rFonts w:ascii="Times New Roman" w:cs="Times New Roman" w:eastAsia="Times New Roman" w:hAnsi="Times New Roman"/>
          <w:sz w:val="22"/>
          <w:szCs w:val="22"/>
          <w:color w:val="auto"/>
        </w:rPr>
        <w:t xml:space="preserve">) as set forth on the pages of the Series 2023-1 Supplement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ectPr>
          <w:pgSz w:w="11900" w:h="16838" w:orient="portrait"/>
          <w:cols w:equalWidth="0" w:num="1">
            <w:col w:w="11240"/>
          </w:cols>
          <w:pgMar w:left="320" w:top="122" w:right="339" w:bottom="1440" w:gutter="0" w:footer="0" w:header="0"/>
        </w:sectPr>
      </w:pPr>
    </w:p>
    <w:bookmarkStart w:id="58" w:name="page59"/>
    <w:bookmarkEnd w:id="58"/>
    <w:p>
      <w:pPr>
        <w:spacing w:after="0" w:line="198" w:lineRule="exact"/>
        <w:rPr>
          <w:sz w:val="20"/>
          <w:szCs w:val="20"/>
          <w:color w:val="auto"/>
        </w:rPr>
      </w:pPr>
    </w:p>
    <w:p>
      <w:pPr>
        <w:jc w:val="both"/>
        <w:ind w:firstLine="1304"/>
        <w:spacing w:after="0" w:line="256" w:lineRule="auto"/>
        <w:tabs>
          <w:tab w:leader="none" w:pos="19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Direction</w:t>
      </w:r>
      <w:r>
        <w:rPr>
          <w:rFonts w:ascii="Times New Roman" w:cs="Times New Roman" w:eastAsia="Times New Roman" w:hAnsi="Times New Roman"/>
          <w:sz w:val="22"/>
          <w:szCs w:val="22"/>
          <w:color w:val="auto"/>
        </w:rPr>
        <w:t>. By their signatures hereto, each of the undersigned (excluding The Bank of New York Mellon Trust Company, N.A., in its capacity as Trustee and Series 2023-1 Agent) hereby authorize and direct the Trustee and Series 2023-1 Agent to execute this Amendment and take any and all further action necessary or appropriate to give effect to the transaction contemplated hereby.</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limited as specified and, except as expressly stated herein, shall not constitute a modification, acceptance or waiver of any other provision of the Series 2023-1 Supplement.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on the date hereof upon satisfaction of the Rating Agency Consent Condition. From and after the date hereof, all references to the Series 2023-1 Supplement shall be deemed to be references to the Series 2023-1 Supplement as amended hereby.</w:t>
      </w:r>
    </w:p>
    <w:p>
      <w:pPr>
        <w:spacing w:after="0" w:line="16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so executed shall be deemed to be an original, but all of such counterparts shall together constitute but one and the same instrument. Delivery of an executed counterpart of a signature page to this Amendment by facsimile or electronic mail in a “pdf” file shall be effective as delivery of a manually executed counterpart of this Amendment. The parties agree that this Amendment may be executed and delivered by electronic signatures and that the signatures appearing on this Amendment are the same as handwritten signatures for the purposes of validity, enforceability and admissibility. The words “execution,” “signed,” “signature,” “delivery,” and words of like import in or relating to this Amendment or any document to be signed in connection with this Amendment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8" w:lineRule="exact"/>
        <w:rPr>
          <w:rFonts w:ascii="Times New Roman" w:cs="Times New Roman" w:eastAsia="Times New Roman" w:hAnsi="Times New Roman"/>
          <w:sz w:val="22"/>
          <w:szCs w:val="22"/>
          <w:color w:val="auto"/>
        </w:rPr>
      </w:pPr>
    </w:p>
    <w:p>
      <w:pPr>
        <w:ind w:firstLine="1304"/>
        <w:spacing w:after="0" w:line="295" w:lineRule="auto"/>
        <w:tabs>
          <w:tab w:leader="none" w:pos="194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AND THE RIGHTS AND OBLIGATIONS OF THE PARTIES HEREUNDER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59" w:name="page60"/>
    <w:bookmarkEnd w:id="5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hereto have caused this Amendment to be duly executed by their respective duly authorized officers as of the date above first written.</w:t>
      </w:r>
    </w:p>
    <w:p>
      <w:pPr>
        <w:spacing w:after="0" w:line="18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AVIS BUDGET RENTAL CAR FUNDING</w:t>
      </w:r>
    </w:p>
    <w:p>
      <w:pPr>
        <w:spacing w:after="0" w:line="2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(AESOP) LLC, as Issuer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ectPr>
          <w:pgSz w:w="11900" w:h="16838" w:orient="portrait"/>
          <w:cols w:equalWidth="0" w:num="1">
            <w:col w:w="11220"/>
          </w:cols>
          <w:pgMar w:left="320" w:top="1422" w:right="35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200" w:lineRule="exact"/>
        <w:rPr>
          <w:sz w:val="20"/>
          <w:szCs w:val="20"/>
          <w:color w:val="auto"/>
        </w:rPr>
      </w:pPr>
    </w:p>
    <w:p>
      <w:pPr>
        <w:spacing w:after="0" w:line="3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TRUST COMPANY, N.A., as Trustee and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Series 2023-1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019"/>
          </w:cols>
          <w:pgMar w:left="1440" w:top="1440" w:right="1440" w:bottom="1440" w:gutter="0" w:footer="0" w:header="0"/>
        </w:sectPr>
      </w:pPr>
    </w:p>
    <w:bookmarkStart w:id="61" w:name="page62"/>
    <w:bookmarkEnd w:id="61"/>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AGREED, ACKNOWLEDGED AND CONSENTED: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AVIS BUDGET RENTAL CAR</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FUNDING (AESOP) LLC,</w:t>
      </w:r>
    </w:p>
    <w:p>
      <w:pPr>
        <w:spacing w:after="0" w:line="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as Class C Noteholder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AESOP LEASING L.P.,</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as Class R Noteholder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AESOP LEASING CORP., as its general partner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ectPr>
          <w:pgSz w:w="11900" w:h="16838" w:orient="portrait"/>
          <w:cols w:equalWidth="0" w:num="1">
            <w:col w:w="10119"/>
          </w:cols>
          <w:pgMar w:left="340" w:top="1440" w:right="144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Amendments to Series 2023-1 Supplement</w:t>
      </w:r>
    </w:p>
    <w:p>
      <w:pPr>
        <w:sectPr>
          <w:pgSz w:w="11900" w:h="16838" w:orient="portrait"/>
          <w:cols w:equalWidth="0" w:num="1">
            <w:col w:w="9019"/>
          </w:cols>
          <w:pgMar w:left="1440" w:top="1422" w:right="1440"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0000FF"/>
        </w:rPr>
        <w:t>Conformed through</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0000FF"/>
        </w:rPr>
        <w:t>First Amendment dated February 5, 2024</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FF0000"/>
          <w:strike w:val="1"/>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AVIS BUDGET RENTAL CAR FUNDING (AESOP) LLC,</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Issuer</w:t>
      </w:r>
    </w:p>
    <w:p>
      <w:pPr>
        <w:spacing w:after="0" w:line="200" w:lineRule="exact"/>
        <w:rPr>
          <w:sz w:val="20"/>
          <w:szCs w:val="20"/>
          <w:color w:val="auto"/>
        </w:rPr>
      </w:pPr>
    </w:p>
    <w:p>
      <w:pPr>
        <w:spacing w:after="0" w:line="21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THE BANK OF NEW YORK MELLON TRUST COMPANY, N.A.,</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Trustee and Series 2023-1 Agent</w:t>
      </w: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SERIES 2023-1 SUPPLEMENT</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January 17, 2023</w:t>
      </w:r>
    </w:p>
    <w:p>
      <w:pPr>
        <w:spacing w:after="0" w:line="200" w:lineRule="exact"/>
        <w:rPr>
          <w:sz w:val="20"/>
          <w:szCs w:val="20"/>
          <w:color w:val="auto"/>
        </w:rPr>
      </w:pPr>
    </w:p>
    <w:p>
      <w:pPr>
        <w:spacing w:after="0" w:line="23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to</w:t>
      </w:r>
    </w:p>
    <w:p>
      <w:pPr>
        <w:spacing w:after="0" w:line="200" w:lineRule="exact"/>
        <w:rPr>
          <w:sz w:val="20"/>
          <w:szCs w:val="20"/>
          <w:color w:val="auto"/>
        </w:rPr>
      </w:pPr>
    </w:p>
    <w:p>
      <w:pPr>
        <w:spacing w:after="0" w:line="2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SECOND AMENDED AND RESTATED BASE INDENTURE</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 June 3, 2004</w:t>
      </w: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9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Series 2023-1 5.25% Rental Car Asset Backed Notes, Class A</w:t>
      </w:r>
    </w:p>
    <w:p>
      <w:pPr>
        <w:spacing w:after="0" w:line="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Series 2023-1 6.08% Rental Car Asset Backed Notes, Class B</w:t>
      </w:r>
    </w:p>
    <w:p>
      <w:pPr>
        <w:spacing w:after="0" w:line="1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 xml:space="preserve">Series 2023-1 </w:t>
      </w:r>
      <w:r>
        <w:rPr>
          <w:rFonts w:ascii="Times New Roman" w:cs="Times New Roman" w:eastAsia="Times New Roman" w:hAnsi="Times New Roman"/>
          <w:sz w:val="22"/>
          <w:szCs w:val="22"/>
          <w:color w:val="FF0000"/>
          <w:strike w:val="1"/>
        </w:rPr>
        <w:t>8.70</w:t>
      </w:r>
      <w:r>
        <w:rPr>
          <w:rFonts w:ascii="Times New Roman" w:cs="Times New Roman" w:eastAsia="Times New Roman" w:hAnsi="Times New Roman"/>
          <w:sz w:val="22"/>
          <w:szCs w:val="22"/>
          <w:u w:val="single" w:color="auto"/>
          <w:color w:val="0000FF"/>
        </w:rPr>
        <w:t>6.23</w:t>
      </w:r>
      <w:r>
        <w:rPr>
          <w:rFonts w:ascii="Times New Roman" w:cs="Times New Roman" w:eastAsia="Times New Roman" w:hAnsi="Times New Roman"/>
          <w:sz w:val="22"/>
          <w:szCs w:val="22"/>
          <w:color w:val="auto"/>
        </w:rPr>
        <w:t>% Rental Car Asset Backed Notes, Class C</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Series 2023-1 10.623% Rental Car Asset Backed Notes, Class R</w:t>
      </w:r>
    </w:p>
    <w:p>
      <w:pPr>
        <w:sectPr>
          <w:pgSz w:w="11900" w:h="16838" w:orient="portrait"/>
          <w:cols w:equalWidth="0" w:num="1">
            <w:col w:w="10120"/>
          </w:cols>
          <w:pgMar w:left="1440" w:top="1413" w:right="339" w:bottom="1440" w:gutter="0" w:footer="0" w:header="0"/>
        </w:sectPr>
      </w:pPr>
    </w:p>
    <w:bookmarkStart w:id="64" w:name="page65"/>
    <w:bookmarkEnd w:id="64"/>
    <w:p>
      <w:pPr>
        <w:jc w:val="both"/>
        <w:ind w:firstLine="1296"/>
        <w:spacing w:after="0" w:line="238" w:lineRule="auto"/>
        <w:rPr>
          <w:sz w:val="20"/>
          <w:szCs w:val="20"/>
          <w:color w:val="auto"/>
        </w:rPr>
      </w:pPr>
      <w:r>
        <w:rPr>
          <w:rFonts w:ascii="Times New Roman" w:cs="Times New Roman" w:eastAsia="Times New Roman" w:hAnsi="Times New Roman"/>
          <w:sz w:val="22"/>
          <w:szCs w:val="22"/>
          <w:color w:val="auto"/>
        </w:rPr>
        <w:t>SERIES 2023-1 SUPPLEMENT, dated as of January 17, 2023 (this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THE BANK OF NEW YORK MELLON TRUST COMPANY, N.A. (formerly known as The Bank of New York), as agent (in such capacity, the "</w:t>
      </w:r>
      <w:r>
        <w:rPr>
          <w:rFonts w:ascii="Times New Roman" w:cs="Times New Roman" w:eastAsia="Times New Roman" w:hAnsi="Times New Roman"/>
          <w:sz w:val="22"/>
          <w:szCs w:val="22"/>
          <w:u w:val="single" w:color="auto"/>
          <w:color w:val="auto"/>
        </w:rPr>
        <w:t>Series 2023-1 Agent</w:t>
      </w:r>
      <w:r>
        <w:rPr>
          <w:rFonts w:ascii="Times New Roman" w:cs="Times New Roman" w:eastAsia="Times New Roman" w:hAnsi="Times New Roman"/>
          <w:sz w:val="22"/>
          <w:szCs w:val="22"/>
          <w:color w:val="auto"/>
        </w:rPr>
        <w:t>") for the benefit of the Series 2023-1 Noteholders,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PRELIMINARY STATEMENT</w:t>
      </w:r>
    </w:p>
    <w:p>
      <w:pPr>
        <w:spacing w:after="0" w:line="197" w:lineRule="exact"/>
        <w:rPr>
          <w:sz w:val="20"/>
          <w:szCs w:val="20"/>
          <w:color w:val="auto"/>
        </w:rPr>
      </w:pPr>
    </w:p>
    <w:p>
      <w:pPr>
        <w:jc w:val="both"/>
        <w:ind w:right="60" w:firstLine="1296"/>
        <w:spacing w:after="0" w:line="250" w:lineRule="auto"/>
        <w:rPr>
          <w:sz w:val="20"/>
          <w:szCs w:val="20"/>
          <w:color w:val="auto"/>
        </w:rPr>
      </w:pPr>
      <w:r>
        <w:rPr>
          <w:rFonts w:ascii="Times New Roman" w:cs="Times New Roman" w:eastAsia="Times New Roman" w:hAnsi="Times New Roman"/>
          <w:sz w:val="22"/>
          <w:szCs w:val="22"/>
          <w:color w:val="auto"/>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spacing w:after="0" w:line="1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NOW, THEREFORE, the parties hereto agree as follows:</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DESIGNATION</w:t>
      </w:r>
    </w:p>
    <w:p>
      <w:pPr>
        <w:spacing w:after="0" w:line="210" w:lineRule="exact"/>
        <w:rPr>
          <w:sz w:val="20"/>
          <w:szCs w:val="20"/>
          <w:color w:val="auto"/>
        </w:rPr>
      </w:pPr>
    </w:p>
    <w:p>
      <w:pPr>
        <w:jc w:val="both"/>
        <w:ind w:right="60" w:firstLine="1296"/>
        <w:spacing w:after="0" w:line="243" w:lineRule="auto"/>
        <w:rPr>
          <w:sz w:val="20"/>
          <w:szCs w:val="20"/>
          <w:color w:val="auto"/>
        </w:rPr>
      </w:pPr>
      <w:r>
        <w:rPr>
          <w:rFonts w:ascii="Times New Roman" w:cs="Times New Roman" w:eastAsia="Times New Roman" w:hAnsi="Times New Roman"/>
          <w:sz w:val="22"/>
          <w:szCs w:val="22"/>
          <w:color w:val="auto"/>
        </w:rPr>
        <w:t>There is hereby created a Series of Notes to be issued pursuant to the Base Indenture and this Supplement, and such Series of Notes shall be designated generally as the "Series 2023-1 Rental Car Asset Backed Notes". The Series 2023-1 Notes shall be issued in up to five Classes, the first of which shall be known as the "Class A Notes", the second of which shall be known as the "Class B Notes", the third of which shall be known as the "Class C Notes", the fourth of which shall be known as the "Class R Notes" and the fifth of which, if issued, shall be known as the "Class D Notes".</w:t>
      </w:r>
    </w:p>
    <w:p>
      <w:pPr>
        <w:spacing w:after="0" w:line="164" w:lineRule="exact"/>
        <w:rPr>
          <w:sz w:val="20"/>
          <w:szCs w:val="20"/>
          <w:color w:val="auto"/>
        </w:rPr>
      </w:pPr>
    </w:p>
    <w:p>
      <w:pPr>
        <w:jc w:val="both"/>
        <w:ind w:right="60" w:firstLine="1296"/>
        <w:spacing w:after="0" w:line="243" w:lineRule="auto"/>
        <w:rPr>
          <w:sz w:val="20"/>
          <w:szCs w:val="20"/>
          <w:color w:val="auto"/>
        </w:rPr>
      </w:pPr>
      <w:r>
        <w:rPr>
          <w:rFonts w:ascii="Times New Roman" w:cs="Times New Roman" w:eastAsia="Times New Roman" w:hAnsi="Times New Roman"/>
          <w:sz w:val="22"/>
          <w:szCs w:val="22"/>
          <w:color w:val="auto"/>
        </w:rPr>
        <w:t xml:space="preserve">On the Series 2023-1 Closing Date, ABRCF shall issue (i) one tranche of Class A Notes, which shall be designated as the "Series 2023-1 5.25% Rental Car Asset Backed Notes, Class A", (ii) one tranche of Class B Notes, which shall be designated as the "Series 2023-1 6.08% Rental Car Asset Backed Notes, Class B", (iii) one tranche of Class C Notes, which shall be designated as the "Series 2023-1 </w:t>
      </w:r>
      <w:r>
        <w:rPr>
          <w:rFonts w:ascii="Times New Roman" w:cs="Times New Roman" w:eastAsia="Times New Roman" w:hAnsi="Times New Roman"/>
          <w:sz w:val="22"/>
          <w:szCs w:val="22"/>
          <w:color w:val="FF0000"/>
          <w:strike w:val="1"/>
        </w:rPr>
        <w:t>8.70</w:t>
      </w:r>
      <w:r>
        <w:rPr>
          <w:rFonts w:ascii="Times New Roman" w:cs="Times New Roman" w:eastAsia="Times New Roman" w:hAnsi="Times New Roman"/>
          <w:sz w:val="22"/>
          <w:szCs w:val="22"/>
          <w:u w:val="single" w:color="auto"/>
          <w:color w:val="0000FF"/>
        </w:rPr>
        <w:t>6.23</w:t>
      </w:r>
      <w:r>
        <w:rPr>
          <w:rFonts w:ascii="Times New Roman" w:cs="Times New Roman" w:eastAsia="Times New Roman" w:hAnsi="Times New Roman"/>
          <w:sz w:val="22"/>
          <w:szCs w:val="22"/>
          <w:color w:val="auto"/>
        </w:rPr>
        <w:t>% Rental Car Asset Backed Notes, Class C" and (iv) one tranche of Class R Notes, which shall be designated the "Series 2023-1 10.623% Rental Car Asset Backed Notes, Class R".</w:t>
      </w:r>
    </w:p>
    <w:p>
      <w:pPr>
        <w:spacing w:after="0" w:line="177" w:lineRule="exact"/>
        <w:rPr>
          <w:sz w:val="20"/>
          <w:szCs w:val="20"/>
          <w:color w:val="auto"/>
        </w:rPr>
      </w:pPr>
    </w:p>
    <w:p>
      <w:pPr>
        <w:jc w:val="both"/>
        <w:ind w:right="60" w:firstLine="1296"/>
        <w:spacing w:after="0" w:line="244" w:lineRule="auto"/>
        <w:rPr>
          <w:sz w:val="20"/>
          <w:szCs w:val="20"/>
          <w:color w:val="auto"/>
        </w:rPr>
      </w:pPr>
      <w:r>
        <w:rPr>
          <w:rFonts w:ascii="Times New Roman" w:cs="Times New Roman" w:eastAsia="Times New Roman" w:hAnsi="Times New Roman"/>
          <w:sz w:val="22"/>
          <w:szCs w:val="22"/>
          <w:color w:val="auto"/>
        </w:rPr>
        <w:t>Subsequent to the Series 2023-1 Closing Date, ABRCF may on any date during the Series 2023-1 Revolving Period offer and sell additional Series 2023-1 Notes subject to the conditions set forth in Section 5.15. Such additional Series 2023-1 Notes, if issued, shall be designated as the "Series 2023-1 Rental Car Asset Backed Notes, Class D" and shall be referred to herein as the "Class D Notes".</w:t>
      </w:r>
    </w:p>
    <w:p>
      <w:pPr>
        <w:spacing w:after="0" w:line="186" w:lineRule="exact"/>
        <w:rPr>
          <w:sz w:val="20"/>
          <w:szCs w:val="20"/>
          <w:color w:val="auto"/>
        </w:rPr>
      </w:pPr>
    </w:p>
    <w:p>
      <w:pPr>
        <w:jc w:val="both"/>
        <w:ind w:right="80" w:firstLine="1296"/>
        <w:spacing w:after="0" w:line="258" w:lineRule="auto"/>
        <w:rPr>
          <w:sz w:val="20"/>
          <w:szCs w:val="20"/>
          <w:color w:val="auto"/>
        </w:rPr>
      </w:pPr>
      <w:r>
        <w:rPr>
          <w:rFonts w:ascii="Times New Roman" w:cs="Times New Roman" w:eastAsia="Times New Roman" w:hAnsi="Times New Roman"/>
          <w:sz w:val="22"/>
          <w:szCs w:val="22"/>
          <w:color w:val="auto"/>
        </w:rPr>
        <w:t>The Class A Notes, Class B Notes, Class C Notes, Class D Notes, if issued, and Class R Notes collectively, constitute the Series 2023-1 Notes. The Class B Notes shall be</w:t>
      </w:r>
    </w:p>
    <w:p>
      <w:pPr>
        <w:spacing w:after="0" w:line="200" w:lineRule="exact"/>
        <w:rPr>
          <w:sz w:val="20"/>
          <w:szCs w:val="20"/>
          <w:color w:val="auto"/>
        </w:rPr>
      </w:pPr>
    </w:p>
    <w:p>
      <w:pPr>
        <w:spacing w:after="0" w:line="21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160"/>
          </w:cols>
          <w:pgMar w:left="400" w:top="1408" w:right="339" w:bottom="1440" w:gutter="0" w:footer="0" w:header="0"/>
        </w:sectPr>
      </w:pPr>
    </w:p>
    <w:bookmarkStart w:id="65" w:name="page66"/>
    <w:bookmarkEnd w:id="65"/>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an amount equal to the product of (A) one-twelfth of the Class B Note Rate and (B) the Class B Invested Amount on the first day of such Series 2023-1 Interest Period, after giving effect to any principal payments made on such date.</w:t>
      </w:r>
    </w:p>
    <w:p>
      <w:pPr>
        <w:spacing w:after="0" w:line="172" w:lineRule="exact"/>
        <w:rPr>
          <w:sz w:val="20"/>
          <w:szCs w:val="20"/>
          <w:color w:val="auto"/>
        </w:rPr>
      </w:pPr>
    </w:p>
    <w:p>
      <w:pPr>
        <w:jc w:val="both"/>
        <w:ind w:firstLine="123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w:t>
      </w:r>
      <w:r>
        <w:rPr>
          <w:rFonts w:ascii="Times New Roman" w:cs="Times New Roman" w:eastAsia="Times New Roman" w:hAnsi="Times New Roman"/>
          <w:sz w:val="22"/>
          <w:szCs w:val="22"/>
          <w:color w:val="auto"/>
        </w:rPr>
        <w:t xml:space="preserve">" means any one of the Series 2023-1 6.08% Rental Car Asset Backed Notes, Class B,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 Definitive Class B Notes shall have such insertions and deletions as are necessary to give effect to the provisions of Section 2.18 of the Base Indenture.</w:t>
      </w:r>
    </w:p>
    <w:p>
      <w:pPr>
        <w:spacing w:after="0" w:line="17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 Rate</w:t>
      </w:r>
      <w:r>
        <w:rPr>
          <w:rFonts w:ascii="Times New Roman" w:cs="Times New Roman" w:eastAsia="Times New Roman" w:hAnsi="Times New Roman"/>
          <w:sz w:val="22"/>
          <w:szCs w:val="22"/>
          <w:color w:val="auto"/>
        </w:rPr>
        <w:t>" means 6.08% per annum.</w:t>
      </w:r>
    </w:p>
    <w:p>
      <w:pPr>
        <w:spacing w:after="0" w:line="20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Noteholder</w:t>
      </w:r>
      <w:r>
        <w:rPr>
          <w:rFonts w:ascii="Times New Roman" w:cs="Times New Roman" w:eastAsia="Times New Roman" w:hAnsi="Times New Roman"/>
          <w:sz w:val="22"/>
          <w:szCs w:val="22"/>
          <w:color w:val="auto"/>
        </w:rPr>
        <w:t>" means the Person in whose name a Class B Note is registered in the Note Register.</w:t>
      </w:r>
    </w:p>
    <w:p>
      <w:pPr>
        <w:spacing w:after="0" w:line="2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Shortfall</w:t>
      </w:r>
      <w:r>
        <w:rPr>
          <w:rFonts w:ascii="Times New Roman" w:cs="Times New Roman" w:eastAsia="Times New Roman" w:hAnsi="Times New Roman"/>
          <w:sz w:val="22"/>
          <w:szCs w:val="22"/>
          <w:color w:val="auto"/>
        </w:rPr>
        <w:t>" has the meaning set forth in Section 2.3(g)(ii).</w:t>
      </w:r>
    </w:p>
    <w:p>
      <w:pPr>
        <w:spacing w:after="0" w:line="206" w:lineRule="exact"/>
        <w:rPr>
          <w:sz w:val="20"/>
          <w:szCs w:val="20"/>
          <w:color w:val="auto"/>
        </w:rPr>
      </w:pPr>
    </w:p>
    <w:p>
      <w:pPr>
        <w:jc w:val="both"/>
        <w:ind w:firstLine="1231"/>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Carryover Controlled Amortization Amount</w:t>
      </w:r>
      <w:r>
        <w:rPr>
          <w:rFonts w:ascii="Times New Roman" w:cs="Times New Roman" w:eastAsia="Times New Roman" w:hAnsi="Times New Roman"/>
          <w:sz w:val="22"/>
          <w:szCs w:val="22"/>
          <w:color w:val="auto"/>
        </w:rPr>
        <w:t xml:space="preserve">" means, with respect to any Related Month during the Series 2023-1 Controlled Amortization Period, the amount, if any, by which the portion of the Monthly Total Principal Allocation paid to the Class C Noteholders pursuant to Section 2.5(e)(iii) for the previous Related Month was less than the Class C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for the first Related Month in the Series 2023-1 Controlled Amortization Period, the Class C Carryover Controlled Amortization Amount shall be zero.</w:t>
      </w:r>
    </w:p>
    <w:p>
      <w:pPr>
        <w:spacing w:after="0" w:line="177" w:lineRule="exact"/>
        <w:rPr>
          <w:sz w:val="20"/>
          <w:szCs w:val="20"/>
          <w:color w:val="auto"/>
        </w:rPr>
      </w:pPr>
    </w:p>
    <w:p>
      <w:pPr>
        <w:jc w:val="both"/>
        <w:ind w:firstLine="123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Controlled Amortization Amount</w:t>
      </w:r>
      <w:r>
        <w:rPr>
          <w:rFonts w:ascii="Times New Roman" w:cs="Times New Roman" w:eastAsia="Times New Roman" w:hAnsi="Times New Roman"/>
          <w:sz w:val="22"/>
          <w:szCs w:val="22"/>
          <w:color w:val="auto"/>
        </w:rPr>
        <w:t>" means, (i) with respect to any Related Month during the Series 2023-1 Controlled Amortization Period other than the Related Month immediately preceding the Series 2023-1 Expected Final Distribution Date, $8,748,333.33 and (ii) with respect to the Related Month immediately preceding the Series 2023-1 Expected Final Distribution Date, $8,748,333.35.</w:t>
      </w:r>
    </w:p>
    <w:p>
      <w:pPr>
        <w:spacing w:after="0" w:line="186" w:lineRule="exact"/>
        <w:rPr>
          <w:sz w:val="20"/>
          <w:szCs w:val="20"/>
          <w:color w:val="auto"/>
        </w:rPr>
      </w:pPr>
    </w:p>
    <w:p>
      <w:pPr>
        <w:jc w:val="both"/>
        <w:ind w:firstLine="1231"/>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Controlled Distribution Amount</w:t>
      </w:r>
      <w:r>
        <w:rPr>
          <w:rFonts w:ascii="Times New Roman" w:cs="Times New Roman" w:eastAsia="Times New Roman" w:hAnsi="Times New Roman"/>
          <w:sz w:val="22"/>
          <w:szCs w:val="22"/>
          <w:color w:val="auto"/>
        </w:rPr>
        <w:t>" means, with respect to any Related Month during the Series 2023-1 Controlled Amortization Period, an amount equal to the sum of the Class C Controlled Amortization Amount and any Class C Carryover Controlled Amortization Amount for such Related Month.</w:t>
      </w:r>
    </w:p>
    <w:p>
      <w:pPr>
        <w:spacing w:after="0" w:line="15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Initial Invested Amount</w:t>
      </w:r>
      <w:r>
        <w:rPr>
          <w:rFonts w:ascii="Times New Roman" w:cs="Times New Roman" w:eastAsia="Times New Roman" w:hAnsi="Times New Roman"/>
          <w:sz w:val="22"/>
          <w:szCs w:val="22"/>
          <w:color w:val="auto"/>
        </w:rPr>
        <w:t>" means the aggregate initial principal amount of the Class C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$52,490,000.</w:t>
      </w:r>
    </w:p>
    <w:p>
      <w:pPr>
        <w:spacing w:after="0" w:line="196" w:lineRule="exact"/>
        <w:rPr>
          <w:sz w:val="20"/>
          <w:szCs w:val="20"/>
          <w:color w:val="auto"/>
        </w:rPr>
      </w:pPr>
    </w:p>
    <w:p>
      <w:pPr>
        <w:jc w:val="both"/>
        <w:ind w:firstLine="123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Invested Amount</w:t>
      </w:r>
      <w:r>
        <w:rPr>
          <w:rFonts w:ascii="Times New Roman" w:cs="Times New Roman" w:eastAsia="Times New Roman" w:hAnsi="Times New Roman"/>
          <w:sz w:val="22"/>
          <w:szCs w:val="22"/>
          <w:color w:val="auto"/>
        </w:rPr>
        <w:t xml:space="preserve">" means, when used with respect to any date, an amount equal to (a) the Class C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C Noteholders on or prior to such date.</w:t>
      </w:r>
    </w:p>
    <w:p>
      <w:pPr>
        <w:spacing w:after="0" w:line="158" w:lineRule="exact"/>
        <w:rPr>
          <w:sz w:val="20"/>
          <w:szCs w:val="20"/>
          <w:color w:val="auto"/>
        </w:rPr>
      </w:pPr>
    </w:p>
    <w:p>
      <w:pPr>
        <w:jc w:val="both"/>
        <w:ind w:firstLine="123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Monthly Interest</w:t>
      </w:r>
      <w:r>
        <w:rPr>
          <w:rFonts w:ascii="Times New Roman" w:cs="Times New Roman" w:eastAsia="Times New Roman" w:hAnsi="Times New Roman"/>
          <w:sz w:val="22"/>
          <w:szCs w:val="22"/>
          <w:color w:val="auto"/>
        </w:rPr>
        <w:t xml:space="preserve">" means, (A) for so long as ABRCF owns 100% of the Class C Notes, $0 and (B) if ABRCF owns less than 100% of the Class C Notes, with respect to (i) the initial Series 2023-1 Interest Period </w:t>
      </w:r>
      <w:r>
        <w:rPr>
          <w:rFonts w:ascii="Times New Roman" w:cs="Times New Roman" w:eastAsia="Times New Roman" w:hAnsi="Times New Roman"/>
          <w:sz w:val="22"/>
          <w:szCs w:val="22"/>
          <w:color w:val="0000FF"/>
        </w:rPr>
        <w:t>with respect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the Class C Notes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 amount equal to $</w:t>
      </w:r>
      <w:r>
        <w:rPr>
          <w:rFonts w:ascii="Times New Roman" w:cs="Times New Roman" w:eastAsia="Times New Roman" w:hAnsi="Times New Roman"/>
          <w:sz w:val="22"/>
          <w:szCs w:val="22"/>
          <w:color w:val="FF0000"/>
          <w:strike w:val="1"/>
        </w:rPr>
        <w:t>418,607.75</w:t>
      </w:r>
      <w:r>
        <w:rPr>
          <w:rFonts w:ascii="Times New Roman" w:cs="Times New Roman" w:eastAsia="Times New Roman" w:hAnsi="Times New Roman"/>
          <w:sz w:val="22"/>
          <w:szCs w:val="22"/>
          <w:u w:val="single" w:color="auto"/>
          <w:color w:val="0000FF"/>
        </w:rPr>
        <w:t>408,765.88</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(ii) any other Series 2023-1 Interest Period, an amount equal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to the product of (A) one-twelfth of the Class C Note Rate and (B) the Class C Invested Amount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6176010</wp:posOffset>
            </wp:positionH>
            <wp:positionV relativeFrom="paragraph">
              <wp:posOffset>-343535</wp:posOffset>
            </wp:positionV>
            <wp:extent cx="8674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867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00"/>
          </w:cols>
          <w:pgMar w:left="400" w:top="1422"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first day of such Series 2023-1 Interest Period, after giving effect to any principal payments made on such date.</w:t>
      </w:r>
    </w:p>
    <w:p>
      <w:pPr>
        <w:spacing w:after="0" w:line="220" w:lineRule="exact"/>
        <w:rPr>
          <w:sz w:val="20"/>
          <w:szCs w:val="20"/>
          <w:color w:val="auto"/>
        </w:rPr>
      </w:pPr>
    </w:p>
    <w:p>
      <w:pPr>
        <w:jc w:val="both"/>
        <w:ind w:firstLine="1231"/>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C Note</w:t>
      </w:r>
      <w:r>
        <w:rPr>
          <w:rFonts w:ascii="Times New Roman" w:cs="Times New Roman" w:eastAsia="Times New Roman" w:hAnsi="Times New Roman"/>
          <w:sz w:val="21"/>
          <w:szCs w:val="21"/>
          <w:color w:val="auto"/>
        </w:rPr>
        <w:t xml:space="preserve">" means any one of the Series 2023-1 </w:t>
      </w:r>
      <w:r>
        <w:rPr>
          <w:rFonts w:ascii="Times New Roman" w:cs="Times New Roman" w:eastAsia="Times New Roman" w:hAnsi="Times New Roman"/>
          <w:sz w:val="21"/>
          <w:szCs w:val="21"/>
          <w:color w:val="FF0000"/>
          <w:strike w:val="1"/>
        </w:rPr>
        <w:t>8.70</w:t>
      </w:r>
      <w:r>
        <w:rPr>
          <w:rFonts w:ascii="Times New Roman" w:cs="Times New Roman" w:eastAsia="Times New Roman" w:hAnsi="Times New Roman"/>
          <w:sz w:val="21"/>
          <w:szCs w:val="21"/>
          <w:u w:val="single" w:color="auto"/>
          <w:color w:val="0000FF"/>
        </w:rPr>
        <w:t>6.23</w:t>
      </w:r>
      <w:r>
        <w:rPr>
          <w:rFonts w:ascii="Times New Roman" w:cs="Times New Roman" w:eastAsia="Times New Roman" w:hAnsi="Times New Roman"/>
          <w:sz w:val="21"/>
          <w:szCs w:val="21"/>
          <w:color w:val="auto"/>
        </w:rPr>
        <w:t xml:space="preserve">% Rental Car Asset Backed Notes, Class C, executed by ABRCF and authenticated by or on behalf of the Trustee, substantially in the form of </w:t>
      </w:r>
      <w:r>
        <w:rPr>
          <w:rFonts w:ascii="Times New Roman" w:cs="Times New Roman" w:eastAsia="Times New Roman" w:hAnsi="Times New Roman"/>
          <w:sz w:val="21"/>
          <w:szCs w:val="21"/>
          <w:u w:val="single" w:color="auto"/>
          <w:color w:val="auto"/>
        </w:rPr>
        <w:t>Exhibit C-1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Exhibit C-2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Exhibit C-3</w:t>
      </w:r>
      <w:r>
        <w:rPr>
          <w:rFonts w:ascii="Times New Roman" w:cs="Times New Roman" w:eastAsia="Times New Roman" w:hAnsi="Times New Roman"/>
          <w:sz w:val="21"/>
          <w:szCs w:val="21"/>
          <w:color w:val="auto"/>
        </w:rPr>
        <w:t>. Definitive Class C Notes shall have such insertions and deletions as are necessary to give effect to the provisions of Section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 of the Base Indenture.</w:t>
      </w:r>
    </w:p>
    <w:p>
      <w:pPr>
        <w:spacing w:after="0" w:line="18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 Rate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color w:val="FF0000"/>
          <w:strike w:val="1"/>
        </w:rPr>
        <w:t>8.70</w:t>
      </w:r>
      <w:r>
        <w:rPr>
          <w:rFonts w:ascii="Times New Roman" w:cs="Times New Roman" w:eastAsia="Times New Roman" w:hAnsi="Times New Roman"/>
          <w:sz w:val="22"/>
          <w:szCs w:val="22"/>
          <w:u w:val="single" w:color="auto"/>
          <w:color w:val="0000FF"/>
        </w:rPr>
        <w:t>6.23</w:t>
      </w:r>
      <w:r>
        <w:rPr>
          <w:rFonts w:ascii="Times New Roman" w:cs="Times New Roman" w:eastAsia="Times New Roman" w:hAnsi="Times New Roman"/>
          <w:sz w:val="22"/>
          <w:szCs w:val="22"/>
          <w:color w:val="auto"/>
        </w:rPr>
        <w:t>% per annum.</w:t>
      </w:r>
    </w:p>
    <w:p>
      <w:pPr>
        <w:spacing w:after="0" w:line="2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Noteholder</w:t>
      </w:r>
      <w:r>
        <w:rPr>
          <w:rFonts w:ascii="Times New Roman" w:cs="Times New Roman" w:eastAsia="Times New Roman" w:hAnsi="Times New Roman"/>
          <w:sz w:val="22"/>
          <w:szCs w:val="22"/>
          <w:color w:val="auto"/>
        </w:rPr>
        <w:t>" means the Person in whose name a Class C Note is registered in the Note Register.</w:t>
      </w:r>
    </w:p>
    <w:p>
      <w:pPr>
        <w:spacing w:after="0" w:line="20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Shortfall</w:t>
      </w:r>
      <w:r>
        <w:rPr>
          <w:rFonts w:ascii="Times New Roman" w:cs="Times New Roman" w:eastAsia="Times New Roman" w:hAnsi="Times New Roman"/>
          <w:sz w:val="22"/>
          <w:szCs w:val="22"/>
          <w:color w:val="auto"/>
        </w:rPr>
        <w:t>" has the meaning set forth in Section 2.3(g)(iii).</w:t>
      </w:r>
    </w:p>
    <w:p>
      <w:pPr>
        <w:spacing w:after="0" w:line="2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Noteholder</w:t>
      </w:r>
      <w:r>
        <w:rPr>
          <w:rFonts w:ascii="Times New Roman" w:cs="Times New Roman" w:eastAsia="Times New Roman" w:hAnsi="Times New Roman"/>
          <w:sz w:val="22"/>
          <w:szCs w:val="22"/>
          <w:color w:val="auto"/>
        </w:rPr>
        <w:t>" means the Person in whose name a Class D Note is registered in the Note Register.</w:t>
      </w:r>
    </w:p>
    <w:p>
      <w:pPr>
        <w:spacing w:after="0" w:line="20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Notes</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jc w:val="both"/>
        <w:ind w:firstLine="123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Controlled Amortization Amount</w:t>
      </w:r>
      <w:r>
        <w:rPr>
          <w:rFonts w:ascii="Times New Roman" w:cs="Times New Roman" w:eastAsia="Times New Roman" w:hAnsi="Times New Roman"/>
          <w:sz w:val="22"/>
          <w:szCs w:val="22"/>
          <w:color w:val="auto"/>
        </w:rPr>
        <w:t>" means, (i) with respect to any Related Month during the Series 2023-1 Controlled Amortization Period other than the Related Month immediately preceding the Series 2023-1 Expected Final Distribution Date, $0 and (ii) with respect to the Related Month immediately preceding the Series 2023-1 Expected Final Distribution Date, the sum of (x) $30,400,000 and (y) the aggregate principal amount of any Additional Class R Notes.</w:t>
      </w:r>
    </w:p>
    <w:p>
      <w:pPr>
        <w:spacing w:after="0" w:line="17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Initial Invested Amount</w:t>
      </w:r>
      <w:r>
        <w:rPr>
          <w:rFonts w:ascii="Times New Roman" w:cs="Times New Roman" w:eastAsia="Times New Roman" w:hAnsi="Times New Roman"/>
          <w:sz w:val="22"/>
          <w:szCs w:val="22"/>
          <w:color w:val="auto"/>
        </w:rPr>
        <w:t>" means the aggregate initial principal amount of the Class R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$30,400,000.</w:t>
      </w:r>
    </w:p>
    <w:p>
      <w:pPr>
        <w:spacing w:after="0" w:line="182" w:lineRule="exact"/>
        <w:rPr>
          <w:sz w:val="20"/>
          <w:szCs w:val="20"/>
          <w:color w:val="auto"/>
        </w:rPr>
      </w:pPr>
    </w:p>
    <w:p>
      <w:pPr>
        <w:jc w:val="both"/>
        <w:ind w:firstLine="1231"/>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R Invested Amount</w:t>
      </w:r>
      <w:r>
        <w:rPr>
          <w:rFonts w:ascii="Times New Roman" w:cs="Times New Roman" w:eastAsia="Times New Roman" w:hAnsi="Times New Roman"/>
          <w:sz w:val="21"/>
          <w:szCs w:val="21"/>
          <w:color w:val="auto"/>
        </w:rPr>
        <w:t xml:space="preserve">" means, when used with respect to any date, an amount equal to (a) the Class R Initial Invested Amount plus (b) the aggregate principal amount of any Additional Class R Notes issued on or prior to such date </w:t>
      </w:r>
      <w:r>
        <w:rPr>
          <w:rFonts w:ascii="Times New Roman" w:cs="Times New Roman" w:eastAsia="Times New Roman" w:hAnsi="Times New Roman"/>
          <w:sz w:val="21"/>
          <w:szCs w:val="21"/>
          <w:u w:val="single" w:color="auto"/>
          <w:color w:val="auto"/>
        </w:rPr>
        <w:t>minus</w:t>
      </w:r>
    </w:p>
    <w:p>
      <w:pPr>
        <w:spacing w:after="0"/>
        <w:rPr>
          <w:sz w:val="20"/>
          <w:szCs w:val="20"/>
          <w:color w:val="auto"/>
        </w:rPr>
      </w:pPr>
      <w:r>
        <w:rPr>
          <w:rFonts w:ascii="Times New Roman" w:cs="Times New Roman" w:eastAsia="Times New Roman" w:hAnsi="Times New Roman"/>
          <w:sz w:val="22"/>
          <w:szCs w:val="22"/>
          <w:color w:val="auto"/>
        </w:rPr>
        <w:t>(b) the amount of principal payments made to Class R Noteholders on or prior to such date.</w:t>
      </w:r>
    </w:p>
    <w:p>
      <w:pPr>
        <w:spacing w:after="0" w:line="196" w:lineRule="exact"/>
        <w:rPr>
          <w:sz w:val="20"/>
          <w:szCs w:val="20"/>
          <w:color w:val="auto"/>
        </w:rPr>
      </w:pPr>
    </w:p>
    <w:p>
      <w:pPr>
        <w:jc w:val="both"/>
        <w:ind w:firstLine="123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Monthly Interest</w:t>
      </w:r>
      <w:r>
        <w:rPr>
          <w:rFonts w:ascii="Times New Roman" w:cs="Times New Roman" w:eastAsia="Times New Roman" w:hAnsi="Times New Roman"/>
          <w:sz w:val="22"/>
          <w:szCs w:val="22"/>
          <w:color w:val="auto"/>
        </w:rPr>
        <w:t>" means, with respect to (i) the initial Series 2023-1 Interest Period, an amount equal to $296,033.40 and (ii) any other Series 2023-1 Interest Period, an amount equal to the product of (A) one-twelfth of the Class R Note Rate and (B) the Class R Invested Amount on the first day of such Series 2023-1 Interest Period, after giving effect to any principal payments made on such date.</w:t>
      </w:r>
    </w:p>
    <w:p>
      <w:pPr>
        <w:spacing w:after="0" w:line="18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R Note</w:t>
      </w:r>
      <w:r>
        <w:rPr>
          <w:rFonts w:ascii="Times New Roman" w:cs="Times New Roman" w:eastAsia="Times New Roman" w:hAnsi="Times New Roman"/>
          <w:sz w:val="21"/>
          <w:szCs w:val="21"/>
          <w:color w:val="auto"/>
        </w:rPr>
        <w:t>" means any one of the Series 2023-1 10.623% Rental Car Asset Backed Notes, Class R, executed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ABRCF and authenticated by or on behalf of the Trustee, substantially in the form of </w:t>
      </w:r>
      <w:r>
        <w:rPr>
          <w:rFonts w:ascii="Times New Roman" w:cs="Times New Roman" w:eastAsia="Times New Roman" w:hAnsi="Times New Roman"/>
          <w:sz w:val="21"/>
          <w:szCs w:val="21"/>
          <w:u w:val="single" w:color="auto"/>
          <w:color w:val="auto"/>
        </w:rPr>
        <w:t>Exhibit D-1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Exhibit D-2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Exhibit 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Definitive Class R Notes shall have such insertions and deletions as are necessary to give effect to the provisions of 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 of the Base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00"/>
          </w:cols>
          <w:pgMar w:left="400" w:top="1422" w:right="399" w:bottom="1440" w:gutter="0" w:footer="0" w:header="0"/>
        </w:sectPr>
      </w:pPr>
    </w:p>
    <w:bookmarkStart w:id="67" w:name="page68"/>
    <w:bookmarkEnd w:id="6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Expected Final Distribution Date</w:t>
      </w:r>
      <w:r>
        <w:rPr>
          <w:rFonts w:ascii="Times New Roman" w:cs="Times New Roman" w:eastAsia="Times New Roman" w:hAnsi="Times New Roman"/>
          <w:sz w:val="22"/>
          <w:szCs w:val="22"/>
          <w:color w:val="auto"/>
        </w:rPr>
        <w:t>" means the April 2028 Distribution Date.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Final Distribution Date</w:t>
      </w:r>
      <w:r>
        <w:rPr>
          <w:rFonts w:ascii="Times New Roman" w:cs="Times New Roman" w:eastAsia="Times New Roman" w:hAnsi="Times New Roman"/>
          <w:sz w:val="22"/>
          <w:szCs w:val="22"/>
          <w:color w:val="auto"/>
        </w:rPr>
        <w:t>" means the April 2029 Distribution Date.</w:t>
      </w:r>
    </w:p>
    <w:p>
      <w:pPr>
        <w:spacing w:after="0" w:line="206" w:lineRule="exact"/>
        <w:rPr>
          <w:sz w:val="20"/>
          <w:szCs w:val="20"/>
          <w:color w:val="auto"/>
        </w:rPr>
      </w:pPr>
    </w:p>
    <w:p>
      <w:pPr>
        <w:jc w:val="both"/>
        <w:ind w:right="20" w:firstLine="1296"/>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Interest Period</w:t>
      </w:r>
      <w:r>
        <w:rPr>
          <w:rFonts w:ascii="Times New Roman" w:cs="Times New Roman" w:eastAsia="Times New Roman" w:hAnsi="Times New Roman"/>
          <w:sz w:val="22"/>
          <w:szCs w:val="22"/>
          <w:color w:val="auto"/>
        </w:rPr>
        <w:t xml:space="preserve">" means a period commencing on and including a Distribution Date and ending on and including the day preceding the next succeeding Distribution Date;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0000FF"/>
        </w:rPr>
        <w:t>(x)</w:t>
      </w:r>
      <w:r>
        <w:rPr>
          <w:rFonts w:ascii="Times New Roman" w:cs="Times New Roman" w:eastAsia="Times New Roman" w:hAnsi="Times New Roman"/>
          <w:sz w:val="22"/>
          <w:szCs w:val="22"/>
          <w:color w:val="auto"/>
        </w:rPr>
        <w:t xml:space="preserve"> the initial Series 2023-1 Interest Period </w:t>
      </w:r>
      <w:r>
        <w:rPr>
          <w:rFonts w:ascii="Times New Roman" w:cs="Times New Roman" w:eastAsia="Times New Roman" w:hAnsi="Times New Roman"/>
          <w:sz w:val="22"/>
          <w:szCs w:val="22"/>
          <w:color w:val="0000FF"/>
        </w:rPr>
        <w:t>for the Class A Notes and the Class B Notes</w:t>
      </w:r>
      <w:r>
        <w:rPr>
          <w:rFonts w:ascii="Times New Roman" w:cs="Times New Roman" w:eastAsia="Times New Roman" w:hAnsi="Times New Roman"/>
          <w:sz w:val="22"/>
          <w:szCs w:val="22"/>
          <w:color w:val="auto"/>
        </w:rPr>
        <w:t xml:space="preserve"> shall commence on and include the Series 2023-1 Closing Date and end on and include February 20, 2023 </w:t>
      </w:r>
      <w:r>
        <w:rPr>
          <w:rFonts w:ascii="Times New Roman" w:cs="Times New Roman" w:eastAsia="Times New Roman" w:hAnsi="Times New Roman"/>
          <w:sz w:val="22"/>
          <w:szCs w:val="22"/>
          <w:color w:val="0000FF"/>
        </w:rPr>
        <w:t>and (y) the initial Series 2023-1 Interest Period for the Class C Notes shall commence 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and include February 5, 2024 and end on and include March 19, 2024</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808990</wp:posOffset>
            </wp:positionH>
            <wp:positionV relativeFrom="paragraph">
              <wp:posOffset>-349250</wp:posOffset>
            </wp:positionV>
            <wp:extent cx="25380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2538095"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-194945</wp:posOffset>
            </wp:positionV>
            <wp:extent cx="4982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4982210" cy="8255"/>
                    </a:xfrm>
                    <a:prstGeom prst="rect">
                      <a:avLst/>
                    </a:prstGeom>
                    <a:noFill/>
                  </pic:spPr>
                </pic:pic>
              </a:graphicData>
            </a:graphic>
          </wp:anchor>
        </w:drawing>
      </w:r>
    </w:p>
    <w:p>
      <w:pPr>
        <w:spacing w:after="0" w:line="15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Invested Amount</w:t>
      </w:r>
      <w:r>
        <w:rPr>
          <w:rFonts w:ascii="Times New Roman" w:cs="Times New Roman" w:eastAsia="Times New Roman" w:hAnsi="Times New Roman"/>
          <w:sz w:val="22"/>
          <w:szCs w:val="22"/>
          <w:color w:val="auto"/>
        </w:rPr>
        <w:t>" means, as of any date of determination, the sum of the Class A Invested Amount as of such date, the Class B Invested Amount as of such date, the Class C Invested Amount as of such date and the Class R Invested Amount as of such date.</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Invested Percentage</w:t>
      </w:r>
      <w:r>
        <w:rPr>
          <w:rFonts w:ascii="Times New Roman" w:cs="Times New Roman" w:eastAsia="Times New Roman" w:hAnsi="Times New Roman"/>
          <w:sz w:val="22"/>
          <w:szCs w:val="22"/>
          <w:color w:val="auto"/>
        </w:rPr>
        <w:t>" means as of any date of determination:</w:t>
      </w:r>
    </w:p>
    <w:p>
      <w:pPr>
        <w:spacing w:after="0" w:line="220" w:lineRule="exact"/>
        <w:rPr>
          <w:sz w:val="20"/>
          <w:szCs w:val="20"/>
          <w:color w:val="auto"/>
        </w:rPr>
      </w:pPr>
    </w:p>
    <w:p>
      <w:pPr>
        <w:jc w:val="both"/>
        <w:ind w:firstLine="1304"/>
        <w:spacing w:after="0" w:line="238" w:lineRule="auto"/>
        <w:tabs>
          <w:tab w:leader="none" w:pos="19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used with respect to Principal Collections, the percentage equivalent (which percentage shall never exceed 100%) of a fraction, the numerator of which shall be equal to the sum of the Series 2023-1 Invested Amount and the Series 2023-1 Overcollateralization Amount, determined during the Series 2023-1 Revolving Period as of the end of the Related Month (or, until the end of the initial Related Month, on the Series 2023-1 Closing Date), or, during the Series 2023-1 Controlled Amortization Period and the Series 2023-1 Rapid Amortization Period, as of the end of the Series 2023-1 Revolving Period, and the denominator of which shall be the greater of (I) the Aggregate Asset Amount as of the end of the Related Month or, until the end of the initial Related Month, as of the Series 2023-1 Closing Date, and (II) as of the same date as in clause (I), the sum of the numerators used to determine the invested percentages for allocations with respect to Principal Collections (for all Series of Notes and all classes of such Series of Notes); and</w:t>
      </w:r>
    </w:p>
    <w:p>
      <w:pPr>
        <w:spacing w:after="0" w:line="185" w:lineRule="exact"/>
        <w:rPr>
          <w:rFonts w:ascii="Times New Roman" w:cs="Times New Roman" w:eastAsia="Times New Roman" w:hAnsi="Times New Roman"/>
          <w:sz w:val="22"/>
          <w:szCs w:val="22"/>
          <w:color w:val="auto"/>
        </w:rPr>
      </w:pPr>
    </w:p>
    <w:p>
      <w:pPr>
        <w:jc w:val="both"/>
        <w:ind w:firstLine="1304"/>
        <w:spacing w:after="0" w:line="241" w:lineRule="auto"/>
        <w:tabs>
          <w:tab w:leader="none" w:pos="19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used with respect to Interest Collections, the percentage equivalent (which percentage shall never exceed 100%) of a fraction, the numerator of which shall be the Accrued Amounts with respect to the Series 2023-1 Notes on such date of determination, and the denominator of which shall be the aggregate Accrued Amounts with respect to all Series of Notes on such date of determination. For so long as ABRCF owns 100% of the Class C Notes, the accrued and unpaid interest with respect to the Class C Notes shall be $0 for purposes of calculating the Accrued Amounts with respect to the Series 2023-1 Notes.</w:t>
      </w:r>
    </w:p>
    <w:p>
      <w:pPr>
        <w:spacing w:after="0" w:line="190"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Lease Interest Payment Deficit</w:t>
      </w:r>
      <w:r>
        <w:rPr>
          <w:rFonts w:ascii="Times New Roman" w:cs="Times New Roman" w:eastAsia="Times New Roman" w:hAnsi="Times New Roman"/>
          <w:sz w:val="22"/>
          <w:szCs w:val="22"/>
          <w:color w:val="auto"/>
        </w:rPr>
        <w:t>" means, on any Distribution Date, an amount equal to the excess, if any, of (1) the excess, if any, of (a) the aggregate amount of Interest Collections which pursuant to Section 2.2(a), (b), (c) or</w:t>
      </w:r>
    </w:p>
    <w:p>
      <w:pPr>
        <w:spacing w:after="0" w:line="1" w:lineRule="exact"/>
        <w:rPr>
          <w:sz w:val="20"/>
          <w:szCs w:val="20"/>
          <w:color w:val="auto"/>
        </w:rPr>
      </w:pPr>
    </w:p>
    <w:p>
      <w:pPr>
        <w:jc w:val="both"/>
        <w:ind w:firstLine="8"/>
        <w:spacing w:after="0" w:line="237" w:lineRule="auto"/>
        <w:tabs>
          <w:tab w:leader="none" w:pos="31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have been allocated to the Series 2023-1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180"/>
          </w:cols>
          <w:pgMar w:left="320" w:top="1408" w:right="39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C-1</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20"/>
        <w:spacing w:after="0" w:line="248" w:lineRule="auto"/>
        <w:rPr>
          <w:sz w:val="20"/>
          <w:szCs w:val="20"/>
          <w:color w:val="auto"/>
        </w:rPr>
      </w:pPr>
      <w:r>
        <w:rPr>
          <w:rFonts w:ascii="Times New Roman" w:cs="Times New Roman" w:eastAsia="Times New Roman" w:hAnsi="Times New Roman"/>
          <w:sz w:val="22"/>
          <w:szCs w:val="22"/>
          <w:color w:val="auto"/>
        </w:rPr>
        <w:t>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9"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THE PRINCIPAL OF THIS CLASS C NOTE IS PAYABLE IN INSTALLMENTS AS SET FORTH HEREIN. ACCORDINGLY, THE OUTSTANDING PRINCIPAL AMOUNT OF THIS CLASS C NOTE AT ANY TIME MAY BE LESS THAN THE AMOUNT SHOWN ON THE FACE HEREOF.</w:t>
      </w:r>
    </w:p>
    <w:p>
      <w:pPr>
        <w:spacing w:after="0" w:line="18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AVIS BUDGET RENTAL CAR FUNDING (AESOP) LLC</w:t>
      </w:r>
    </w:p>
    <w:p>
      <w:pPr>
        <w:spacing w:after="0" w:line="20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 xml:space="preserve">SERIES 2023-1 </w:t>
      </w:r>
      <w:r>
        <w:rPr>
          <w:rFonts w:ascii="Times New Roman" w:cs="Times New Roman" w:eastAsia="Times New Roman" w:hAnsi="Times New Roman"/>
          <w:sz w:val="22"/>
          <w:szCs w:val="22"/>
          <w:b w:val="1"/>
          <w:bCs w:val="1"/>
          <w:color w:val="FF0000"/>
          <w:strike w:val="1"/>
        </w:rPr>
        <w:t>8.70</w:t>
      </w:r>
      <w:r>
        <w:rPr>
          <w:rFonts w:ascii="Times New Roman" w:cs="Times New Roman" w:eastAsia="Times New Roman" w:hAnsi="Times New Roman"/>
          <w:sz w:val="22"/>
          <w:szCs w:val="22"/>
          <w:b w:val="1"/>
          <w:bCs w:val="1"/>
          <w:u w:val="single" w:color="auto"/>
          <w:color w:val="0000FF"/>
        </w:rPr>
        <w:t>6.23</w:t>
      </w:r>
      <w:r>
        <w:rPr>
          <w:rFonts w:ascii="Times New Roman" w:cs="Times New Roman" w:eastAsia="Times New Roman" w:hAnsi="Times New Roman"/>
          <w:sz w:val="22"/>
          <w:szCs w:val="22"/>
          <w:b w:val="1"/>
          <w:bCs w:val="1"/>
          <w:color w:val="auto"/>
        </w:rPr>
        <w:t>% RENTAL CAR ASSET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BACKED NOTES, CLASS C</w:t>
      </w:r>
    </w:p>
    <w:p>
      <w:pPr>
        <w:spacing w:after="0" w:line="1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AVIS BUDGET RENTAL CAR FUNDING (AESOP) LLC, a Delaware limited liability company (herein referred to as the</w:t>
      </w:r>
    </w:p>
    <w:tbl>
      <w:tblPr>
        <w:tblLayout w:type="fixed"/>
        <w:tblInd w:w="0" w:type="dxa"/>
        <w:tblCellMar>
          <w:top w:w="0" w:type="dxa"/>
          <w:left w:w="0" w:type="dxa"/>
          <w:bottom w:w="0" w:type="dxa"/>
          <w:right w:w="0" w:type="dxa"/>
        </w:tblCellMar>
      </w:tblPr>
      <w:tr>
        <w:trPr>
          <w:trHeight w:val="220"/>
        </w:trPr>
        <w:tc>
          <w:tcPr>
            <w:tcW w:w="1520" w:type="dxa"/>
            <w:vAlign w:val="bottom"/>
            <w:gridSpan w:val="3"/>
          </w:tcPr>
          <w:p>
            <w:pPr>
              <w:spacing w:after="0" w:line="220" w:lineRule="exact"/>
              <w:rPr>
                <w:sz w:val="20"/>
                <w:szCs w:val="20"/>
                <w:color w:val="auto"/>
              </w:rPr>
            </w:pPr>
            <w:r>
              <w:rPr>
                <w:rFonts w:ascii="Times New Roman" w:cs="Times New Roman" w:eastAsia="Times New Roman" w:hAnsi="Times New Roman"/>
                <w:sz w:val="22"/>
                <w:szCs w:val="22"/>
                <w:color w:val="auto"/>
              </w:rPr>
              <w:t>"Company"),</w:t>
            </w:r>
          </w:p>
        </w:tc>
        <w:tc>
          <w:tcPr>
            <w:tcW w:w="1420" w:type="dxa"/>
            <w:vAlign w:val="bottom"/>
          </w:tcPr>
          <w:p>
            <w:pPr>
              <w:ind w:left="440"/>
              <w:spacing w:after="0" w:line="220" w:lineRule="exact"/>
              <w:rPr>
                <w:sz w:val="20"/>
                <w:szCs w:val="20"/>
                <w:color w:val="auto"/>
              </w:rPr>
            </w:pPr>
            <w:r>
              <w:rPr>
                <w:rFonts w:ascii="Times New Roman" w:cs="Times New Roman" w:eastAsia="Times New Roman" w:hAnsi="Times New Roman"/>
                <w:sz w:val="22"/>
                <w:szCs w:val="22"/>
                <w:color w:val="auto"/>
              </w:rPr>
              <w:t>for</w:t>
            </w:r>
          </w:p>
        </w:tc>
        <w:tc>
          <w:tcPr>
            <w:tcW w:w="940" w:type="dxa"/>
            <w:vAlign w:val="bottom"/>
          </w:tcPr>
          <w:p>
            <w:pPr>
              <w:ind w:left="80"/>
              <w:spacing w:after="0" w:line="220" w:lineRule="exact"/>
              <w:rPr>
                <w:sz w:val="20"/>
                <w:szCs w:val="20"/>
                <w:color w:val="auto"/>
              </w:rPr>
            </w:pPr>
            <w:r>
              <w:rPr>
                <w:rFonts w:ascii="Times New Roman" w:cs="Times New Roman" w:eastAsia="Times New Roman" w:hAnsi="Times New Roman"/>
                <w:sz w:val="22"/>
                <w:szCs w:val="22"/>
                <w:color w:val="auto"/>
              </w:rPr>
              <w:t>value</w:t>
            </w:r>
          </w:p>
        </w:tc>
        <w:tc>
          <w:tcPr>
            <w:tcW w:w="1460" w:type="dxa"/>
            <w:vAlign w:val="bottom"/>
          </w:tcPr>
          <w:p>
            <w:pPr>
              <w:ind w:left="400"/>
              <w:spacing w:after="0" w:line="220" w:lineRule="exact"/>
              <w:rPr>
                <w:sz w:val="20"/>
                <w:szCs w:val="20"/>
                <w:color w:val="auto"/>
              </w:rPr>
            </w:pPr>
            <w:r>
              <w:rPr>
                <w:rFonts w:ascii="Times New Roman" w:cs="Times New Roman" w:eastAsia="Times New Roman" w:hAnsi="Times New Roman"/>
                <w:sz w:val="22"/>
                <w:szCs w:val="22"/>
                <w:color w:val="auto"/>
              </w:rPr>
              <w:t>received,</w:t>
            </w:r>
          </w:p>
        </w:tc>
        <w:tc>
          <w:tcPr>
            <w:tcW w:w="1520" w:type="dxa"/>
            <w:vAlign w:val="bottom"/>
          </w:tcPr>
          <w:p>
            <w:pPr>
              <w:ind w:left="540"/>
              <w:spacing w:after="0" w:line="220" w:lineRule="exact"/>
              <w:rPr>
                <w:sz w:val="20"/>
                <w:szCs w:val="20"/>
                <w:color w:val="auto"/>
              </w:rPr>
            </w:pPr>
            <w:r>
              <w:rPr>
                <w:rFonts w:ascii="Times New Roman" w:cs="Times New Roman" w:eastAsia="Times New Roman" w:hAnsi="Times New Roman"/>
                <w:sz w:val="22"/>
                <w:szCs w:val="22"/>
                <w:color w:val="auto"/>
              </w:rPr>
              <w:t>hereby</w:t>
            </w:r>
          </w:p>
        </w:tc>
        <w:tc>
          <w:tcPr>
            <w:tcW w:w="1600" w:type="dxa"/>
            <w:vAlign w:val="bottom"/>
          </w:tcPr>
          <w:p>
            <w:pPr>
              <w:ind w:left="400"/>
              <w:spacing w:after="0" w:line="220" w:lineRule="exact"/>
              <w:rPr>
                <w:sz w:val="20"/>
                <w:szCs w:val="20"/>
                <w:color w:val="auto"/>
              </w:rPr>
            </w:pPr>
            <w:r>
              <w:rPr>
                <w:rFonts w:ascii="Times New Roman" w:cs="Times New Roman" w:eastAsia="Times New Roman" w:hAnsi="Times New Roman"/>
                <w:sz w:val="22"/>
                <w:szCs w:val="22"/>
                <w:color w:val="auto"/>
              </w:rPr>
              <w:t>promises</w:t>
            </w:r>
          </w:p>
        </w:tc>
        <w:tc>
          <w:tcPr>
            <w:tcW w:w="960" w:type="dxa"/>
            <w:vAlign w:val="bottom"/>
          </w:tcPr>
          <w:p>
            <w:pPr>
              <w:ind w:left="400"/>
              <w:spacing w:after="0" w:line="220" w:lineRule="exact"/>
              <w:rPr>
                <w:sz w:val="20"/>
                <w:szCs w:val="20"/>
                <w:color w:val="auto"/>
              </w:rPr>
            </w:pPr>
            <w:r>
              <w:rPr>
                <w:rFonts w:ascii="Times New Roman" w:cs="Times New Roman" w:eastAsia="Times New Roman" w:hAnsi="Times New Roman"/>
                <w:sz w:val="22"/>
                <w:szCs w:val="22"/>
                <w:color w:val="auto"/>
              </w:rPr>
              <w:t>to</w:t>
            </w:r>
          </w:p>
        </w:tc>
        <w:tc>
          <w:tcPr>
            <w:tcW w:w="1120" w:type="dxa"/>
            <w:vAlign w:val="bottom"/>
          </w:tcPr>
          <w:p>
            <w:pPr>
              <w:ind w:left="400"/>
              <w:spacing w:after="0" w:line="220" w:lineRule="exact"/>
              <w:rPr>
                <w:sz w:val="20"/>
                <w:szCs w:val="20"/>
                <w:color w:val="auto"/>
              </w:rPr>
            </w:pPr>
            <w:r>
              <w:rPr>
                <w:rFonts w:ascii="Times New Roman" w:cs="Times New Roman" w:eastAsia="Times New Roman" w:hAnsi="Times New Roman"/>
                <w:sz w:val="22"/>
                <w:szCs w:val="22"/>
                <w:color w:val="auto"/>
              </w:rPr>
              <w:t>pay</w:t>
            </w:r>
          </w:p>
        </w:tc>
        <w:tc>
          <w:tcPr>
            <w:tcW w:w="580" w:type="dxa"/>
            <w:vAlign w:val="bottom"/>
          </w:tcPr>
          <w:p>
            <w:pPr>
              <w:ind w:left="400"/>
              <w:spacing w:after="0" w:line="220" w:lineRule="exact"/>
              <w:rPr>
                <w:sz w:val="20"/>
                <w:szCs w:val="20"/>
                <w:color w:val="auto"/>
              </w:rPr>
            </w:pPr>
            <w:r>
              <w:rPr>
                <w:rFonts w:ascii="Times New Roman" w:cs="Times New Roman" w:eastAsia="Times New Roman" w:hAnsi="Times New Roman"/>
                <w:sz w:val="22"/>
                <w:szCs w:val="22"/>
                <w:color w:val="auto"/>
                <w:w w:val="93"/>
              </w:rPr>
              <w:t>to</w:t>
            </w:r>
          </w:p>
        </w:tc>
      </w:tr>
      <w:tr>
        <w:trPr>
          <w:trHeight w:val="20"/>
        </w:trPr>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87"/>
        </w:trPr>
        <w:tc>
          <w:tcPr>
            <w:tcW w:w="15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Cede  &amp;  Co.,</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or  registered</w:t>
            </w:r>
          </w:p>
        </w:tc>
        <w:tc>
          <w:tcPr>
            <w:tcW w:w="9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assigns,</w:t>
            </w:r>
          </w:p>
        </w:tc>
        <w:tc>
          <w:tcPr>
            <w:tcW w:w="14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principal</w:t>
            </w:r>
          </w:p>
        </w:tc>
        <w:tc>
          <w:tcPr>
            <w:tcW w:w="1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sum  of</w:t>
            </w: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rPr>
          <w:sz w:val="20"/>
          <w:szCs w:val="20"/>
          <w:color w:val="auto"/>
        </w:rPr>
      </w:pPr>
      <w:r>
        <w:rPr>
          <w:rFonts w:ascii="Times New Roman" w:cs="Times New Roman" w:eastAsia="Times New Roman" w:hAnsi="Times New Roman"/>
          <w:sz w:val="21"/>
          <w:szCs w:val="21"/>
          <w:color w:val="auto"/>
        </w:rPr>
        <w:t>[_______________________________] DOLLARS, which amount shall be payable in the amounts and at the times set forth in</w:t>
      </w:r>
    </w:p>
    <w:p>
      <w:pPr>
        <w:spacing w:after="0" w:line="15"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22"/>
          <w:szCs w:val="22"/>
          <w:color w:val="auto"/>
        </w:rPr>
        <w:t xml:space="preserve">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entire unpaid principal amount of this Class C Note shall be due on the Series 2023-1 Final Distribution Date, which is the April 2029 Distribution Date. However, principal with respect to the Class C Notes may be paid earlier or later under certain limited circumstances described in the Indenture. The Company will pay interest on this Class C Note at the Class C Note Rate. Such interest shall be payable on each Distribution Date until the principal of this Class C Note is paid or made available for payment. Interest on this Class C Note will accrue for each Distribution Date from the most recent Distribution Date on which interest has been paid to but excluding such Distribution Date or, if no interest has yet been paid, from </w:t>
      </w:r>
      <w:r>
        <w:rPr>
          <w:rFonts w:ascii="Times New Roman" w:cs="Times New Roman" w:eastAsia="Times New Roman" w:hAnsi="Times New Roman"/>
          <w:sz w:val="22"/>
          <w:szCs w:val="22"/>
          <w:color w:val="FF0000"/>
          <w:strike w:val="1"/>
        </w:rPr>
        <w:t>January 17</w:t>
      </w:r>
      <w:r>
        <w:rPr>
          <w:rFonts w:ascii="Times New Roman" w:cs="Times New Roman" w:eastAsia="Times New Roman" w:hAnsi="Times New Roman"/>
          <w:sz w:val="22"/>
          <w:szCs w:val="22"/>
          <w:u w:val="single" w:color="auto"/>
          <w:color w:val="0000FF"/>
        </w:rPr>
        <w:t>February 5</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2023</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auto"/>
        </w:rPr>
        <w:t>. Interest with respect to the Class C Notes will be calculated in the manner provided in the Indenture. Such principal of and interest on this Class C Note shall be paid in the manner specified on the reverse hereof.</w:t>
      </w:r>
    </w:p>
    <w:p>
      <w:pPr>
        <w:spacing w:after="0" w:line="181" w:lineRule="exact"/>
        <w:rPr>
          <w:sz w:val="20"/>
          <w:szCs w:val="20"/>
          <w:color w:val="auto"/>
        </w:rPr>
      </w:pPr>
    </w:p>
    <w:p>
      <w:pPr>
        <w:jc w:val="both"/>
        <w:ind w:right="140"/>
        <w:spacing w:after="0" w:line="241" w:lineRule="auto"/>
        <w:rPr>
          <w:sz w:val="20"/>
          <w:szCs w:val="20"/>
          <w:color w:val="auto"/>
        </w:rPr>
      </w:pPr>
      <w:r>
        <w:rPr>
          <w:rFonts w:ascii="Times New Roman" w:cs="Times New Roman" w:eastAsia="Times New Roman" w:hAnsi="Times New Roman"/>
          <w:sz w:val="22"/>
          <w:szCs w:val="22"/>
          <w:color w:val="auto"/>
        </w:rPr>
        <w:t>The principal of and interest on this Class C Note are payable in such coin or currency of the United States of America as at the time of payment is legal tender for payment of public and private debts. All payments made by the Company with respect to this Class C Note shall be applied first to interest due and payable on this Class C Note as provided above and then to the unpaid principal of this Class C Note. This Class C Note does not represent an interest in, or an obligation of, Original AESOP, AESOP Leasing, AESOP Leasing II, ABCR, BRAC, ARAC or any affiliate of Original AESOP, AESOP Leasing, AESOP Leasing II, ABCR, BRAC or ARAC, other than the Company.</w:t>
      </w:r>
    </w:p>
    <w:p>
      <w:pPr>
        <w:spacing w:after="0" w:line="19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21"/>
          <w:szCs w:val="21"/>
          <w:color w:val="auto"/>
        </w:rPr>
        <w:t>Interests in this Class C Note are exchangeable or transferable in whole or in part for interests in a Restricted Global Note if this Class C Note is a Temporary Global Note, or for interests in a Temporary Global Note or a Permanent Global Note if this Class C Note is a Restricted Global Note (each as defined in the Base Indenture), in each case of the same Class and Series, provided</w:t>
      </w:r>
    </w:p>
    <w:p>
      <w:pPr>
        <w:sectPr>
          <w:pgSz w:w="11900" w:h="16838" w:orient="portrait"/>
          <w:cols w:equalWidth="0" w:num="1">
            <w:col w:w="11240"/>
          </w:cols>
          <w:pgMar w:left="320" w:top="126"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C-1</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[REVERSE OF CLASS C NOTE]</w:t>
      </w:r>
    </w:p>
    <w:p>
      <w:pPr>
        <w:spacing w:after="0" w:line="224"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22"/>
          <w:szCs w:val="22"/>
          <w:color w:val="auto"/>
        </w:rPr>
        <w:t xml:space="preserve">This Class C Note is one of a duly authorized issue of Class C Notes of the Company, designated as its Series 2023-1 </w:t>
      </w:r>
      <w:r>
        <w:rPr>
          <w:rFonts w:ascii="Times New Roman" w:cs="Times New Roman" w:eastAsia="Times New Roman" w:hAnsi="Times New Roman"/>
          <w:sz w:val="22"/>
          <w:szCs w:val="22"/>
          <w:color w:val="FF0000"/>
          <w:strike w:val="1"/>
        </w:rPr>
        <w:t>8.70</w:t>
      </w:r>
      <w:r>
        <w:rPr>
          <w:rFonts w:ascii="Times New Roman" w:cs="Times New Roman" w:eastAsia="Times New Roman" w:hAnsi="Times New Roman"/>
          <w:sz w:val="22"/>
          <w:szCs w:val="22"/>
          <w:u w:val="single" w:color="auto"/>
          <w:color w:val="0000FF"/>
        </w:rPr>
        <w:t>6.23</w:t>
      </w:r>
      <w:r>
        <w:rPr>
          <w:rFonts w:ascii="Times New Roman" w:cs="Times New Roman" w:eastAsia="Times New Roman" w:hAnsi="Times New Roman"/>
          <w:sz w:val="22"/>
          <w:szCs w:val="22"/>
          <w:color w:val="auto"/>
        </w:rPr>
        <w:t>% Rental Car Asset Backed Notes, Class C (herein called the "</w:t>
      </w:r>
      <w:r>
        <w:rPr>
          <w:rFonts w:ascii="Times New Roman" w:cs="Times New Roman" w:eastAsia="Times New Roman" w:hAnsi="Times New Roman"/>
          <w:sz w:val="22"/>
          <w:szCs w:val="22"/>
          <w:u w:val="single" w:color="auto"/>
          <w:color w:val="auto"/>
        </w:rPr>
        <w:t>Class C Notes</w:t>
      </w:r>
      <w:r>
        <w:rPr>
          <w:rFonts w:ascii="Times New Roman" w:cs="Times New Roman" w:eastAsia="Times New Roman" w:hAnsi="Times New Roman"/>
          <w:sz w:val="22"/>
          <w:szCs w:val="22"/>
          <w:color w:val="auto"/>
        </w:rPr>
        <w:t>"), all issued under (i) a Second Amended and Restated Base Indenture, dated as of June 3, 2004 (such Base Indenture, as may be further amended, restated, supplemented or modified in accordance with its terms (exclusive of any Supplements thereto creating a new Series of Notes), is herein called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between the Company, as Issuer, and The Bank of New York Mellon Trust Company, N.A. (as successor in interest to The Bank of New York),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which term includes any successor Trustee under the Base Indenture), and (ii) a Series 2023-1 Supplement, dated as of January 17, 2023 (such supplement, as may be amended or modified, is herein called the "</w:t>
      </w:r>
      <w:r>
        <w:rPr>
          <w:rFonts w:ascii="Times New Roman" w:cs="Times New Roman" w:eastAsia="Times New Roman" w:hAnsi="Times New Roman"/>
          <w:sz w:val="22"/>
          <w:szCs w:val="22"/>
          <w:u w:val="single" w:color="auto"/>
          <w:color w:val="auto"/>
        </w:rPr>
        <w:t>Series 2023-1 Supplement</w:t>
      </w:r>
      <w:r>
        <w:rPr>
          <w:rFonts w:ascii="Times New Roman" w:cs="Times New Roman" w:eastAsia="Times New Roman" w:hAnsi="Times New Roman"/>
          <w:sz w:val="22"/>
          <w:szCs w:val="22"/>
          <w:color w:val="auto"/>
        </w:rPr>
        <w:t>"), among the Company, the Trustee and The Bank of New York Mellon Trust Company, N.A., as Series 2023-1 Agent. The Base Indenture and the Series 2023-1 Supplement are referred to herein as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The Class C Notes are subject to all terms of the Indenture. To the extent not defined herein, all terms used in this Class C Note that are defined in the Indenture shall have the meanings assigned to them in or pursuant to the Indenture.</w:t>
      </w:r>
    </w:p>
    <w:p>
      <w:pPr>
        <w:spacing w:after="0" w:line="188"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22"/>
          <w:szCs w:val="22"/>
          <w:color w:val="auto"/>
        </w:rPr>
        <w:t>The Class C Notes are and will be equally and ratably secured by the Series 2023-1 Collateral pledged as security therefor as provided in the Indenture.</w:t>
      </w:r>
    </w:p>
    <w:p>
      <w:pPr>
        <w:spacing w:after="0" w:line="144"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22"/>
          <w:szCs w:val="22"/>
          <w:color w:val="auto"/>
        </w:rPr>
        <w:t>Interest on the Class C Notes will be payable on each Distribution Date specified in and in the amounts described in the Indenture. "</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xml:space="preserve">" means the 20th day of each month, or, if any such date is not a Business Day, the next succeeding Business Day, commencing on </w:t>
      </w:r>
      <w:r>
        <w:rPr>
          <w:rFonts w:ascii="Times New Roman" w:cs="Times New Roman" w:eastAsia="Times New Roman" w:hAnsi="Times New Roman"/>
          <w:sz w:val="22"/>
          <w:szCs w:val="22"/>
          <w:color w:val="FF0000"/>
          <w:strike w:val="1"/>
        </w:rPr>
        <w:t>February 21</w:t>
      </w:r>
      <w:r>
        <w:rPr>
          <w:rFonts w:ascii="Times New Roman" w:cs="Times New Roman" w:eastAsia="Times New Roman" w:hAnsi="Times New Roman"/>
          <w:sz w:val="22"/>
          <w:szCs w:val="22"/>
          <w:u w:val="single" w:color="auto"/>
          <w:color w:val="0000FF"/>
        </w:rPr>
        <w:t>March 20</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2023</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21"/>
          <w:szCs w:val="21"/>
          <w:color w:val="auto"/>
        </w:rPr>
        <w:t xml:space="preserve">Commencing on the Distribution Date following the second Determination Date during the Series 2023-1 Controlled Amortization Period, payments with respect to principal will be made on the Class C Notes. In addition, beginning on the first Distribution Date during the Series 2023-1 Rapid Amortization Period on which the Class A Notes and the Class B Notes have been paid in full, payments with respect to principal will be made on the Class C Notes. As described above, the entire unpaid principal amount of this Class C Note shall be due and payable on the Series 2023-1 Final Distribution Date. Notwithstanding the foregoing, if an Amortization Event, Liquidation Event of Default, Waiver Event or Series 2023-1 Limited Liquidation Event of Default shall have occurred and be continuing then, in certain circumstances, principal on the Class C Notes may be paid earlier, as described in the Indenture. All payments of interest on, and principal of, the Class C Notes will be subordinated to the payment of interest on, and principal of, as applicable, the Class A Notes and the Class B Notes, as set forth in the Series 2023-1 Supplement. All principal payments on the Class C Notes shall be made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to the Noteholders entitled thereto.</w:t>
      </w:r>
    </w:p>
    <w:p>
      <w:pPr>
        <w:spacing w:after="0" w:line="188" w:lineRule="exact"/>
        <w:rPr>
          <w:sz w:val="20"/>
          <w:szCs w:val="20"/>
          <w:color w:val="auto"/>
        </w:rPr>
      </w:pPr>
    </w:p>
    <w:p>
      <w:pPr>
        <w:jc w:val="both"/>
        <w:ind w:right="60"/>
        <w:spacing w:after="0"/>
        <w:rPr>
          <w:sz w:val="20"/>
          <w:szCs w:val="20"/>
          <w:color w:val="auto"/>
        </w:rPr>
      </w:pPr>
      <w:r>
        <w:rPr>
          <w:rFonts w:ascii="Times New Roman" w:cs="Times New Roman" w:eastAsia="Times New Roman" w:hAnsi="Times New Roman"/>
          <w:sz w:val="22"/>
          <w:szCs w:val="22"/>
          <w:color w:val="auto"/>
        </w:rPr>
        <w:t>Payments of interest on this Class C Note due and payable on each Distribution Date, together with the installment of principal then due, if any, to the extent not in full payment of this Class C Note, shall be made by wire transfer for credit to the account designated by the Holder of record of this Class C Note (or one or more predecessor Class C Notes) on the Note Register as of the close of business on each Record Date, except that with respect to Class C Notes registered on the Record Date in the name of the nominee of the Clearing Agency (initially, such nominee to</w:t>
      </w:r>
    </w:p>
    <w:p>
      <w:pPr>
        <w:sectPr>
          <w:pgSz w:w="11900" w:h="16838" w:orient="portrait"/>
          <w:cols w:equalWidth="0" w:num="1">
            <w:col w:w="11240"/>
          </w:cols>
          <w:pgMar w:left="320" w:top="126"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C-2</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CLEARING AGENCY OR TO A NOMINEE OF SUCH SUCCESSOR CLEARING AGENCY. UNLESS THIS CLASS C NOTE IS PRESENTED BY AN AUTHORIZED REPRESENTATIVE OF THE DEPOSITORY TRUST COMPANY, A NEW YORK CORPORATION ("</w:t>
      </w: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rPr>
        <w:t>"), TO THE COMPANY OR ITS AGENT FOR REGISTRATION OF TRANSFER, EXCHANGE OR PAYMENT, AND ANY CLASS C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9"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22"/>
          <w:szCs w:val="22"/>
          <w:color w:val="auto"/>
        </w:rPr>
        <w:t>THE PRINCIPAL OF THIS CLASS C NOTE IS PAYABLE IN INSTALLMENTS AS SET FORTH HEREIN. ACCORDINGLY, THE OUTSTANDING PRINCIPAL AMOUNT OF THIS CLASS C NOTE AT ANY TIME MAY BE LESS THAN THE AMOUNT SHOWN ON THE FACE HEREOF.</w:t>
      </w:r>
    </w:p>
    <w:p>
      <w:pPr>
        <w:spacing w:after="0" w:line="168"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22"/>
          <w:szCs w:val="22"/>
          <w:color w:val="auto"/>
        </w:rPr>
        <w:t>INTERESTS IN THIS TEMPORARY GLOBAL NOTE MAY ONLY BE HELD BY NON-U.S. PERSONS AS SUCH TERM IS DEFINED IN REGULATION S OF THE SECURITIES ACT, AND MAY ONLY BE HELD IN BOOK-ENTRY FORM THROUGH EUROCLEAR OR CLEARSTREAM.</w:t>
      </w:r>
    </w:p>
    <w:p>
      <w:pPr>
        <w:spacing w:after="0" w:line="17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AVIS BUDGET RENTAL CAR FUNDING (AESOP) LLC</w:t>
      </w:r>
    </w:p>
    <w:p>
      <w:pPr>
        <w:spacing w:after="0" w:line="20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 xml:space="preserve">SERIES 2023-1 </w:t>
      </w:r>
      <w:r>
        <w:rPr>
          <w:rFonts w:ascii="Times New Roman" w:cs="Times New Roman" w:eastAsia="Times New Roman" w:hAnsi="Times New Roman"/>
          <w:sz w:val="22"/>
          <w:szCs w:val="22"/>
          <w:b w:val="1"/>
          <w:bCs w:val="1"/>
          <w:color w:val="FF0000"/>
          <w:strike w:val="1"/>
        </w:rPr>
        <w:t>8.70</w:t>
      </w:r>
      <w:r>
        <w:rPr>
          <w:rFonts w:ascii="Times New Roman" w:cs="Times New Roman" w:eastAsia="Times New Roman" w:hAnsi="Times New Roman"/>
          <w:sz w:val="22"/>
          <w:szCs w:val="22"/>
          <w:b w:val="1"/>
          <w:bCs w:val="1"/>
          <w:u w:val="single" w:color="auto"/>
          <w:color w:val="0000FF"/>
        </w:rPr>
        <w:t>6.23</w:t>
      </w:r>
      <w:r>
        <w:rPr>
          <w:rFonts w:ascii="Times New Roman" w:cs="Times New Roman" w:eastAsia="Times New Roman" w:hAnsi="Times New Roman"/>
          <w:sz w:val="22"/>
          <w:szCs w:val="22"/>
          <w:b w:val="1"/>
          <w:bCs w:val="1"/>
          <w:color w:val="auto"/>
        </w:rPr>
        <w:t>% RENTAL CAR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ASSET BACKED NOTES, CLASS C</w:t>
      </w:r>
    </w:p>
    <w:p>
      <w:pPr>
        <w:spacing w:after="0" w:line="169"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22"/>
          <w:szCs w:val="22"/>
          <w:color w:val="auto"/>
        </w:rPr>
        <w:t>AVIS BUDGET RENTAL CAR FUNDING (AESOP) LLC, a Delaware limited liability company (herein referred to as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for value received, hereby promises to pay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Cede &amp; Co., or registered assigns, the principal sum of [_______________________________] DOLLARS (or such lesser</w:t>
      </w:r>
    </w:p>
    <w:p>
      <w:pPr>
        <w:spacing w:after="0" w:line="4" w:lineRule="exact"/>
        <w:rPr>
          <w:sz w:val="20"/>
          <w:szCs w:val="20"/>
          <w:color w:val="auto"/>
        </w:rPr>
      </w:pPr>
    </w:p>
    <w:p>
      <w:pPr>
        <w:jc w:val="both"/>
        <w:ind w:right="60"/>
        <w:spacing w:after="0" w:line="235" w:lineRule="auto"/>
        <w:rPr>
          <w:sz w:val="20"/>
          <w:szCs w:val="20"/>
          <w:color w:val="auto"/>
        </w:rPr>
      </w:pPr>
      <w:r>
        <w:rPr>
          <w:rFonts w:ascii="Times New Roman" w:cs="Times New Roman" w:eastAsia="Times New Roman" w:hAnsi="Times New Roman"/>
          <w:sz w:val="22"/>
          <w:szCs w:val="22"/>
          <w:color w:val="auto"/>
        </w:rPr>
        <w:t xml:space="preserve">amount as shall be the outstanding principal amount of this Temporary Global Note shown in Schedule A hereto), which amount shall be payable in the amounts and at the times set forth in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entire unpaid principal amount of this Class C Note shall be due on the Series 2023-1 Final Distribution Date, which is the April 2029 Distribution Date. However, principal with respect to the Class C Notes may be paid earlier or later under certain limited circumstances described in the Indenture. The Company will pay interest on this Class C Note at the Class C Note Rate. Such interest shall be payable on each Distribution Date until the principal of this Class C Note is paid or made available for payment. Interest on this Class C Note will accrue for each Distribution Date from the most recent Distribution Date on which interest has been paid to but excluding such Distribution Date or, if no interest has yet been paid, from </w:t>
      </w:r>
      <w:r>
        <w:rPr>
          <w:rFonts w:ascii="Times New Roman" w:cs="Times New Roman" w:eastAsia="Times New Roman" w:hAnsi="Times New Roman"/>
          <w:sz w:val="22"/>
          <w:szCs w:val="22"/>
          <w:color w:val="FF0000"/>
          <w:strike w:val="1"/>
        </w:rPr>
        <w:t>January 17</w:t>
      </w:r>
      <w:r>
        <w:rPr>
          <w:rFonts w:ascii="Times New Roman" w:cs="Times New Roman" w:eastAsia="Times New Roman" w:hAnsi="Times New Roman"/>
          <w:sz w:val="22"/>
          <w:szCs w:val="22"/>
          <w:u w:val="single" w:color="auto"/>
          <w:color w:val="0000FF"/>
        </w:rPr>
        <w:t>February 5</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2023</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auto"/>
        </w:rPr>
        <w:t>. Interest with respect to the Class C Notes will be calculated in the manner provided in the Indenture. Such principal of and interest on this Class C Note shall be paid in the manner specified on the reverse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6333490</wp:posOffset>
            </wp:positionH>
            <wp:positionV relativeFrom="paragraph">
              <wp:posOffset>-344170</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C-2</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[REVERSE OF CLASS C NOTE]</w:t>
      </w:r>
    </w:p>
    <w:p>
      <w:pPr>
        <w:spacing w:after="0" w:line="224"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22"/>
          <w:szCs w:val="22"/>
          <w:color w:val="auto"/>
        </w:rPr>
        <w:t xml:space="preserve">This Class C Note is one of a duly authorized issue of Class C Notes of the Company, designated as its Series 2023-1 </w:t>
      </w:r>
      <w:r>
        <w:rPr>
          <w:rFonts w:ascii="Times New Roman" w:cs="Times New Roman" w:eastAsia="Times New Roman" w:hAnsi="Times New Roman"/>
          <w:sz w:val="22"/>
          <w:szCs w:val="22"/>
          <w:color w:val="FF0000"/>
          <w:strike w:val="1"/>
        </w:rPr>
        <w:t>8.70</w:t>
      </w:r>
      <w:r>
        <w:rPr>
          <w:rFonts w:ascii="Times New Roman" w:cs="Times New Roman" w:eastAsia="Times New Roman" w:hAnsi="Times New Roman"/>
          <w:sz w:val="22"/>
          <w:szCs w:val="22"/>
          <w:u w:val="single" w:color="auto"/>
          <w:color w:val="0000FF"/>
        </w:rPr>
        <w:t>6.23</w:t>
      </w:r>
      <w:r>
        <w:rPr>
          <w:rFonts w:ascii="Times New Roman" w:cs="Times New Roman" w:eastAsia="Times New Roman" w:hAnsi="Times New Roman"/>
          <w:sz w:val="22"/>
          <w:szCs w:val="22"/>
          <w:color w:val="000000"/>
        </w:rPr>
        <w:t>% Rental Car Asset Backed Notes, Class C (herein called the "</w:t>
      </w:r>
      <w:r>
        <w:rPr>
          <w:rFonts w:ascii="Times New Roman" w:cs="Times New Roman" w:eastAsia="Times New Roman" w:hAnsi="Times New Roman"/>
          <w:sz w:val="22"/>
          <w:szCs w:val="22"/>
          <w:u w:val="single" w:color="auto"/>
          <w:color w:val="000000"/>
        </w:rPr>
        <w:t>Class C Notes</w:t>
      </w:r>
      <w:r>
        <w:rPr>
          <w:rFonts w:ascii="Times New Roman" w:cs="Times New Roman" w:eastAsia="Times New Roman" w:hAnsi="Times New Roman"/>
          <w:sz w:val="22"/>
          <w:szCs w:val="22"/>
          <w:color w:val="000000"/>
        </w:rPr>
        <w:t>"), all issued under (i) a Second Amended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Restated Base Indenture, dated as of June 3, 2004 (such Base Indenture, as may be further amended, restated, supplemented or modified in accordance with its terms (exclusive of any Supplements thereto creating a new Series of Notes), is herein called the "</w:t>
      </w:r>
      <w:r>
        <w:rPr>
          <w:rFonts w:ascii="Times New Roman" w:cs="Times New Roman" w:eastAsia="Times New Roman" w:hAnsi="Times New Roman"/>
          <w:sz w:val="22"/>
          <w:szCs w:val="22"/>
          <w:u w:val="single" w:color="auto"/>
          <w:color w:val="000000"/>
        </w:rPr>
        <w:t>Base Indenture</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u w:val="single" w:color="auto"/>
          <w:color w:val="000000"/>
        </w:rPr>
        <w:t>,</w:t>
      </w:r>
      <w:r>
        <w:rPr>
          <w:rFonts w:ascii="Times New Roman" w:cs="Times New Roman" w:eastAsia="Times New Roman" w:hAnsi="Times New Roman"/>
          <w:sz w:val="22"/>
          <w:szCs w:val="22"/>
          <w:color w:val="000000"/>
        </w:rPr>
        <w:t xml:space="preserve"> between the Company, as Issuer, and The Bank of New York Mellon Trust Company, N.A. (as successor in interest to The Bank of New York), as trustee (the "</w:t>
      </w:r>
      <w:r>
        <w:rPr>
          <w:rFonts w:ascii="Times New Roman" w:cs="Times New Roman" w:eastAsia="Times New Roman" w:hAnsi="Times New Roman"/>
          <w:sz w:val="22"/>
          <w:szCs w:val="22"/>
          <w:u w:val="single" w:color="auto"/>
          <w:color w:val="000000"/>
        </w:rPr>
        <w:t>Trustee</w:t>
      </w:r>
      <w:r>
        <w:rPr>
          <w:rFonts w:ascii="Times New Roman" w:cs="Times New Roman" w:eastAsia="Times New Roman" w:hAnsi="Times New Roman"/>
          <w:sz w:val="22"/>
          <w:szCs w:val="22"/>
          <w:color w:val="000000"/>
        </w:rPr>
        <w:t>," which term includes any successor Trustee under the Base Indenture), and (ii) a Series 2023-1 Supplement, dated as of January 17, 2023 (such supplement, as may be amended or modified, is herein called the "</w:t>
      </w:r>
      <w:r>
        <w:rPr>
          <w:rFonts w:ascii="Times New Roman" w:cs="Times New Roman" w:eastAsia="Times New Roman" w:hAnsi="Times New Roman"/>
          <w:sz w:val="22"/>
          <w:szCs w:val="22"/>
          <w:u w:val="single" w:color="auto"/>
          <w:color w:val="000000"/>
        </w:rPr>
        <w:t>Series 2023-1 Supplement</w:t>
      </w:r>
      <w:r>
        <w:rPr>
          <w:rFonts w:ascii="Times New Roman" w:cs="Times New Roman" w:eastAsia="Times New Roman" w:hAnsi="Times New Roman"/>
          <w:sz w:val="22"/>
          <w:szCs w:val="22"/>
          <w:color w:val="000000"/>
        </w:rPr>
        <w:t>"), among the Company, the Trustee and The Bank of New York Mellon Trust Company, N.A., as Series 2023-1 Agent. The Base Indenture and the Series 2023-1 Supplement are referred to herein as the "</w:t>
      </w:r>
      <w:r>
        <w:rPr>
          <w:rFonts w:ascii="Times New Roman" w:cs="Times New Roman" w:eastAsia="Times New Roman" w:hAnsi="Times New Roman"/>
          <w:sz w:val="22"/>
          <w:szCs w:val="22"/>
          <w:u w:val="single" w:color="auto"/>
          <w:color w:val="000000"/>
        </w:rPr>
        <w:t>Indenture</w:t>
      </w:r>
      <w:r>
        <w:rPr>
          <w:rFonts w:ascii="Times New Roman" w:cs="Times New Roman" w:eastAsia="Times New Roman" w:hAnsi="Times New Roman"/>
          <w:sz w:val="22"/>
          <w:szCs w:val="22"/>
          <w:color w:val="000000"/>
        </w:rPr>
        <w:t>". The Class C Notes are subject to all terms of the Indenture. To the extent not defined herein, all terms used in this Class C Note that are defined in the Indenture shall have the meanings assigned to them in or pursuant to the Indenture.</w:t>
      </w:r>
    </w:p>
    <w:p>
      <w:pPr>
        <w:spacing w:after="0" w:line="188"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22"/>
          <w:szCs w:val="22"/>
          <w:color w:val="auto"/>
        </w:rPr>
        <w:t>The Class C Notes are and will be equally and ratably secured by the Series 2023-1 Collateral pledged as security therefor as provided in the Indenture.</w:t>
      </w:r>
    </w:p>
    <w:p>
      <w:pPr>
        <w:spacing w:after="0" w:line="144"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22"/>
          <w:szCs w:val="22"/>
          <w:color w:val="auto"/>
        </w:rPr>
        <w:t>Interest on the Class C Notes will be payable on each Distribution Date specified in and in the amounts described in the Indenture. "</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xml:space="preserve">" means the 20th day of each month, or, if any such date is not a Business Day, the next succeeding Business Day, commencing on </w:t>
      </w:r>
      <w:r>
        <w:rPr>
          <w:rFonts w:ascii="Times New Roman" w:cs="Times New Roman" w:eastAsia="Times New Roman" w:hAnsi="Times New Roman"/>
          <w:sz w:val="22"/>
          <w:szCs w:val="22"/>
          <w:color w:val="FF0000"/>
          <w:strike w:val="1"/>
        </w:rPr>
        <w:t>February 21</w:t>
      </w:r>
      <w:r>
        <w:rPr>
          <w:rFonts w:ascii="Times New Roman" w:cs="Times New Roman" w:eastAsia="Times New Roman" w:hAnsi="Times New Roman"/>
          <w:sz w:val="22"/>
          <w:szCs w:val="22"/>
          <w:u w:val="single" w:color="auto"/>
          <w:color w:val="0000FF"/>
        </w:rPr>
        <w:t>March 20</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2023</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21"/>
          <w:szCs w:val="21"/>
          <w:color w:val="auto"/>
        </w:rPr>
        <w:t xml:space="preserve">Commencing on the Distribution Date following the second Determination Date during the Series 2023-1 Controlled Amortization Period, payments with respect to principal will be made on the Class C Notes. In addition, beginning on the first Distribution Date during the Series 2023-1 Rapid Amortization Period on which the Class A Notes and the Class B Notes have been paid in full, payments with respect to principal will be made on the Class C Notes. As described above, the entire unpaid principal amount of this Class C Note shall be due and payable on the Series 2023-1 Final Distribution Date. Notwithstanding the foregoing, if an Amortization Event, Liquidation Event of Default, Waiver Event or Series 2023-1 Limited Liquidation Event of Default shall have occurred and be continuing then, in certain circumstances, principal on the Class C Notes may be paid earlier, as described in the Indenture. All payments of interest on, and principal of, the Class C Notes will be subordinated to the payment of interest on, and principal of, as applicable, the Class A Notes and the Class B Notes, as set forth in the Series 2023-1 Supplement. All principal payments on the Class C Notes shall be made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to the Noteholders entitled thereto.</w:t>
      </w:r>
    </w:p>
    <w:p>
      <w:pPr>
        <w:spacing w:after="0" w:line="175" w:lineRule="exact"/>
        <w:rPr>
          <w:sz w:val="20"/>
          <w:szCs w:val="20"/>
          <w:color w:val="auto"/>
        </w:rPr>
      </w:pPr>
    </w:p>
    <w:p>
      <w:pPr>
        <w:jc w:val="both"/>
        <w:ind w:right="120"/>
        <w:spacing w:after="0" w:line="243" w:lineRule="auto"/>
        <w:rPr>
          <w:sz w:val="20"/>
          <w:szCs w:val="20"/>
          <w:color w:val="auto"/>
        </w:rPr>
      </w:pPr>
      <w:r>
        <w:rPr>
          <w:rFonts w:ascii="Times New Roman" w:cs="Times New Roman" w:eastAsia="Times New Roman" w:hAnsi="Times New Roman"/>
          <w:sz w:val="22"/>
          <w:szCs w:val="22"/>
          <w:color w:val="auto"/>
        </w:rPr>
        <w:t>Payments of interest on this Class C Note due and payable on each Distribution Date, together with the installment of principal then due, if any, to the extent not in full payment of this Class C Note, shall be made by wire transfer for credit to the account designated by the Holder of record of this Class C Note (or one or more predecessor Class C Notes) on the Note Register as of the close of business on each Record Date, except that with respect to Class C Notes registered on the Record Date in the name of the nominee of the Clearing Agency (initially, such nominee to</w:t>
      </w:r>
    </w:p>
    <w:p>
      <w:pPr>
        <w:sectPr>
          <w:pgSz w:w="11900" w:h="16838" w:orient="portrait"/>
          <w:cols w:equalWidth="0" w:num="1">
            <w:col w:w="11160"/>
          </w:cols>
          <w:pgMar w:left="400" w:top="126"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C-3</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6"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22"/>
          <w:szCs w:val="22"/>
          <w:color w:val="auto"/>
        </w:rPr>
        <w:t>THE PRINCIPAL OF THIS CLASS C NOTE IS PAYABLE IN INSTALLMENTS AS SET FORTH HEREIN. ACCORDINGLY, THE OUTSTANDING PRINCIPAL AMOUNT OF THIS CLASS C NOTE AT ANY TIME MAY BE LESS THAN THE AMOUNT SHOWN ON THE FACE HEREOF.</w:t>
      </w:r>
    </w:p>
    <w:p>
      <w:pPr>
        <w:spacing w:after="0" w:line="16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AVIS BUDGET RENTAL CAR FUNDING (AESOP) LLC</w:t>
      </w:r>
    </w:p>
    <w:p>
      <w:pPr>
        <w:spacing w:after="0" w:line="22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 xml:space="preserve">SERIES 2023-1 </w:t>
      </w:r>
      <w:r>
        <w:rPr>
          <w:rFonts w:ascii="Times New Roman" w:cs="Times New Roman" w:eastAsia="Times New Roman" w:hAnsi="Times New Roman"/>
          <w:sz w:val="22"/>
          <w:szCs w:val="22"/>
          <w:b w:val="1"/>
          <w:bCs w:val="1"/>
          <w:color w:val="FF0000"/>
          <w:strike w:val="1"/>
        </w:rPr>
        <w:t>8.70</w:t>
      </w:r>
      <w:r>
        <w:rPr>
          <w:rFonts w:ascii="Times New Roman" w:cs="Times New Roman" w:eastAsia="Times New Roman" w:hAnsi="Times New Roman"/>
          <w:sz w:val="22"/>
          <w:szCs w:val="22"/>
          <w:b w:val="1"/>
          <w:bCs w:val="1"/>
          <w:u w:val="single" w:color="auto"/>
          <w:color w:val="0000FF"/>
        </w:rPr>
        <w:t>6.23</w:t>
      </w:r>
      <w:r>
        <w:rPr>
          <w:rFonts w:ascii="Times New Roman" w:cs="Times New Roman" w:eastAsia="Times New Roman" w:hAnsi="Times New Roman"/>
          <w:sz w:val="22"/>
          <w:szCs w:val="22"/>
          <w:b w:val="1"/>
          <w:bCs w:val="1"/>
          <w:color w:val="auto"/>
        </w:rPr>
        <w:t>% RENTAL CAR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ASSET BACKED NOTES, CLASS C</w:t>
      </w:r>
    </w:p>
    <w:p>
      <w:pPr>
        <w:spacing w:after="0" w:line="182"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2"/>
          <w:szCs w:val="22"/>
          <w:color w:val="auto"/>
        </w:rPr>
        <w:t>AVIS BUDGET RENTAL CAR FUNDING (AESOP) LLC, a Delaware limited liability company (herein referred to as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for value received, hereby promises to pay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Cede &amp; Co., or registered assigns, the principal sum of [_____________________________]</w:t>
      </w:r>
    </w:p>
    <w:p>
      <w:pPr>
        <w:spacing w:after="0" w:line="4" w:lineRule="exact"/>
        <w:rPr>
          <w:sz w:val="20"/>
          <w:szCs w:val="20"/>
          <w:color w:val="auto"/>
        </w:rPr>
      </w:pPr>
    </w:p>
    <w:p>
      <w:pPr>
        <w:jc w:val="both"/>
        <w:ind w:right="60"/>
        <w:spacing w:after="0" w:line="236" w:lineRule="auto"/>
        <w:rPr>
          <w:sz w:val="20"/>
          <w:szCs w:val="20"/>
          <w:color w:val="auto"/>
        </w:rPr>
      </w:pPr>
      <w:r>
        <w:rPr>
          <w:rFonts w:ascii="Times New Roman" w:cs="Times New Roman" w:eastAsia="Times New Roman" w:hAnsi="Times New Roman"/>
          <w:sz w:val="22"/>
          <w:szCs w:val="22"/>
          <w:color w:val="auto"/>
        </w:rPr>
        <w:t xml:space="preserve">DOLLARS, which amount shall be payable in the amounts and at the times set forth in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entire unpaid principal amount of this Class C Note shall be due on the Series 2023-1 Final Distribution Date, which is the April 2029 Distribution Date. However, principal with respect to the Class C Notes may be paid earlier or later under certain limited circumstances described in the Indenture. The Company will pay interest on this Class C Note at the Class C Note Rate. Such interest shall be payable on each Distribution Date until the principal of this Class C Note is paid or made available for payment. Interest on this Class C Note will accrue for each Distribution Date from the most recent Distribution Date on which interest has been paid to but excluding such Distribution Date or, if no interest has yet been paid, from </w:t>
      </w:r>
      <w:r>
        <w:rPr>
          <w:rFonts w:ascii="Times New Roman" w:cs="Times New Roman" w:eastAsia="Times New Roman" w:hAnsi="Times New Roman"/>
          <w:sz w:val="22"/>
          <w:szCs w:val="22"/>
          <w:color w:val="FF0000"/>
          <w:strike w:val="1"/>
        </w:rPr>
        <w:t>January 17</w:t>
      </w:r>
      <w:r>
        <w:rPr>
          <w:rFonts w:ascii="Times New Roman" w:cs="Times New Roman" w:eastAsia="Times New Roman" w:hAnsi="Times New Roman"/>
          <w:sz w:val="22"/>
          <w:szCs w:val="22"/>
          <w:u w:val="single" w:color="auto"/>
          <w:color w:val="0000FF"/>
        </w:rPr>
        <w:t>February 5</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2023</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000000"/>
        </w:rPr>
        <w:t>. Interest with respect to the Class C Notes will be calculated in the manner provided in the Indenture. Such principal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 and interest on this Class C Note shall be paid in the manner specified on the reverse hereof.</w:t>
      </w:r>
    </w:p>
    <w:p>
      <w:pPr>
        <w:spacing w:after="0" w:line="181" w:lineRule="exact"/>
        <w:rPr>
          <w:sz w:val="20"/>
          <w:szCs w:val="20"/>
          <w:color w:val="auto"/>
        </w:rPr>
      </w:pPr>
    </w:p>
    <w:p>
      <w:pPr>
        <w:jc w:val="both"/>
        <w:ind w:right="140"/>
        <w:spacing w:after="0" w:line="241" w:lineRule="auto"/>
        <w:rPr>
          <w:sz w:val="20"/>
          <w:szCs w:val="20"/>
          <w:color w:val="auto"/>
        </w:rPr>
      </w:pPr>
      <w:r>
        <w:rPr>
          <w:rFonts w:ascii="Times New Roman" w:cs="Times New Roman" w:eastAsia="Times New Roman" w:hAnsi="Times New Roman"/>
          <w:sz w:val="22"/>
          <w:szCs w:val="22"/>
          <w:color w:val="auto"/>
        </w:rPr>
        <w:t>The principal of and interest on this Class C Note are payable in such coin or currency of the United States of America as at the time of payment is legal tender for payment of public and private debts. All payments made by the Company with respect to this Class C Note shall be applied first to interest due and payable on this Class C Note as provided above and then to the unpaid principal of this Class C Note. This Class C Note does not represent an interest in, or an obligation of, Original AESOP, AESOP Leasing, AESOP Leasing II, ABCR, BRAC, ARAC or any affiliate of Original AESOP, AESOP Leasing, AESOP Leasing II, ABCR, BRAC or ARAC, other than the Company.</w:t>
      </w:r>
    </w:p>
    <w:p>
      <w:pPr>
        <w:spacing w:after="0" w:line="190" w:lineRule="exact"/>
        <w:rPr>
          <w:sz w:val="20"/>
          <w:szCs w:val="20"/>
          <w:color w:val="auto"/>
        </w:rPr>
      </w:pPr>
    </w:p>
    <w:p>
      <w:pPr>
        <w:jc w:val="both"/>
        <w:ind w:right="120"/>
        <w:spacing w:after="0"/>
        <w:rPr>
          <w:sz w:val="20"/>
          <w:szCs w:val="20"/>
          <w:color w:val="auto"/>
        </w:rPr>
      </w:pPr>
      <w:r>
        <w:rPr>
          <w:rFonts w:ascii="Times New Roman" w:cs="Times New Roman" w:eastAsia="Times New Roman" w:hAnsi="Times New Roman"/>
          <w:sz w:val="22"/>
          <w:szCs w:val="22"/>
          <w:color w:val="auto"/>
        </w:rPr>
        <w:t>Reference is made to the further provisions of this Class C Note set forth on the reverse hereof, which shall have the same effect as though fully set forth on the face of this Class C Note. Although a summary of certain provisions of the Indenture is set forth below and on the reverse hereof and made a part hereof, this Class C Note does not purport to summarize the Indenture and reference is made to the Indenture for information with respect to the interests, rights, benefits, obligations, proceeds and duties evidenced hereby and the rights, duties and obligations</w:t>
      </w:r>
    </w:p>
    <w:p>
      <w:pPr>
        <w:sectPr>
          <w:pgSz w:w="11900" w:h="16838" w:orient="portrait"/>
          <w:cols w:equalWidth="0" w:num="1">
            <w:col w:w="11240"/>
          </w:cols>
          <w:pgMar w:left="320" w:top="126"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C-3</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[REVERSE OF CLASS C NOTE]</w:t>
      </w:r>
    </w:p>
    <w:p>
      <w:pPr>
        <w:spacing w:after="0" w:line="224"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22"/>
          <w:szCs w:val="22"/>
          <w:color w:val="auto"/>
        </w:rPr>
        <w:t xml:space="preserve">This Class C Note is one of a duly authorized issue of Class C Notes of the Company, designated as its Series 2023-1 </w:t>
      </w:r>
      <w:r>
        <w:rPr>
          <w:rFonts w:ascii="Times New Roman" w:cs="Times New Roman" w:eastAsia="Times New Roman" w:hAnsi="Times New Roman"/>
          <w:sz w:val="22"/>
          <w:szCs w:val="22"/>
          <w:color w:val="FF0000"/>
          <w:strike w:val="1"/>
        </w:rPr>
        <w:t>8.70</w:t>
      </w:r>
      <w:r>
        <w:rPr>
          <w:rFonts w:ascii="Times New Roman" w:cs="Times New Roman" w:eastAsia="Times New Roman" w:hAnsi="Times New Roman"/>
          <w:sz w:val="22"/>
          <w:szCs w:val="22"/>
          <w:u w:val="single" w:color="auto"/>
          <w:color w:val="0000FF"/>
        </w:rPr>
        <w:t>6.23</w:t>
      </w:r>
      <w:r>
        <w:rPr>
          <w:rFonts w:ascii="Times New Roman" w:cs="Times New Roman" w:eastAsia="Times New Roman" w:hAnsi="Times New Roman"/>
          <w:sz w:val="22"/>
          <w:szCs w:val="22"/>
          <w:color w:val="auto"/>
        </w:rPr>
        <w:t>% Rental Car Asset Backed Notes, Class C (herein called the "</w:t>
      </w:r>
      <w:r>
        <w:rPr>
          <w:rFonts w:ascii="Times New Roman" w:cs="Times New Roman" w:eastAsia="Times New Roman" w:hAnsi="Times New Roman"/>
          <w:sz w:val="22"/>
          <w:szCs w:val="22"/>
          <w:u w:val="single" w:color="auto"/>
          <w:color w:val="auto"/>
        </w:rPr>
        <w:t>Class C Notes</w:t>
      </w:r>
      <w:r>
        <w:rPr>
          <w:rFonts w:ascii="Times New Roman" w:cs="Times New Roman" w:eastAsia="Times New Roman" w:hAnsi="Times New Roman"/>
          <w:sz w:val="22"/>
          <w:szCs w:val="22"/>
          <w:color w:val="auto"/>
        </w:rPr>
        <w:t>"), all issued under (i) a Second Amended and Restated Base Indenture, dated as of June 3, 2004 (such Base Indenture, as may be further amended, restated, supplemented or modified in accordance with its terms (exclusive of any Supplements thereto creating a new Series of Notes), is herein called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between the Company, as Issuer, and The Bank of New York Mellon Trust Company, N.A. (as successor in interest to The Bank of New York),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which term includes any successor Trustee under the Base Indenture), and (ii) a Series 2023-1 Supplement, dated as of January 17, 2023 (such supplement, as may be amended or modified, is herein called the "</w:t>
      </w:r>
      <w:r>
        <w:rPr>
          <w:rFonts w:ascii="Times New Roman" w:cs="Times New Roman" w:eastAsia="Times New Roman" w:hAnsi="Times New Roman"/>
          <w:sz w:val="22"/>
          <w:szCs w:val="22"/>
          <w:u w:val="single" w:color="auto"/>
          <w:color w:val="auto"/>
        </w:rPr>
        <w:t>Series 2023-1 Supplement</w:t>
      </w:r>
      <w:r>
        <w:rPr>
          <w:rFonts w:ascii="Times New Roman" w:cs="Times New Roman" w:eastAsia="Times New Roman" w:hAnsi="Times New Roman"/>
          <w:sz w:val="22"/>
          <w:szCs w:val="22"/>
          <w:color w:val="auto"/>
        </w:rPr>
        <w:t>"), among the Company, the Trustee and The Bank of New York Mellon Trust Company, N.A., as Series 2023-1 Agent. The Base Indenture and the Series 2023-1 Supplement are referred to herein as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The Class C Notes are subject to all terms of the Indenture. To the extent not defined herein, all terms used in this Class C Note that are defined in the Indenture shall have the meanings assigned to them in or pursuant to the Indenture.</w:t>
      </w:r>
    </w:p>
    <w:p>
      <w:pPr>
        <w:spacing w:after="0" w:line="188"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22"/>
          <w:szCs w:val="22"/>
          <w:color w:val="auto"/>
        </w:rPr>
        <w:t>The Class C Notes are and will be equally and ratably secured by the Series 2023-1 Collateral pledged as security therefor as provided in the Indenture.</w:t>
      </w:r>
    </w:p>
    <w:p>
      <w:pPr>
        <w:spacing w:after="0" w:line="144"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22"/>
          <w:szCs w:val="22"/>
          <w:color w:val="auto"/>
        </w:rPr>
        <w:t>Interest on the Class C Notes will be payable on each Distribution Date specified in and in the amounts described in the Indenture. "</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xml:space="preserve">" means the 20th day of each month, or, if any such date is not a Business Day, the next succeeding Business Day, commencing on </w:t>
      </w:r>
      <w:r>
        <w:rPr>
          <w:rFonts w:ascii="Times New Roman" w:cs="Times New Roman" w:eastAsia="Times New Roman" w:hAnsi="Times New Roman"/>
          <w:sz w:val="22"/>
          <w:szCs w:val="22"/>
          <w:color w:val="FF0000"/>
          <w:strike w:val="1"/>
        </w:rPr>
        <w:t>February 21</w:t>
      </w:r>
      <w:r>
        <w:rPr>
          <w:rFonts w:ascii="Times New Roman" w:cs="Times New Roman" w:eastAsia="Times New Roman" w:hAnsi="Times New Roman"/>
          <w:sz w:val="22"/>
          <w:szCs w:val="22"/>
          <w:u w:val="single" w:color="auto"/>
          <w:color w:val="0000FF"/>
        </w:rPr>
        <w:t>March 20</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2023</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21"/>
          <w:szCs w:val="21"/>
          <w:color w:val="auto"/>
        </w:rPr>
        <w:t xml:space="preserve">Commencing on the Distribution Date following the second Determination Date during the Series 2023-1 Controlled Amortization Period, payments with respect to principal will be made on the Class C Notes. In addition, beginning on the first Distribution Date during the Series 2023-1 Rapid Amortization Period on which the Class A Notes and the Class B Notes have been paid in full, payments with respect to principal will be made on the Class C Notes. As described above, the entire unpaid principal amount of this Class C Note shall be due and payable on the Series 2023-1 Final Distribution Date. Notwithstanding the foregoing, if an Amortization Event, Liquidation Event of Default, Waiver Event or Series 2023-1 Limited Liquidation Event of Default shall have occurred and be continuing then, in certain circumstances, principal on the Class C Notes may be paid earlier, as described in the Indenture. All payments of interest on, and principal of, the Class C Notes will be subordinated to the payment of interest on, and principal of, as applicable, the Class A Notes and the Class B Notes, as set forth in the Series 2023-1 Supplement. All principal payments on the Class C Notes shall be made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to the Noteholders entitled thereto.</w:t>
      </w:r>
    </w:p>
    <w:p>
      <w:pPr>
        <w:spacing w:after="0" w:line="161" w:lineRule="exact"/>
        <w:rPr>
          <w:sz w:val="20"/>
          <w:szCs w:val="20"/>
          <w:color w:val="auto"/>
        </w:rPr>
      </w:pPr>
    </w:p>
    <w:p>
      <w:pPr>
        <w:jc w:val="both"/>
        <w:ind w:right="140"/>
        <w:spacing w:after="0" w:line="217" w:lineRule="auto"/>
        <w:rPr>
          <w:sz w:val="20"/>
          <w:szCs w:val="20"/>
          <w:color w:val="auto"/>
        </w:rPr>
      </w:pPr>
      <w:r>
        <w:rPr>
          <w:rFonts w:ascii="Times New Roman" w:cs="Times New Roman" w:eastAsia="Times New Roman" w:hAnsi="Times New Roman"/>
          <w:sz w:val="22"/>
          <w:szCs w:val="22"/>
          <w:color w:val="auto"/>
        </w:rPr>
        <w:t>Payments of interest on this Class C Note due and payable on each Distribution Date, together with the installment of principal then due, if any, to the extent not in full payment of this Class C Note, shall be made by wire transfer for credit to the account designated by the Holder of record of this Class C Note (or one or more predecessor Class C Notes) on the Note Register as of the close of business on each Record Date, except that with respect to Class C Notes registered on the Record Date in the name of the nominee of the Clearing Agency (initially, such nominee to</w:t>
      </w:r>
    </w:p>
    <w:p>
      <w:pPr>
        <w:sectPr>
          <w:pgSz w:w="11900" w:h="16838" w:orient="portrait"/>
          <w:cols w:equalWidth="0" w:num="1">
            <w:col w:w="11240"/>
          </w:cols>
          <w:pgMar w:left="320" w:top="126"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FIRST AMENDMENT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SERIES 2023-2 SUPPLEMENT</w:t>
      </w:r>
    </w:p>
    <w:p>
      <w:pPr>
        <w:spacing w:after="0" w:line="19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This FIRST AMENDMENT TO SERIES 2023-2 SUPPLEMENT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February 5, 2024 amends the Series 2023-2 Supplement (the “</w:t>
      </w:r>
      <w:r>
        <w:rPr>
          <w:rFonts w:ascii="Times New Roman" w:cs="Times New Roman" w:eastAsia="Times New Roman" w:hAnsi="Times New Roman"/>
          <w:sz w:val="22"/>
          <w:szCs w:val="22"/>
          <w:u w:val="single" w:color="auto"/>
          <w:color w:val="auto"/>
        </w:rPr>
        <w:t>Series 2023-2 Supplement</w:t>
      </w:r>
      <w:r>
        <w:rPr>
          <w:rFonts w:ascii="Times New Roman" w:cs="Times New Roman" w:eastAsia="Times New Roman" w:hAnsi="Times New Roman"/>
          <w:sz w:val="22"/>
          <w:szCs w:val="22"/>
          <w:color w:val="auto"/>
        </w:rPr>
        <w:t>”), dated as of January 17, 2023,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and THE BANK OF NEW YORK MELLON TRUST COMPANY, N.A., a national banking association,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as agent for the benefit of the Series 2023-2 Noteholders (in such capacity, the “</w:t>
      </w:r>
      <w:r>
        <w:rPr>
          <w:rFonts w:ascii="Times New Roman" w:cs="Times New Roman" w:eastAsia="Times New Roman" w:hAnsi="Times New Roman"/>
          <w:sz w:val="22"/>
          <w:szCs w:val="22"/>
          <w:u w:val="single" w:color="auto"/>
          <w:color w:val="auto"/>
        </w:rPr>
        <w:t>Series 2023-2 Agent</w:t>
      </w:r>
      <w:r>
        <w:rPr>
          <w:rFonts w:ascii="Times New Roman" w:cs="Times New Roman" w:eastAsia="Times New Roman" w:hAnsi="Times New Roman"/>
          <w:sz w:val="22"/>
          <w:szCs w:val="22"/>
          <w:color w:val="auto"/>
        </w:rPr>
        <w:t>”),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All capitalized terms used herein and not otherwise defined herein shall have the respective meanings provided therefor in the Definitions List attached as Schedule I to the Base Indenture (as amended through the date hereof) or the Series 2023-2 Supplement, as applicable.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pursuant to Section 12.2 of the Base Indenture, any Supplement thereto may be amended (i) with the consent of ABRCF, the Trustee, any applicable Enhancement Provider and in connection with certain amendments, either the Required Noteholders of a Series of Notes or each affected Noteholder, as applicable and (ii) upon satisfying the Rating Agency Consent Condition;</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pursuant to Section 5.7 of the Series 2023-2 Supplement, the Series 2023-2 Supplement may be amended in accordance the terms of the Base Indenture;</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parties desire to amend the Series 2023-2 Supplement to revise the definition of “Class C Note Rate” and to make conforming revisions in connection therewith;</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Issuer has determined that the Class C Noteholders and the Class R Noteholders are the affected Noteholders with respect to the revisions contemplated hereby; and</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WHEREAS, ABRCF has requested the Trustee, the Series 2023-2 Agent and the affected Noteholders to, and, upon the effectiveness of this Amendment, ABRCF, the Trustee, the Series 2023-2 Agent, the Class C Noteholders and the Class R Noteholders have agreed to, make the amendments described above as set forth herein.</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220" w:lineRule="exact"/>
        <w:rPr>
          <w:sz w:val="20"/>
          <w:szCs w:val="20"/>
          <w:color w:val="auto"/>
        </w:rPr>
      </w:pPr>
    </w:p>
    <w:p>
      <w:pPr>
        <w:jc w:val="both"/>
        <w:ind w:firstLine="1304"/>
        <w:spacing w:after="0" w:line="257"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The Series 2023-2 Supplement is hereby amended by deleting the stricken text (indicated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adding the inserted text (indicated in the same manner as the following example: </w:t>
      </w:r>
      <w:r>
        <w:rPr>
          <w:rFonts w:ascii="Times New Roman" w:cs="Times New Roman" w:eastAsia="Times New Roman" w:hAnsi="Times New Roman"/>
          <w:sz w:val="22"/>
          <w:szCs w:val="22"/>
          <w:b w:val="1"/>
          <w:bCs w:val="1"/>
          <w:u w:val="single" w:color="auto"/>
          <w:color w:val="0070C0"/>
        </w:rPr>
        <w:t>inserted text</w:t>
      </w:r>
      <w:r>
        <w:rPr>
          <w:rFonts w:ascii="Times New Roman" w:cs="Times New Roman" w:eastAsia="Times New Roman" w:hAnsi="Times New Roman"/>
          <w:sz w:val="22"/>
          <w:szCs w:val="22"/>
          <w:color w:val="auto"/>
        </w:rPr>
        <w:t xml:space="preserve">) as set forth on the pages of the Series 2023-2 Supplement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ectPr>
          <w:pgSz w:w="11900" w:h="16838" w:orient="portrait"/>
          <w:cols w:equalWidth="0" w:num="1">
            <w:col w:w="11240"/>
          </w:cols>
          <w:pgMar w:left="320" w:top="122" w:right="339" w:bottom="1440" w:gutter="0" w:footer="0" w:header="0"/>
        </w:sectPr>
      </w:pPr>
    </w:p>
    <w:bookmarkStart w:id="75" w:name="page76"/>
    <w:bookmarkEnd w:id="75"/>
    <w:p>
      <w:pPr>
        <w:spacing w:after="0" w:line="198" w:lineRule="exact"/>
        <w:rPr>
          <w:sz w:val="20"/>
          <w:szCs w:val="20"/>
          <w:color w:val="auto"/>
        </w:rPr>
      </w:pPr>
    </w:p>
    <w:p>
      <w:pPr>
        <w:jc w:val="both"/>
        <w:ind w:firstLine="1304"/>
        <w:spacing w:after="0" w:line="256"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Direction</w:t>
      </w:r>
      <w:r>
        <w:rPr>
          <w:rFonts w:ascii="Times New Roman" w:cs="Times New Roman" w:eastAsia="Times New Roman" w:hAnsi="Times New Roman"/>
          <w:sz w:val="22"/>
          <w:szCs w:val="22"/>
          <w:color w:val="auto"/>
        </w:rPr>
        <w:t>. By their signatures hereto, each of the undersigned (excluding The Bank of New York Mellon Trust Company, N.A., in its capacity as Trustee and Series 2023-2 Agent) hereby authorize and direct the Trustee and Series 2023-2 Agent to execute this Amendment and take any and all further action necessary or appropriate to give effect to the transaction contemplated hereby.</w:t>
      </w:r>
    </w:p>
    <w:p>
      <w:pPr>
        <w:spacing w:after="0" w:line="176"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limited as specified and, except as expressly stated herein, shall not constitute a modification, acceptance or waiver of any other provision of the Series 2023-2 Supplement.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on the date hereof upon satisfaction of the Rating Agency Consent Condition. From and after the date hereof, all references to the Series 2023-2 Supplement shall be deemed to be references to the Series 2023-2 Supplement as amended hereby.</w:t>
      </w:r>
    </w:p>
    <w:p>
      <w:pPr>
        <w:spacing w:after="0" w:line="16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any number of counterparts, each of which so executed shall be deemed to be an original, but all of such counterparts shall together constitute but one and the same instrument. Delivery of an executed counterpart of a signature page to this Amendment by facsimile or electronic mail in a “pdf” file shall be effective as delivery of a manually executed counterpart of this Amendment. The parties agree that this Amendment may be executed and delivered by electronic signatures and that the signatures appearing on this Amendment are the same as handwritten signatures for the purposes of validity, enforceability and admissibility. The words “execution,” “signed,” “signature,” “delivery,” and words of like import in or relating to this Amendment or any document to be signed in connection with this Amendment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88" w:lineRule="exact"/>
        <w:rPr>
          <w:rFonts w:ascii="Times New Roman" w:cs="Times New Roman" w:eastAsia="Times New Roman" w:hAnsi="Times New Roman"/>
          <w:sz w:val="22"/>
          <w:szCs w:val="22"/>
          <w:color w:val="auto"/>
        </w:rPr>
      </w:pPr>
    </w:p>
    <w:p>
      <w:pPr>
        <w:ind w:firstLine="1304"/>
        <w:spacing w:after="0" w:line="295" w:lineRule="auto"/>
        <w:tabs>
          <w:tab w:leader="none" w:pos="1944"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AND THE RIGHTS AND OBLIGATIONS OF THE PARTIES HEREUNDER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76" w:name="page77"/>
    <w:bookmarkEnd w:id="76"/>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hereto have caused this Amendment to be duly executed by their respective duly authorized officers as of the date above first written.</w:t>
      </w:r>
    </w:p>
    <w:p>
      <w:pPr>
        <w:spacing w:after="0" w:line="18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AVIS BUDGET RENTAL CAR FUNDING</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(AESOP) LLC, as Issuer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ectPr>
          <w:pgSz w:w="11900" w:h="16838" w:orient="portrait"/>
          <w:cols w:equalWidth="0" w:num="1">
            <w:col w:w="11220"/>
          </w:cols>
          <w:pgMar w:left="320" w:top="1422" w:right="35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26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TRUST COMPANY, N.A., as Trustee and</w:t>
      </w:r>
    </w:p>
    <w:p>
      <w:pPr>
        <w:spacing w:after="0" w:line="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Series 2023-2 Agent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2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019"/>
          </w:cols>
          <w:pgMar w:left="1440" w:top="1440" w:right="1440" w:bottom="1440" w:gutter="0" w:footer="0" w:header="0"/>
        </w:sectPr>
      </w:pPr>
    </w:p>
    <w:bookmarkStart w:id="78" w:name="page79"/>
    <w:bookmarkEnd w:id="78"/>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AGREED, ACKNOWLEDGED AND CONSENTED: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AVIS BUDGET RENTAL CAR</w:t>
      </w:r>
    </w:p>
    <w:p>
      <w:pPr>
        <w:spacing w:after="0" w:line="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FUNDING (AESOP) LLC,</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as Class C Noteholder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AESOP LEASING L.P.,</w:t>
      </w:r>
    </w:p>
    <w:p>
      <w:pPr>
        <w:spacing w:after="0" w:line="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as Class R Noteholder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AESOP LEASING CORP., as its general partner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ectPr>
          <w:pgSz w:w="11900" w:h="16838" w:orient="portrait"/>
          <w:cols w:equalWidth="0" w:num="1">
            <w:col w:w="10119"/>
          </w:cols>
          <w:pgMar w:left="340" w:top="1440" w:right="1440"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Amendments to Series 2023-2 Supplement</w:t>
      </w:r>
    </w:p>
    <w:p>
      <w:pPr>
        <w:sectPr>
          <w:pgSz w:w="11900" w:h="16838" w:orient="portrait"/>
          <w:cols w:equalWidth="0" w:num="1">
            <w:col w:w="9019"/>
          </w:cols>
          <w:pgMar w:left="1440" w:top="1422" w:right="1440"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0000FF"/>
        </w:rPr>
        <w:t>Conformed through</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0000FF"/>
        </w:rPr>
        <w:t>First Amendment dated February 5, 2024</w:t>
      </w:r>
    </w:p>
    <w:p>
      <w:pPr>
        <w:spacing w:after="0" w:line="2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FF0000"/>
          <w:strike w:val="1"/>
        </w:rPr>
        <w:t>Execution Version</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AVIS BUDGET RENTAL CAR FUNDING (AESOP) LLC,</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Issuer</w:t>
      </w:r>
    </w:p>
    <w:p>
      <w:pPr>
        <w:spacing w:after="0" w:line="200" w:lineRule="exact"/>
        <w:rPr>
          <w:sz w:val="20"/>
          <w:szCs w:val="20"/>
          <w:color w:val="auto"/>
        </w:rPr>
      </w:pPr>
    </w:p>
    <w:p>
      <w:pPr>
        <w:spacing w:after="0" w:line="21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THE BANK OF NEW YORK MELLON TRUST COMPANY, N.A.,</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Trustee and Series 2023-2 Agent</w:t>
      </w: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SERIES 2023-2 SUPPLEMENT</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January 17, 2023</w:t>
      </w:r>
    </w:p>
    <w:p>
      <w:pPr>
        <w:spacing w:after="0" w:line="200" w:lineRule="exact"/>
        <w:rPr>
          <w:sz w:val="20"/>
          <w:szCs w:val="20"/>
          <w:color w:val="auto"/>
        </w:rPr>
      </w:pPr>
    </w:p>
    <w:p>
      <w:pPr>
        <w:spacing w:after="0" w:line="23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to</w:t>
      </w:r>
    </w:p>
    <w:p>
      <w:pPr>
        <w:spacing w:after="0" w:line="200" w:lineRule="exact"/>
        <w:rPr>
          <w:sz w:val="20"/>
          <w:szCs w:val="20"/>
          <w:color w:val="auto"/>
        </w:rPr>
      </w:pPr>
    </w:p>
    <w:p>
      <w:pPr>
        <w:spacing w:after="0" w:line="2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SECOND AMENDED AND RESTATED BASE INDENTURE</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 June 3, 2004</w:t>
      </w: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90" w:lineRule="exact"/>
        <w:rPr>
          <w:sz w:val="20"/>
          <w:szCs w:val="20"/>
          <w:color w:val="auto"/>
        </w:rPr>
      </w:pPr>
    </w:p>
    <w:p>
      <w:pPr>
        <w:jc w:val="center"/>
        <w:ind w:left="1500" w:right="2600"/>
        <w:spacing w:after="0" w:line="272" w:lineRule="auto"/>
        <w:rPr>
          <w:sz w:val="20"/>
          <w:szCs w:val="20"/>
          <w:color w:val="auto"/>
        </w:rPr>
      </w:pPr>
      <w:r>
        <w:rPr>
          <w:rFonts w:ascii="Times New Roman" w:cs="Times New Roman" w:eastAsia="Times New Roman" w:hAnsi="Times New Roman"/>
          <w:sz w:val="21"/>
          <w:szCs w:val="21"/>
          <w:color w:val="auto"/>
        </w:rPr>
        <w:t xml:space="preserve">Series 2023-2 5.20% Rental Car Asset Backed Notes, Class A Series 2023-2 6.03% Rental Car Asset Backed Notes, Class B Series 2023-2 </w:t>
      </w:r>
      <w:r>
        <w:rPr>
          <w:rFonts w:ascii="Times New Roman" w:cs="Times New Roman" w:eastAsia="Times New Roman" w:hAnsi="Times New Roman"/>
          <w:sz w:val="21"/>
          <w:szCs w:val="21"/>
          <w:color w:val="FF0000"/>
          <w:strike w:val="1"/>
        </w:rPr>
        <w:t>8.55</w:t>
      </w:r>
      <w:r>
        <w:rPr>
          <w:rFonts w:ascii="Times New Roman" w:cs="Times New Roman" w:eastAsia="Times New Roman" w:hAnsi="Times New Roman"/>
          <w:sz w:val="21"/>
          <w:szCs w:val="21"/>
          <w:u w:val="single" w:color="auto"/>
          <w:color w:val="0000FF"/>
        </w:rPr>
        <w:t>6.18</w:t>
      </w:r>
      <w:r>
        <w:rPr>
          <w:rFonts w:ascii="Times New Roman" w:cs="Times New Roman" w:eastAsia="Times New Roman" w:hAnsi="Times New Roman"/>
          <w:sz w:val="21"/>
          <w:szCs w:val="21"/>
          <w:color w:val="auto"/>
        </w:rPr>
        <w:t>% Rental Car Asset Backed Notes, Class C Series 2023-2 10.476% Rental Car Asset Backed Notes, Class R</w:t>
      </w:r>
    </w:p>
    <w:p>
      <w:pPr>
        <w:sectPr>
          <w:pgSz w:w="11900" w:h="16838" w:orient="portrait"/>
          <w:cols w:equalWidth="0" w:num="1">
            <w:col w:w="10120"/>
          </w:cols>
          <w:pgMar w:left="1440" w:top="1440" w:right="339" w:bottom="1440" w:gutter="0" w:footer="0" w:header="0"/>
        </w:sectPr>
      </w:pPr>
    </w:p>
    <w:bookmarkStart w:id="81" w:name="page82"/>
    <w:bookmarkEnd w:id="81"/>
    <w:p>
      <w:pPr>
        <w:jc w:val="both"/>
        <w:ind w:left="80" w:firstLine="1296"/>
        <w:spacing w:after="0" w:line="238" w:lineRule="auto"/>
        <w:rPr>
          <w:sz w:val="20"/>
          <w:szCs w:val="20"/>
          <w:color w:val="auto"/>
        </w:rPr>
      </w:pPr>
      <w:r>
        <w:rPr>
          <w:rFonts w:ascii="Times New Roman" w:cs="Times New Roman" w:eastAsia="Times New Roman" w:hAnsi="Times New Roman"/>
          <w:sz w:val="22"/>
          <w:szCs w:val="22"/>
          <w:color w:val="auto"/>
        </w:rPr>
        <w:t>SERIES 2023-2 SUPPLEMENT, dated as of January 17, 2023 (this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THE BANK OF NEW YORK MELLON TRUST COMPANY, N.A. (formerly known as The Bank of New York), as agent (in such capacity, the "</w:t>
      </w:r>
      <w:r>
        <w:rPr>
          <w:rFonts w:ascii="Times New Roman" w:cs="Times New Roman" w:eastAsia="Times New Roman" w:hAnsi="Times New Roman"/>
          <w:sz w:val="22"/>
          <w:szCs w:val="22"/>
          <w:u w:val="single" w:color="auto"/>
          <w:color w:val="auto"/>
        </w:rPr>
        <w:t>Series 2023-2 Agent</w:t>
      </w:r>
      <w:r>
        <w:rPr>
          <w:rFonts w:ascii="Times New Roman" w:cs="Times New Roman" w:eastAsia="Times New Roman" w:hAnsi="Times New Roman"/>
          <w:sz w:val="22"/>
          <w:szCs w:val="22"/>
          <w:color w:val="auto"/>
        </w:rPr>
        <w:t>") for the benefit of the Series 2023-2 Noteholders,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PRELIMINARY STATEMENT</w:t>
      </w:r>
    </w:p>
    <w:p>
      <w:pPr>
        <w:spacing w:after="0" w:line="197" w:lineRule="exact"/>
        <w:rPr>
          <w:sz w:val="20"/>
          <w:szCs w:val="20"/>
          <w:color w:val="auto"/>
        </w:rPr>
      </w:pPr>
    </w:p>
    <w:p>
      <w:pPr>
        <w:jc w:val="both"/>
        <w:ind w:left="80" w:right="60" w:firstLine="1296"/>
        <w:spacing w:after="0" w:line="250" w:lineRule="auto"/>
        <w:rPr>
          <w:sz w:val="20"/>
          <w:szCs w:val="20"/>
          <w:color w:val="auto"/>
        </w:rPr>
      </w:pPr>
      <w:r>
        <w:rPr>
          <w:rFonts w:ascii="Times New Roman" w:cs="Times New Roman" w:eastAsia="Times New Roman" w:hAnsi="Times New Roman"/>
          <w:sz w:val="22"/>
          <w:szCs w:val="22"/>
          <w:color w:val="auto"/>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spacing w:after="0" w:line="16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NOW, THEREFORE, the parties hereto agree as follows: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DESIGNATION</w:t>
      </w:r>
    </w:p>
    <w:p>
      <w:pPr>
        <w:spacing w:after="0" w:line="210" w:lineRule="exact"/>
        <w:rPr>
          <w:sz w:val="20"/>
          <w:szCs w:val="20"/>
          <w:color w:val="auto"/>
        </w:rPr>
      </w:pPr>
    </w:p>
    <w:p>
      <w:pPr>
        <w:jc w:val="both"/>
        <w:ind w:left="80" w:right="60" w:firstLine="1296"/>
        <w:spacing w:after="0" w:line="243" w:lineRule="auto"/>
        <w:rPr>
          <w:sz w:val="20"/>
          <w:szCs w:val="20"/>
          <w:color w:val="auto"/>
        </w:rPr>
      </w:pPr>
      <w:r>
        <w:rPr>
          <w:rFonts w:ascii="Times New Roman" w:cs="Times New Roman" w:eastAsia="Times New Roman" w:hAnsi="Times New Roman"/>
          <w:sz w:val="22"/>
          <w:szCs w:val="22"/>
          <w:color w:val="auto"/>
        </w:rPr>
        <w:t>There is hereby created a Series of Notes to be issued pursuant to the Base Indenture and this Supplement, and such Series of Notes shall be designated generally as the "Series 2023-2 Rental Car Asset Backed Notes". The Series 2023-2 Notes shall be issued in up to five Classes, the first of which shall be known as the "Class A Notes", the second of which shall be known as the "Class B Notes", the third of which shall be known as the "Class C Notes", the fourth of which shall be known as the "Class R Notes" and the fifth of which, if issued, shall be known as the "Class D Notes".</w:t>
      </w:r>
    </w:p>
    <w:p>
      <w:pPr>
        <w:spacing w:after="0" w:line="164" w:lineRule="exact"/>
        <w:rPr>
          <w:sz w:val="20"/>
          <w:szCs w:val="20"/>
          <w:color w:val="auto"/>
        </w:rPr>
      </w:pPr>
    </w:p>
    <w:p>
      <w:pPr>
        <w:jc w:val="both"/>
        <w:ind w:left="80" w:right="60" w:firstLine="1296"/>
        <w:spacing w:after="0" w:line="243" w:lineRule="auto"/>
        <w:rPr>
          <w:sz w:val="20"/>
          <w:szCs w:val="20"/>
          <w:color w:val="auto"/>
        </w:rPr>
      </w:pPr>
      <w:r>
        <w:rPr>
          <w:rFonts w:ascii="Times New Roman" w:cs="Times New Roman" w:eastAsia="Times New Roman" w:hAnsi="Times New Roman"/>
          <w:sz w:val="22"/>
          <w:szCs w:val="22"/>
          <w:color w:val="auto"/>
        </w:rPr>
        <w:t xml:space="preserve">On the Series 2023-2 Closing Date, ABRCF shall issue (i) one tranche of Class A Notes, which shall be designated as the "Series 2023-2 5.20% Rental Car Asset Backed Notes, Class A", (ii) one tranche of Class B Notes, which shall be designated as the "Series 2023-2 6.03% Rental Car Asset Backed Notes, Class B", (iii) one tranche of Class C Notes, which shall be designated as the "Series 2023-2 </w:t>
      </w:r>
      <w:r>
        <w:rPr>
          <w:rFonts w:ascii="Times New Roman" w:cs="Times New Roman" w:eastAsia="Times New Roman" w:hAnsi="Times New Roman"/>
          <w:sz w:val="22"/>
          <w:szCs w:val="22"/>
          <w:color w:val="FF0000"/>
          <w:strike w:val="1"/>
        </w:rPr>
        <w:t>8.55</w:t>
      </w:r>
      <w:r>
        <w:rPr>
          <w:rFonts w:ascii="Times New Roman" w:cs="Times New Roman" w:eastAsia="Times New Roman" w:hAnsi="Times New Roman"/>
          <w:sz w:val="22"/>
          <w:szCs w:val="22"/>
          <w:u w:val="single" w:color="auto"/>
          <w:color w:val="0000FF"/>
        </w:rPr>
        <w:t>6.18</w:t>
      </w:r>
      <w:r>
        <w:rPr>
          <w:rFonts w:ascii="Times New Roman" w:cs="Times New Roman" w:eastAsia="Times New Roman" w:hAnsi="Times New Roman"/>
          <w:sz w:val="22"/>
          <w:szCs w:val="22"/>
          <w:color w:val="auto"/>
        </w:rPr>
        <w:t>% Rental Car Asset Backed Notes, Class C" and (iv) one tranche of Class R Notes, which shall be designated the "Series 2023-2 10.476% Rental Car Asset Backed Notes, Class R".</w:t>
      </w:r>
    </w:p>
    <w:p>
      <w:pPr>
        <w:spacing w:after="0" w:line="177" w:lineRule="exact"/>
        <w:rPr>
          <w:sz w:val="20"/>
          <w:szCs w:val="20"/>
          <w:color w:val="auto"/>
        </w:rPr>
      </w:pPr>
    </w:p>
    <w:p>
      <w:pPr>
        <w:jc w:val="both"/>
        <w:ind w:left="80" w:right="60" w:firstLine="1296"/>
        <w:spacing w:after="0" w:line="244" w:lineRule="auto"/>
        <w:rPr>
          <w:sz w:val="20"/>
          <w:szCs w:val="20"/>
          <w:color w:val="auto"/>
        </w:rPr>
      </w:pPr>
      <w:r>
        <w:rPr>
          <w:rFonts w:ascii="Times New Roman" w:cs="Times New Roman" w:eastAsia="Times New Roman" w:hAnsi="Times New Roman"/>
          <w:sz w:val="22"/>
          <w:szCs w:val="22"/>
          <w:color w:val="auto"/>
        </w:rPr>
        <w:t>Subsequent to the Series 2023-2 Closing Date, ABRCF may on any date during the Series 2023-2 Revolving Period offer and sell additional Series 2023-2 Notes subject to the conditions set forth in Section 5.15. Such additional Series 2023-2 Notes, if issued, shall be designated as the "Series 2023-2 Rental Car Asset Backed Notes, Class D" and shall be referred to herein as the "Class D Notes".</w:t>
      </w:r>
    </w:p>
    <w:p>
      <w:pPr>
        <w:spacing w:after="0" w:line="200" w:lineRule="exact"/>
        <w:rPr>
          <w:sz w:val="20"/>
          <w:szCs w:val="20"/>
          <w:color w:val="auto"/>
        </w:rPr>
      </w:pPr>
    </w:p>
    <w:p>
      <w:pPr>
        <w:ind w:right="20" w:firstLine="1652"/>
        <w:spacing w:after="0" w:line="271" w:lineRule="auto"/>
        <w:rPr>
          <w:sz w:val="20"/>
          <w:szCs w:val="20"/>
          <w:color w:val="auto"/>
        </w:rPr>
      </w:pPr>
      <w:r>
        <w:rPr>
          <w:rFonts w:ascii="Times New Roman" w:cs="Times New Roman" w:eastAsia="Times New Roman" w:hAnsi="Times New Roman"/>
          <w:sz w:val="22"/>
          <w:szCs w:val="22"/>
          <w:color w:val="auto"/>
        </w:rPr>
        <w:t>The Class A Notes, Class B Notes, Class C Notes, Class D Notes, if issued, and Class R Notes collectively, constitute the Series 2023-2 Notes. The Class B Notes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08" w:right="339" w:bottom="1440" w:gutter="0" w:footer="0" w:header="0"/>
        </w:sectPr>
      </w:pPr>
    </w:p>
    <w:bookmarkStart w:id="82" w:name="page83"/>
    <w:bookmarkEnd w:id="82"/>
    <w:p>
      <w:pPr>
        <w:jc w:val="both"/>
        <w:ind w:left="80" w:right="80"/>
        <w:spacing w:after="0" w:line="258" w:lineRule="auto"/>
        <w:rPr>
          <w:sz w:val="20"/>
          <w:szCs w:val="20"/>
          <w:color w:val="auto"/>
        </w:rPr>
      </w:pPr>
      <w:r>
        <w:rPr>
          <w:rFonts w:ascii="Times New Roman" w:cs="Times New Roman" w:eastAsia="Times New Roman" w:hAnsi="Times New Roman"/>
          <w:sz w:val="22"/>
          <w:szCs w:val="22"/>
          <w:color w:val="auto"/>
        </w:rPr>
        <w:t>an amount equal to the product of (A) one-twelfth of the Class B Note Rate and (B) the Class B Invested Amount on the first day of such Series 2023-2 Interest Period, after giving effect to any principal payments made on such date.</w:t>
      </w:r>
    </w:p>
    <w:p>
      <w:pPr>
        <w:spacing w:after="0" w:line="172" w:lineRule="exact"/>
        <w:rPr>
          <w:sz w:val="20"/>
          <w:szCs w:val="20"/>
          <w:color w:val="auto"/>
        </w:rPr>
      </w:pPr>
    </w:p>
    <w:p>
      <w:pPr>
        <w:jc w:val="both"/>
        <w:ind w:left="80" w:right="60" w:firstLine="123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w:t>
      </w:r>
      <w:r>
        <w:rPr>
          <w:rFonts w:ascii="Times New Roman" w:cs="Times New Roman" w:eastAsia="Times New Roman" w:hAnsi="Times New Roman"/>
          <w:sz w:val="22"/>
          <w:szCs w:val="22"/>
          <w:color w:val="auto"/>
        </w:rPr>
        <w:t xml:space="preserve">" means any one of the Series 2023-2 6.03% Rental Car Asset Backed Notes, Class B,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 Definitive Class B Notes shall have such insertions and deletions as are necessary to give effect to the provisions of Section 2.18 of the Base Indenture.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 Rate</w:t>
      </w:r>
      <w:r>
        <w:rPr>
          <w:rFonts w:ascii="Times New Roman" w:cs="Times New Roman" w:eastAsia="Times New Roman" w:hAnsi="Times New Roman"/>
          <w:sz w:val="22"/>
          <w:szCs w:val="22"/>
          <w:color w:val="auto"/>
        </w:rPr>
        <w:t>" means 6.03% per annum.</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Noteholder</w:t>
      </w:r>
      <w:r>
        <w:rPr>
          <w:rFonts w:ascii="Times New Roman" w:cs="Times New Roman" w:eastAsia="Times New Roman" w:hAnsi="Times New Roman"/>
          <w:sz w:val="22"/>
          <w:szCs w:val="22"/>
          <w:color w:val="auto"/>
        </w:rPr>
        <w:t>" means the Person in whose name a Class B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Shortfall</w:t>
      </w:r>
      <w:r>
        <w:rPr>
          <w:rFonts w:ascii="Times New Roman" w:cs="Times New Roman" w:eastAsia="Times New Roman" w:hAnsi="Times New Roman"/>
          <w:sz w:val="22"/>
          <w:szCs w:val="22"/>
          <w:color w:val="auto"/>
        </w:rPr>
        <w:t>" has the meaning set forth in Section 2.3(g)(ii).</w:t>
      </w:r>
    </w:p>
    <w:p>
      <w:pPr>
        <w:spacing w:after="0" w:line="206" w:lineRule="exact"/>
        <w:rPr>
          <w:sz w:val="20"/>
          <w:szCs w:val="20"/>
          <w:color w:val="auto"/>
        </w:rPr>
      </w:pPr>
    </w:p>
    <w:p>
      <w:pPr>
        <w:jc w:val="both"/>
        <w:ind w:left="80" w:right="60" w:firstLine="1231"/>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Carryover Controlled Amortization Amount</w:t>
      </w:r>
      <w:r>
        <w:rPr>
          <w:rFonts w:ascii="Times New Roman" w:cs="Times New Roman" w:eastAsia="Times New Roman" w:hAnsi="Times New Roman"/>
          <w:sz w:val="22"/>
          <w:szCs w:val="22"/>
          <w:color w:val="auto"/>
        </w:rPr>
        <w:t xml:space="preserve">" means, with respect to any Related Month during the Series 2023-2 Controlled Amortization Period, the amount, if any, by which the portion of the Monthly Total Principal Allocation paid to the Class C Noteholders pursuant to Section 2.5(e)(iii) for the previous Related Month was less than the Class C Controlled Distribution Amount for the previous Related Month;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for the first Related Month in the Series 2023-2 Controlled Amortization Period, the Class C Carryover Controlled Amortization Amount shall be zero.</w:t>
      </w:r>
    </w:p>
    <w:p>
      <w:pPr>
        <w:spacing w:after="0" w:line="177" w:lineRule="exact"/>
        <w:rPr>
          <w:sz w:val="20"/>
          <w:szCs w:val="20"/>
          <w:color w:val="auto"/>
        </w:rPr>
      </w:pPr>
    </w:p>
    <w:p>
      <w:pPr>
        <w:jc w:val="both"/>
        <w:ind w:left="80" w:right="60" w:firstLine="123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Controlled Amortization Amount</w:t>
      </w:r>
      <w:r>
        <w:rPr>
          <w:rFonts w:ascii="Times New Roman" w:cs="Times New Roman" w:eastAsia="Times New Roman" w:hAnsi="Times New Roman"/>
          <w:sz w:val="22"/>
          <w:szCs w:val="22"/>
          <w:color w:val="auto"/>
        </w:rPr>
        <w:t>" means, (i) with respect to any Related Month during the Series 2023-2 Controlled Amortization Period other than the Related Month immediately preceding the Series 2023-2 Expected Final Distribution Date, $6,123,333.33 and (ii) with respect to the Related Month immediately preceding the Series 2023-2 Expected Final Distribution Date, $6,123,333.35.</w:t>
      </w:r>
    </w:p>
    <w:p>
      <w:pPr>
        <w:spacing w:after="0" w:line="186" w:lineRule="exact"/>
        <w:rPr>
          <w:sz w:val="20"/>
          <w:szCs w:val="20"/>
          <w:color w:val="auto"/>
        </w:rPr>
      </w:pPr>
    </w:p>
    <w:p>
      <w:pPr>
        <w:jc w:val="both"/>
        <w:ind w:left="80" w:right="60" w:firstLine="1231"/>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Controlled Distribution Amount</w:t>
      </w:r>
      <w:r>
        <w:rPr>
          <w:rFonts w:ascii="Times New Roman" w:cs="Times New Roman" w:eastAsia="Times New Roman" w:hAnsi="Times New Roman"/>
          <w:sz w:val="22"/>
          <w:szCs w:val="22"/>
          <w:color w:val="auto"/>
        </w:rPr>
        <w:t>" means, with respect to any Related Month during the Series 2023-2 Controlled Amortization Period, an amount equal to the sum of the Class C Controlled Amortization Amount and any Class C Carryover Controlled Amortization Amount for such Related Month.</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Initial Invested Amount</w:t>
      </w:r>
      <w:r>
        <w:rPr>
          <w:rFonts w:ascii="Times New Roman" w:cs="Times New Roman" w:eastAsia="Times New Roman" w:hAnsi="Times New Roman"/>
          <w:sz w:val="22"/>
          <w:szCs w:val="22"/>
          <w:color w:val="auto"/>
        </w:rPr>
        <w:t>" means the aggregate initial principal amount of the Class C Notes, which is</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$36,740,000.</w:t>
      </w:r>
    </w:p>
    <w:p>
      <w:pPr>
        <w:spacing w:after="0" w:line="196" w:lineRule="exact"/>
        <w:rPr>
          <w:sz w:val="20"/>
          <w:szCs w:val="20"/>
          <w:color w:val="auto"/>
        </w:rPr>
      </w:pPr>
    </w:p>
    <w:p>
      <w:pPr>
        <w:jc w:val="both"/>
        <w:ind w:left="80" w:right="60" w:firstLine="1231"/>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Invested Amount</w:t>
      </w:r>
      <w:r>
        <w:rPr>
          <w:rFonts w:ascii="Times New Roman" w:cs="Times New Roman" w:eastAsia="Times New Roman" w:hAnsi="Times New Roman"/>
          <w:sz w:val="22"/>
          <w:szCs w:val="22"/>
          <w:color w:val="auto"/>
        </w:rPr>
        <w:t xml:space="preserve">" means, when used with respect to any date, an amount equal to (a) the Class C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C Noteholders on or prior to such date.</w:t>
      </w:r>
    </w:p>
    <w:p>
      <w:pPr>
        <w:spacing w:after="0" w:line="17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Monthly Interest</w:t>
      </w:r>
      <w:r>
        <w:rPr>
          <w:rFonts w:ascii="Times New Roman" w:cs="Times New Roman" w:eastAsia="Times New Roman" w:hAnsi="Times New Roman"/>
          <w:sz w:val="22"/>
          <w:szCs w:val="22"/>
          <w:color w:val="auto"/>
        </w:rPr>
        <w:t xml:space="preserve">" means, (A) for so long as ABRCF owns 100% of the Class C Notes, $0 and (B) if ABRCF owns less than 100% of the Class C Notes, with respect to (i) the initial Series 2023-2 Interest Period </w:t>
      </w:r>
      <w:r>
        <w:rPr>
          <w:rFonts w:ascii="Times New Roman" w:cs="Times New Roman" w:eastAsia="Times New Roman" w:hAnsi="Times New Roman"/>
          <w:sz w:val="22"/>
          <w:szCs w:val="22"/>
          <w:color w:val="0000FF"/>
        </w:rPr>
        <w:t>with respect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Class C Notes</w:t>
      </w:r>
      <w:r>
        <w:rPr>
          <w:rFonts w:ascii="Times New Roman" w:cs="Times New Roman" w:eastAsia="Times New Roman" w:hAnsi="Times New Roman"/>
          <w:sz w:val="22"/>
          <w:szCs w:val="22"/>
          <w:color w:val="000000"/>
        </w:rPr>
        <w:t>, an amount equal to $</w:t>
      </w:r>
      <w:r>
        <w:rPr>
          <w:rFonts w:ascii="Times New Roman" w:cs="Times New Roman" w:eastAsia="Times New Roman" w:hAnsi="Times New Roman"/>
          <w:sz w:val="22"/>
          <w:szCs w:val="22"/>
          <w:color w:val="FF0000"/>
          <w:strike w:val="1"/>
        </w:rPr>
        <w:t>287,949.75</w:t>
      </w:r>
      <w:r>
        <w:rPr>
          <w:rFonts w:ascii="Times New Roman" w:cs="Times New Roman" w:eastAsia="Times New Roman" w:hAnsi="Times New Roman"/>
          <w:sz w:val="22"/>
          <w:szCs w:val="22"/>
          <w:u w:val="single" w:color="auto"/>
          <w:color w:val="0000FF"/>
        </w:rPr>
        <w:t>283,816.50</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(ii) any other Series 2023-2 Interest Period, an amount equal to</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the product of (A) one-twelfth of the Class C Note Rate and (B) the Class C Invested Amount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-367030</wp:posOffset>
            </wp:positionV>
            <wp:extent cx="10604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060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first day of such Series 2023-2 Interest Period, after giving effect to any principal payments made on such date.</w:t>
      </w:r>
    </w:p>
    <w:p>
      <w:pPr>
        <w:spacing w:after="0" w:line="220" w:lineRule="exact"/>
        <w:rPr>
          <w:sz w:val="20"/>
          <w:szCs w:val="20"/>
          <w:color w:val="auto"/>
        </w:rPr>
      </w:pPr>
    </w:p>
    <w:p>
      <w:pPr>
        <w:jc w:val="both"/>
        <w:ind w:firstLine="1231"/>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C Note</w:t>
      </w:r>
      <w:r>
        <w:rPr>
          <w:rFonts w:ascii="Times New Roman" w:cs="Times New Roman" w:eastAsia="Times New Roman" w:hAnsi="Times New Roman"/>
          <w:sz w:val="21"/>
          <w:szCs w:val="21"/>
          <w:color w:val="auto"/>
        </w:rPr>
        <w:t xml:space="preserve">" means any one of the Series 2023-2 </w:t>
      </w:r>
      <w:r>
        <w:rPr>
          <w:rFonts w:ascii="Times New Roman" w:cs="Times New Roman" w:eastAsia="Times New Roman" w:hAnsi="Times New Roman"/>
          <w:sz w:val="21"/>
          <w:szCs w:val="21"/>
          <w:color w:val="FF0000"/>
          <w:strike w:val="1"/>
        </w:rPr>
        <w:t>8.55</w:t>
      </w:r>
      <w:r>
        <w:rPr>
          <w:rFonts w:ascii="Times New Roman" w:cs="Times New Roman" w:eastAsia="Times New Roman" w:hAnsi="Times New Roman"/>
          <w:sz w:val="21"/>
          <w:szCs w:val="21"/>
          <w:u w:val="single" w:color="auto"/>
          <w:color w:val="0000FF"/>
        </w:rPr>
        <w:t>6.18</w:t>
      </w:r>
      <w:r>
        <w:rPr>
          <w:rFonts w:ascii="Times New Roman" w:cs="Times New Roman" w:eastAsia="Times New Roman" w:hAnsi="Times New Roman"/>
          <w:sz w:val="21"/>
          <w:szCs w:val="21"/>
          <w:color w:val="auto"/>
        </w:rPr>
        <w:t xml:space="preserve">% Rental Car Asset Backed Notes, Class C, executed by ABRCF and authenticated by or on behalf of the Trustee, substantially in the form of </w:t>
      </w:r>
      <w:r>
        <w:rPr>
          <w:rFonts w:ascii="Times New Roman" w:cs="Times New Roman" w:eastAsia="Times New Roman" w:hAnsi="Times New Roman"/>
          <w:sz w:val="21"/>
          <w:szCs w:val="21"/>
          <w:u w:val="single" w:color="auto"/>
          <w:color w:val="auto"/>
        </w:rPr>
        <w:t>Exhibit C-1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Exhibit C-2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Exhibit C-3</w:t>
      </w:r>
      <w:r>
        <w:rPr>
          <w:rFonts w:ascii="Times New Roman" w:cs="Times New Roman" w:eastAsia="Times New Roman" w:hAnsi="Times New Roman"/>
          <w:sz w:val="21"/>
          <w:szCs w:val="21"/>
          <w:color w:val="auto"/>
        </w:rPr>
        <w:t>. Definitive Class C Notes shall have such insertions and deletions as are necessary to give effect to the provisions of Section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 of the Base Indenture.</w:t>
      </w:r>
    </w:p>
    <w:p>
      <w:pPr>
        <w:spacing w:after="0" w:line="18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 Rate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color w:val="FF0000"/>
          <w:strike w:val="1"/>
        </w:rPr>
        <w:t>8.55</w:t>
      </w:r>
      <w:r>
        <w:rPr>
          <w:rFonts w:ascii="Times New Roman" w:cs="Times New Roman" w:eastAsia="Times New Roman" w:hAnsi="Times New Roman"/>
          <w:sz w:val="22"/>
          <w:szCs w:val="22"/>
          <w:u w:val="single" w:color="auto"/>
          <w:color w:val="0000FF"/>
        </w:rPr>
        <w:t>6.18</w:t>
      </w:r>
      <w:r>
        <w:rPr>
          <w:rFonts w:ascii="Times New Roman" w:cs="Times New Roman" w:eastAsia="Times New Roman" w:hAnsi="Times New Roman"/>
          <w:sz w:val="22"/>
          <w:szCs w:val="22"/>
          <w:color w:val="auto"/>
        </w:rPr>
        <w:t>% per annum.</w:t>
      </w:r>
    </w:p>
    <w:p>
      <w:pPr>
        <w:spacing w:after="0" w:line="2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Noteholder</w:t>
      </w:r>
      <w:r>
        <w:rPr>
          <w:rFonts w:ascii="Times New Roman" w:cs="Times New Roman" w:eastAsia="Times New Roman" w:hAnsi="Times New Roman"/>
          <w:sz w:val="22"/>
          <w:szCs w:val="22"/>
          <w:color w:val="auto"/>
        </w:rPr>
        <w:t>" means the Person in whose name a Class C Note is registered in the Note Register.</w:t>
      </w:r>
    </w:p>
    <w:p>
      <w:pPr>
        <w:spacing w:after="0" w:line="20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Shortfall</w:t>
      </w:r>
      <w:r>
        <w:rPr>
          <w:rFonts w:ascii="Times New Roman" w:cs="Times New Roman" w:eastAsia="Times New Roman" w:hAnsi="Times New Roman"/>
          <w:sz w:val="22"/>
          <w:szCs w:val="22"/>
          <w:color w:val="auto"/>
        </w:rPr>
        <w:t>" has the meaning set forth in Section 2.3(g)(iii).</w:t>
      </w:r>
    </w:p>
    <w:p>
      <w:pPr>
        <w:spacing w:after="0" w:line="2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Noteholder</w:t>
      </w:r>
      <w:r>
        <w:rPr>
          <w:rFonts w:ascii="Times New Roman" w:cs="Times New Roman" w:eastAsia="Times New Roman" w:hAnsi="Times New Roman"/>
          <w:sz w:val="22"/>
          <w:szCs w:val="22"/>
          <w:color w:val="auto"/>
        </w:rPr>
        <w:t>" means the Person in whose name a Class D Note is registered in the Note Register.</w:t>
      </w:r>
    </w:p>
    <w:p>
      <w:pPr>
        <w:spacing w:after="0" w:line="20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Notes</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jc w:val="both"/>
        <w:ind w:firstLine="123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Controlled Amortization Amount</w:t>
      </w:r>
      <w:r>
        <w:rPr>
          <w:rFonts w:ascii="Times New Roman" w:cs="Times New Roman" w:eastAsia="Times New Roman" w:hAnsi="Times New Roman"/>
          <w:sz w:val="22"/>
          <w:szCs w:val="22"/>
          <w:color w:val="auto"/>
        </w:rPr>
        <w:t>" means, (i) with respect to any Related Month during the Series 2023-2 Controlled Amortization Period other than the Related Month immediately preceding the Series 2023-2 Expected Final Distribution Date, $0 and (ii) with respect to the Related Month immediately preceding the Series 2023-2 Expected Final Distribution Date, the sum of (x) $21,300,000 and (y) the aggregate principal amount of any Additional Class R Notes.</w:t>
      </w:r>
    </w:p>
    <w:p>
      <w:pPr>
        <w:spacing w:after="0" w:line="17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Initial Invested Amount</w:t>
      </w:r>
      <w:r>
        <w:rPr>
          <w:rFonts w:ascii="Times New Roman" w:cs="Times New Roman" w:eastAsia="Times New Roman" w:hAnsi="Times New Roman"/>
          <w:sz w:val="22"/>
          <w:szCs w:val="22"/>
          <w:color w:val="auto"/>
        </w:rPr>
        <w:t>" means the aggregate initial principal amount of the Class R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$21,300,000.</w:t>
      </w:r>
    </w:p>
    <w:p>
      <w:pPr>
        <w:spacing w:after="0" w:line="182" w:lineRule="exact"/>
        <w:rPr>
          <w:sz w:val="20"/>
          <w:szCs w:val="20"/>
          <w:color w:val="auto"/>
        </w:rPr>
      </w:pPr>
    </w:p>
    <w:p>
      <w:pPr>
        <w:jc w:val="both"/>
        <w:ind w:firstLine="1231"/>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R Invested Amount</w:t>
      </w:r>
      <w:r>
        <w:rPr>
          <w:rFonts w:ascii="Times New Roman" w:cs="Times New Roman" w:eastAsia="Times New Roman" w:hAnsi="Times New Roman"/>
          <w:sz w:val="21"/>
          <w:szCs w:val="21"/>
          <w:color w:val="auto"/>
        </w:rPr>
        <w:t xml:space="preserve">" means, when used with respect to any date, an amount equal to (a) the Class R Initial Invested Amount plus (b) the aggregate principal amount of any Additional Class R Notes issued on or prior to such date </w:t>
      </w:r>
      <w:r>
        <w:rPr>
          <w:rFonts w:ascii="Times New Roman" w:cs="Times New Roman" w:eastAsia="Times New Roman" w:hAnsi="Times New Roman"/>
          <w:sz w:val="21"/>
          <w:szCs w:val="21"/>
          <w:u w:val="single" w:color="auto"/>
          <w:color w:val="auto"/>
        </w:rPr>
        <w:t>minus</w:t>
      </w:r>
    </w:p>
    <w:p>
      <w:pPr>
        <w:spacing w:after="0"/>
        <w:rPr>
          <w:sz w:val="20"/>
          <w:szCs w:val="20"/>
          <w:color w:val="auto"/>
        </w:rPr>
      </w:pPr>
      <w:r>
        <w:rPr>
          <w:rFonts w:ascii="Times New Roman" w:cs="Times New Roman" w:eastAsia="Times New Roman" w:hAnsi="Times New Roman"/>
          <w:sz w:val="22"/>
          <w:szCs w:val="22"/>
          <w:color w:val="auto"/>
        </w:rPr>
        <w:t>(b) the amount of principal payments made to Class R Noteholders on or prior to such date.</w:t>
      </w:r>
    </w:p>
    <w:p>
      <w:pPr>
        <w:spacing w:after="0" w:line="196" w:lineRule="exact"/>
        <w:rPr>
          <w:sz w:val="20"/>
          <w:szCs w:val="20"/>
          <w:color w:val="auto"/>
        </w:rPr>
      </w:pPr>
    </w:p>
    <w:p>
      <w:pPr>
        <w:jc w:val="both"/>
        <w:ind w:firstLine="1231"/>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Monthly Interest</w:t>
      </w:r>
      <w:r>
        <w:rPr>
          <w:rFonts w:ascii="Times New Roman" w:cs="Times New Roman" w:eastAsia="Times New Roman" w:hAnsi="Times New Roman"/>
          <w:sz w:val="22"/>
          <w:szCs w:val="22"/>
          <w:color w:val="auto"/>
        </w:rPr>
        <w:t>" means, with respect to (i) the initial Series 2023-2 Interest Period, an amount equal to $204,540.58 and (ii) any other Series 2023-2 Interest Period, an amount equal to the product of (A) one-twelfth of the Class R Note Rate and (B) the Class R Invested Amount on the first day of such Series 2023-2 Interest Period, after giving effect to any principal payments made on such date.</w:t>
      </w:r>
    </w:p>
    <w:p>
      <w:pPr>
        <w:spacing w:after="0" w:line="18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R Note</w:t>
      </w:r>
      <w:r>
        <w:rPr>
          <w:rFonts w:ascii="Times New Roman" w:cs="Times New Roman" w:eastAsia="Times New Roman" w:hAnsi="Times New Roman"/>
          <w:sz w:val="21"/>
          <w:szCs w:val="21"/>
          <w:color w:val="auto"/>
        </w:rPr>
        <w:t>" means any one of the Series 2023-2 10.476% Rental Car Asset Backed Notes, Class R, executed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by ABRCF and authenticated by or on behalf of the Trustee, substantially in the form of </w:t>
      </w:r>
      <w:r>
        <w:rPr>
          <w:rFonts w:ascii="Times New Roman" w:cs="Times New Roman" w:eastAsia="Times New Roman" w:hAnsi="Times New Roman"/>
          <w:sz w:val="21"/>
          <w:szCs w:val="21"/>
          <w:u w:val="single" w:color="auto"/>
          <w:color w:val="auto"/>
        </w:rPr>
        <w:t>Exhibit D-1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Exhibit D-2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Exhibit 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3</w:t>
      </w:r>
      <w:r>
        <w:rPr>
          <w:rFonts w:ascii="Times New Roman" w:cs="Times New Roman" w:eastAsia="Times New Roman" w:hAnsi="Times New Roman"/>
          <w:sz w:val="21"/>
          <w:szCs w:val="21"/>
          <w:color w:val="auto"/>
        </w:rPr>
        <w:t>. Definitive Class R Notes shall have such insertions and deletions as are necessary to give effect to the provisions of 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2.18 of the Base Indenture.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100"/>
          </w:cols>
          <w:pgMar w:left="400" w:top="1422" w:right="399" w:bottom="1440" w:gutter="0" w:footer="0" w:header="0"/>
        </w:sectPr>
      </w:pPr>
    </w:p>
    <w:bookmarkStart w:id="84" w:name="page85"/>
    <w:bookmarkEnd w:id="84"/>
    <w:p>
      <w:pPr>
        <w:jc w:val="both"/>
        <w:ind w:right="60"/>
        <w:spacing w:after="0" w:line="271" w:lineRule="auto"/>
        <w:rPr>
          <w:sz w:val="20"/>
          <w:szCs w:val="20"/>
          <w:color w:val="auto"/>
        </w:rPr>
      </w:pPr>
      <w:r>
        <w:rPr>
          <w:rFonts w:ascii="Times New Roman" w:cs="Times New Roman" w:eastAsia="Times New Roman" w:hAnsi="Times New Roman"/>
          <w:sz w:val="22"/>
          <w:szCs w:val="22"/>
          <w:color w:val="auto"/>
        </w:rPr>
        <w:t>equal to the aggregate Net Book Value of all Vehicles manufactured by Tesla and leased under the Leases divided by the aggregate Net Book Value of all Vehicles leased under the Leases minus (y) 15 percentage points.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2023-2 Expected Final Distribution Date</w:t>
      </w:r>
      <w:r>
        <w:rPr>
          <w:rFonts w:ascii="Times New Roman" w:cs="Times New Roman" w:eastAsia="Times New Roman" w:hAnsi="Times New Roman"/>
          <w:sz w:val="22"/>
          <w:szCs w:val="22"/>
          <w:color w:val="auto"/>
        </w:rPr>
        <w:t>" means the October 2026 Distribution Date.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2023-2 Final Distribution Date</w:t>
      </w:r>
      <w:r>
        <w:rPr>
          <w:rFonts w:ascii="Times New Roman" w:cs="Times New Roman" w:eastAsia="Times New Roman" w:hAnsi="Times New Roman"/>
          <w:sz w:val="22"/>
          <w:szCs w:val="22"/>
          <w:color w:val="auto"/>
        </w:rPr>
        <w:t>" means the October 2027 Distribution Date.</w:t>
      </w:r>
    </w:p>
    <w:p>
      <w:pPr>
        <w:spacing w:after="0" w:line="206" w:lineRule="exact"/>
        <w:rPr>
          <w:sz w:val="20"/>
          <w:szCs w:val="20"/>
          <w:color w:val="auto"/>
        </w:rPr>
      </w:pPr>
    </w:p>
    <w:p>
      <w:pPr>
        <w:jc w:val="both"/>
        <w:ind w:right="80" w:firstLine="1296"/>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2023-2 Interest Period</w:t>
      </w:r>
      <w:r>
        <w:rPr>
          <w:rFonts w:ascii="Times New Roman" w:cs="Times New Roman" w:eastAsia="Times New Roman" w:hAnsi="Times New Roman"/>
          <w:sz w:val="22"/>
          <w:szCs w:val="22"/>
          <w:color w:val="auto"/>
        </w:rPr>
        <w:t xml:space="preserve">" means a period commencing on and including a Distribution Date and ending on and including the day preceding the next succeeding Distribution Date;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0000FF"/>
        </w:rPr>
        <w:t>(x)</w:t>
      </w:r>
      <w:r>
        <w:rPr>
          <w:rFonts w:ascii="Times New Roman" w:cs="Times New Roman" w:eastAsia="Times New Roman" w:hAnsi="Times New Roman"/>
          <w:sz w:val="22"/>
          <w:szCs w:val="22"/>
          <w:color w:val="auto"/>
        </w:rPr>
        <w:t xml:space="preserve"> the initial Series 2023-2 Interest Period </w:t>
      </w:r>
      <w:r>
        <w:rPr>
          <w:rFonts w:ascii="Times New Roman" w:cs="Times New Roman" w:eastAsia="Times New Roman" w:hAnsi="Times New Roman"/>
          <w:sz w:val="22"/>
          <w:szCs w:val="22"/>
          <w:u w:val="single" w:color="auto"/>
          <w:color w:val="0000FF"/>
        </w:rPr>
        <w:t>for the Class A Notes and the Class B Notes</w:t>
      </w:r>
      <w:r>
        <w:rPr>
          <w:rFonts w:ascii="Times New Roman" w:cs="Times New Roman" w:eastAsia="Times New Roman" w:hAnsi="Times New Roman"/>
          <w:sz w:val="22"/>
          <w:szCs w:val="22"/>
          <w:color w:val="auto"/>
        </w:rPr>
        <w:t xml:space="preserve"> shall commence on and include the Series 2023-2 Closing Date and end on and include February 20, 2023 </w:t>
      </w:r>
      <w:r>
        <w:rPr>
          <w:rFonts w:ascii="Times New Roman" w:cs="Times New Roman" w:eastAsia="Times New Roman" w:hAnsi="Times New Roman"/>
          <w:sz w:val="22"/>
          <w:szCs w:val="22"/>
          <w:color w:val="0000FF"/>
        </w:rPr>
        <w:t>and (y) the initial Series 2023-2 Interest Period for the Class C Notes shall commence 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and include February 5, 2024 and end on and include March 19, 2024</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-184785</wp:posOffset>
            </wp:positionV>
            <wp:extent cx="4982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4982210" cy="8255"/>
                    </a:xfrm>
                    <a:prstGeom prst="rect">
                      <a:avLst/>
                    </a:prstGeom>
                    <a:noFill/>
                  </pic:spPr>
                </pic:pic>
              </a:graphicData>
            </a:graphic>
          </wp:anchor>
        </w:drawing>
      </w:r>
    </w:p>
    <w:p>
      <w:pPr>
        <w:spacing w:after="0" w:line="173" w:lineRule="exact"/>
        <w:rPr>
          <w:sz w:val="20"/>
          <w:szCs w:val="20"/>
          <w:color w:val="auto"/>
        </w:rPr>
      </w:pPr>
    </w:p>
    <w:p>
      <w:pPr>
        <w:jc w:val="both"/>
        <w:ind w:right="6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2023-2 Invested Amount</w:t>
      </w:r>
      <w:r>
        <w:rPr>
          <w:rFonts w:ascii="Times New Roman" w:cs="Times New Roman" w:eastAsia="Times New Roman" w:hAnsi="Times New Roman"/>
          <w:sz w:val="22"/>
          <w:szCs w:val="22"/>
          <w:color w:val="auto"/>
        </w:rPr>
        <w:t>" means, as of any date of determination, the sum of the Class A Invested Amount as of such date, the Class B Invested Amount as of such date, the Class C Invested Amount as of such date and the Class R Invested Amount as of such date.</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2023-2 Invested Percentage</w:t>
      </w:r>
      <w:r>
        <w:rPr>
          <w:rFonts w:ascii="Times New Roman" w:cs="Times New Roman" w:eastAsia="Times New Roman" w:hAnsi="Times New Roman"/>
          <w:sz w:val="22"/>
          <w:szCs w:val="22"/>
          <w:color w:val="auto"/>
        </w:rPr>
        <w:t>" means as of any date of determination:</w:t>
      </w:r>
    </w:p>
    <w:p>
      <w:pPr>
        <w:spacing w:after="0" w:line="220" w:lineRule="exact"/>
        <w:rPr>
          <w:sz w:val="20"/>
          <w:szCs w:val="20"/>
          <w:color w:val="auto"/>
        </w:rPr>
      </w:pPr>
    </w:p>
    <w:p>
      <w:pPr>
        <w:jc w:val="both"/>
        <w:ind w:right="60" w:firstLine="1304"/>
        <w:spacing w:after="0" w:line="238"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used with respect to Principal Collections, the percentage equivalent (which percentage shall never exceed 100%) of a fraction, the numerator of which shall be equal to the sum of the Series 2023-2 Invested Amount and the Series 2023-2 Overcollateralization Amount, determined during the Series 2023-2 Revolving Period as of the end of the Related Month (or, until the end of the initial Related Month, on the Series 2023-2 Closing Date), or, during the Series 2023-2 Controlled Amortization Period and the Series 2023-2 Rapid Amortization Period, as of the end of the Series 2023-2 Revolving Period, and the denominator of which shall be the greater of (I) the Aggregate Asset Amount as of the end of the Related Month or, until the end of the initial Related Month, as of the Series 2023-2 Closing Date, and (II) as of the same date as in clause (I), the sum of the numerators used to determine the invested percentages for allocations with respect to Principal Collections (for all Series of Notes and all classes of such Series of Notes); and</w:t>
      </w:r>
    </w:p>
    <w:p>
      <w:pPr>
        <w:spacing w:after="0" w:line="185" w:lineRule="exact"/>
        <w:rPr>
          <w:rFonts w:ascii="Times New Roman" w:cs="Times New Roman" w:eastAsia="Times New Roman" w:hAnsi="Times New Roman"/>
          <w:sz w:val="22"/>
          <w:szCs w:val="22"/>
          <w:color w:val="auto"/>
        </w:rPr>
      </w:pPr>
    </w:p>
    <w:p>
      <w:pPr>
        <w:jc w:val="both"/>
        <w:ind w:right="60" w:firstLine="1304"/>
        <w:spacing w:after="0" w:line="241"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used with respect to Interest Collections, the percentage equivalent (which percentage shall never exceed 100%) of a fraction, the numerator of which shall be the Accrued Amounts with respect to the Series 2023-2 Notes on such date of determination, and the denominator of which shall be the aggregate Accrued Amounts with respect to all Series of Notes on such date of determination. For so long as ABRCF owns 100% of the Class C Notes, the accrued and unpaid interest with respect to the Class C Notes shall be $0 for purposes of calculating the Accrued Amounts with respect to the Series 2023-2 Notes.</w:t>
      </w:r>
    </w:p>
    <w:p>
      <w:pPr>
        <w:spacing w:after="0" w:line="19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2023-2 Lease Interest Payment Deficit</w:t>
      </w:r>
      <w:r>
        <w:rPr>
          <w:rFonts w:ascii="Times New Roman" w:cs="Times New Roman" w:eastAsia="Times New Roman" w:hAnsi="Times New Roman"/>
          <w:sz w:val="22"/>
          <w:szCs w:val="22"/>
          <w:color w:val="auto"/>
        </w:rPr>
        <w:t>" means, on any Distribution Date, an amount equal to the excess, if any, of (1) the excess, if any, of (a) the aggregate amount of Interest Collections which pursuant to Section 2.2(a), (b), (c) or (d) would have been allocated to</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08"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C-1</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20"/>
        <w:spacing w:after="0" w:line="248" w:lineRule="auto"/>
        <w:rPr>
          <w:sz w:val="20"/>
          <w:szCs w:val="20"/>
          <w:color w:val="auto"/>
        </w:rPr>
      </w:pPr>
      <w:r>
        <w:rPr>
          <w:rFonts w:ascii="Times New Roman" w:cs="Times New Roman" w:eastAsia="Times New Roman" w:hAnsi="Times New Roman"/>
          <w:sz w:val="22"/>
          <w:szCs w:val="22"/>
          <w:color w:val="auto"/>
        </w:rPr>
        <w:t>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9"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2"/>
          <w:szCs w:val="22"/>
          <w:color w:val="auto"/>
        </w:rPr>
        <w:t>THE PRINCIPAL OF THIS CLASS C NOTE IS PAYABLE IN INSTALLMENTS AS SET FORTH HEREIN. ACCORDINGLY, THE OUTSTANDING PRINCIPAL AMOUNT OF THIS CLASS C NOTE AT ANY TIME MAY BE LESS THAN THE AMOUNT SHOWN ON THE FACE HEREOF.</w:t>
      </w:r>
    </w:p>
    <w:p>
      <w:pPr>
        <w:spacing w:after="0" w:line="18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AVIS BUDGET RENTAL CAR FUNDING (AESOP) LLC</w:t>
      </w:r>
    </w:p>
    <w:p>
      <w:pPr>
        <w:spacing w:after="0" w:line="20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 xml:space="preserve">SERIES 2023-2 </w:t>
      </w:r>
      <w:r>
        <w:rPr>
          <w:rFonts w:ascii="Times New Roman" w:cs="Times New Roman" w:eastAsia="Times New Roman" w:hAnsi="Times New Roman"/>
          <w:sz w:val="22"/>
          <w:szCs w:val="22"/>
          <w:b w:val="1"/>
          <w:bCs w:val="1"/>
          <w:color w:val="FF0000"/>
          <w:strike w:val="1"/>
        </w:rPr>
        <w:t>8.55</w:t>
      </w:r>
      <w:r>
        <w:rPr>
          <w:rFonts w:ascii="Times New Roman" w:cs="Times New Roman" w:eastAsia="Times New Roman" w:hAnsi="Times New Roman"/>
          <w:sz w:val="22"/>
          <w:szCs w:val="22"/>
          <w:b w:val="1"/>
          <w:bCs w:val="1"/>
          <w:u w:val="single" w:color="auto"/>
          <w:color w:val="0000FF"/>
        </w:rPr>
        <w:t>6.18</w:t>
      </w:r>
      <w:r>
        <w:rPr>
          <w:rFonts w:ascii="Times New Roman" w:cs="Times New Roman" w:eastAsia="Times New Roman" w:hAnsi="Times New Roman"/>
          <w:sz w:val="22"/>
          <w:szCs w:val="22"/>
          <w:b w:val="1"/>
          <w:bCs w:val="1"/>
          <w:color w:val="auto"/>
        </w:rPr>
        <w:t>% RENTAL CAR ASSET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BACKED NOTES, CLASS C</w:t>
      </w:r>
    </w:p>
    <w:p>
      <w:pPr>
        <w:spacing w:after="0" w:line="182" w:lineRule="exact"/>
        <w:rPr>
          <w:sz w:val="20"/>
          <w:szCs w:val="20"/>
          <w:color w:val="auto"/>
        </w:rPr>
      </w:pPr>
    </w:p>
    <w:p>
      <w:pPr>
        <w:jc w:val="both"/>
        <w:ind w:right="140"/>
        <w:spacing w:after="0" w:line="248" w:lineRule="auto"/>
        <w:rPr>
          <w:sz w:val="20"/>
          <w:szCs w:val="20"/>
          <w:color w:val="auto"/>
        </w:rPr>
      </w:pPr>
      <w:r>
        <w:rPr>
          <w:rFonts w:ascii="Times New Roman" w:cs="Times New Roman" w:eastAsia="Times New Roman" w:hAnsi="Times New Roman"/>
          <w:sz w:val="22"/>
          <w:szCs w:val="22"/>
          <w:color w:val="auto"/>
        </w:rPr>
        <w:t>AVIS BUDGET RENTAL CAR FUNDING (AESOP) LLC, a Delaware limited liability company (herein referred to as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for value received, hereby promises to pay to</w:t>
      </w:r>
    </w:p>
    <w:p>
      <w:pPr>
        <w:spacing w:after="0" w:line="1" w:lineRule="exact"/>
        <w:rPr>
          <w:sz w:val="20"/>
          <w:szCs w:val="20"/>
          <w:color w:val="auto"/>
        </w:rPr>
      </w:pPr>
    </w:p>
    <w:p>
      <w:pPr>
        <w:spacing w:after="0"/>
        <w:tabs>
          <w:tab w:leader="none" w:pos="640" w:val="left"/>
          <w:tab w:leader="none" w:pos="1040" w:val="left"/>
          <w:tab w:leader="none" w:pos="1600" w:val="left"/>
          <w:tab w:leader="none" w:pos="2000" w:val="left"/>
          <w:tab w:leader="none" w:pos="3080" w:val="left"/>
          <w:tab w:leader="none" w:pos="3960" w:val="left"/>
          <w:tab w:leader="none" w:pos="4440" w:val="left"/>
          <w:tab w:leader="none" w:pos="5420" w:val="left"/>
          <w:tab w:leader="none" w:pos="6000" w:val="left"/>
        </w:tabs>
        <w:rPr>
          <w:sz w:val="20"/>
          <w:szCs w:val="20"/>
          <w:color w:val="auto"/>
        </w:rPr>
      </w:pPr>
      <w:r>
        <w:rPr>
          <w:rFonts w:ascii="Times New Roman" w:cs="Times New Roman" w:eastAsia="Times New Roman" w:hAnsi="Times New Roman"/>
          <w:sz w:val="22"/>
          <w:szCs w:val="22"/>
          <w:color w:val="auto"/>
        </w:rPr>
        <w:t>Cede</w:t>
        <w:tab/>
        <w:t>&amp;</w:t>
        <w:tab/>
        <w:t>Co.,</w:t>
        <w:tab/>
        <w:t>or</w:t>
        <w:tab/>
        <w:t>registered</w:t>
        <w:tab/>
        <w:t>assigns,</w:t>
        <w:tab/>
        <w:t>the</w:t>
        <w:tab/>
        <w:t>principal</w:t>
        <w:tab/>
        <w:t>sum</w:t>
      </w:r>
      <w:r>
        <w:rPr>
          <w:sz w:val="20"/>
          <w:szCs w:val="20"/>
          <w:color w:val="auto"/>
        </w:rPr>
        <w:tab/>
      </w:r>
      <w:r>
        <w:rPr>
          <w:rFonts w:ascii="Times New Roman" w:cs="Times New Roman" w:eastAsia="Times New Roman" w:hAnsi="Times New Roman"/>
          <w:sz w:val="21"/>
          <w:szCs w:val="21"/>
          <w:color w:val="auto"/>
        </w:rPr>
        <w:t>of</w:t>
      </w:r>
    </w:p>
    <w:p>
      <w:pPr>
        <w:spacing w:after="0" w:line="233" w:lineRule="auto"/>
        <w:rPr>
          <w:sz w:val="20"/>
          <w:szCs w:val="20"/>
          <w:color w:val="auto"/>
        </w:rPr>
      </w:pPr>
      <w:r>
        <w:rPr>
          <w:rFonts w:ascii="Times New Roman" w:cs="Times New Roman" w:eastAsia="Times New Roman" w:hAnsi="Times New Roman"/>
          <w:sz w:val="22"/>
          <w:szCs w:val="22"/>
          <w:color w:val="auto"/>
        </w:rPr>
        <w:t>[________________________________] DOLLARS, which amount shall be payable in the amounts and at the times set forth</w:t>
      </w:r>
    </w:p>
    <w:p>
      <w:pPr>
        <w:spacing w:after="0" w:line="1"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22"/>
          <w:szCs w:val="22"/>
          <w:color w:val="auto"/>
        </w:rPr>
        <w:t xml:space="preserve">in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entire unpaid principal amount of this Class C Note shall be due on the Series 2023-2 Final Distribution Date, which is the October 2027 Distribution Date. However, principal with respect to the Class C Notes may be paid earlier or later under certain limited circumstances described in the Indenture. The Company will pay interest on this Class C Note at the Class C Note Rate. Such interest shall be payable on each Distribution Date until the principal of this Class C Note is paid or made available for payment. Interest on this Class C Note will accrue for each Distribution Date from the most recent Distribution Date on which interest has been paid to but excluding such Distribution Date or, if no interest has yet been paid, from </w:t>
      </w:r>
      <w:r>
        <w:rPr>
          <w:rFonts w:ascii="Times New Roman" w:cs="Times New Roman" w:eastAsia="Times New Roman" w:hAnsi="Times New Roman"/>
          <w:sz w:val="22"/>
          <w:szCs w:val="22"/>
          <w:color w:val="FF0000"/>
          <w:strike w:val="1"/>
        </w:rPr>
        <w:t>January 17</w:t>
      </w:r>
      <w:r>
        <w:rPr>
          <w:rFonts w:ascii="Times New Roman" w:cs="Times New Roman" w:eastAsia="Times New Roman" w:hAnsi="Times New Roman"/>
          <w:sz w:val="22"/>
          <w:szCs w:val="22"/>
          <w:u w:val="single" w:color="auto"/>
          <w:color w:val="0000FF"/>
        </w:rPr>
        <w:t>February 5</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2023</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auto"/>
        </w:rPr>
        <w:t>. Interest with respect to the Class C Notes will be calculated in the manner provided in the Indenture. Such principal of and interest on this Class C Note shall be paid in the manner specified on the reverse hereof.</w:t>
      </w:r>
    </w:p>
    <w:p>
      <w:pPr>
        <w:spacing w:after="0" w:line="194" w:lineRule="exact"/>
        <w:rPr>
          <w:sz w:val="20"/>
          <w:szCs w:val="20"/>
          <w:color w:val="auto"/>
        </w:rPr>
      </w:pPr>
    </w:p>
    <w:p>
      <w:pPr>
        <w:jc w:val="both"/>
        <w:ind w:right="140"/>
        <w:spacing w:after="0" w:line="241" w:lineRule="auto"/>
        <w:rPr>
          <w:sz w:val="20"/>
          <w:szCs w:val="20"/>
          <w:color w:val="auto"/>
        </w:rPr>
      </w:pPr>
      <w:r>
        <w:rPr>
          <w:rFonts w:ascii="Times New Roman" w:cs="Times New Roman" w:eastAsia="Times New Roman" w:hAnsi="Times New Roman"/>
          <w:sz w:val="22"/>
          <w:szCs w:val="22"/>
          <w:color w:val="auto"/>
        </w:rPr>
        <w:t>The principal of and interest on this Class C Note are payable in such coin or currency of the United States of America as at the time of payment is legal tender for payment of public and private debts. All payments made by the Company with respect to this Class C Note shall be applied first to interest due and payable on this Class C Note as provided above and then to the unpaid principal of this Class C Note. This Class C Note does not represent an interest in, or an obligation of, Original AESOP, AESOP Leasing, AESOP Leasing II, ABCR, BRAC, ARAC or any affiliate of Original AESOP, AESOP Leasing, AESOP Leasing II, ABCR, BRAC or ARAC, other than the Company.</w:t>
      </w:r>
    </w:p>
    <w:p>
      <w:pPr>
        <w:spacing w:after="0" w:line="190" w:lineRule="exact"/>
        <w:rPr>
          <w:sz w:val="20"/>
          <w:szCs w:val="20"/>
          <w:color w:val="auto"/>
        </w:rPr>
      </w:pPr>
    </w:p>
    <w:p>
      <w:pPr>
        <w:jc w:val="both"/>
        <w:ind w:right="160"/>
        <w:spacing w:after="0" w:line="275" w:lineRule="auto"/>
        <w:rPr>
          <w:sz w:val="20"/>
          <w:szCs w:val="20"/>
          <w:color w:val="auto"/>
        </w:rPr>
      </w:pPr>
      <w:r>
        <w:rPr>
          <w:rFonts w:ascii="Times New Roman" w:cs="Times New Roman" w:eastAsia="Times New Roman" w:hAnsi="Times New Roman"/>
          <w:sz w:val="21"/>
          <w:szCs w:val="21"/>
          <w:color w:val="auto"/>
        </w:rPr>
        <w:t>Interests in this Class C Note are exchangeable or transferable in whole or in part for interests in a Restricted Global Note if this Class C Note is a Temporary Global Note, or for interests in a Temporary Global Note or a Permanent Global Note if this Class C Note is a Restricted Global Note (each as defined in the Base Indenture), in each case of the same Class and Series, provided</w:t>
      </w:r>
    </w:p>
    <w:p>
      <w:pPr>
        <w:sectPr>
          <w:pgSz w:w="11900" w:h="16838" w:orient="portrait"/>
          <w:cols w:equalWidth="0" w:num="1">
            <w:col w:w="11240"/>
          </w:cols>
          <w:pgMar w:left="320" w:top="126"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C-1</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[REVERSE OF CLASS C NOTE]</w:t>
      </w:r>
    </w:p>
    <w:p>
      <w:pPr>
        <w:spacing w:after="0" w:line="224"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22"/>
          <w:szCs w:val="22"/>
          <w:color w:val="auto"/>
        </w:rPr>
        <w:t xml:space="preserve">This Class C Note is one of a duly authorized issue of Class C Notes of the Company, designated as its Series 2023-2 </w:t>
      </w:r>
      <w:r>
        <w:rPr>
          <w:rFonts w:ascii="Times New Roman" w:cs="Times New Roman" w:eastAsia="Times New Roman" w:hAnsi="Times New Roman"/>
          <w:sz w:val="22"/>
          <w:szCs w:val="22"/>
          <w:color w:val="FF0000"/>
          <w:strike w:val="1"/>
        </w:rPr>
        <w:t>8.55</w:t>
      </w:r>
      <w:r>
        <w:rPr>
          <w:rFonts w:ascii="Times New Roman" w:cs="Times New Roman" w:eastAsia="Times New Roman" w:hAnsi="Times New Roman"/>
          <w:sz w:val="22"/>
          <w:szCs w:val="22"/>
          <w:u w:val="single" w:color="auto"/>
          <w:color w:val="0000FF"/>
        </w:rPr>
        <w:t>6.18</w:t>
      </w:r>
      <w:r>
        <w:rPr>
          <w:rFonts w:ascii="Times New Roman" w:cs="Times New Roman" w:eastAsia="Times New Roman" w:hAnsi="Times New Roman"/>
          <w:sz w:val="22"/>
          <w:szCs w:val="22"/>
          <w:color w:val="auto"/>
        </w:rPr>
        <w:t>% Rental Car Asset Backed Notes, Class C (herein called the "</w:t>
      </w:r>
      <w:r>
        <w:rPr>
          <w:rFonts w:ascii="Times New Roman" w:cs="Times New Roman" w:eastAsia="Times New Roman" w:hAnsi="Times New Roman"/>
          <w:sz w:val="22"/>
          <w:szCs w:val="22"/>
          <w:u w:val="single" w:color="auto"/>
          <w:color w:val="auto"/>
        </w:rPr>
        <w:t>Class C Notes</w:t>
      </w:r>
      <w:r>
        <w:rPr>
          <w:rFonts w:ascii="Times New Roman" w:cs="Times New Roman" w:eastAsia="Times New Roman" w:hAnsi="Times New Roman"/>
          <w:sz w:val="22"/>
          <w:szCs w:val="22"/>
          <w:color w:val="auto"/>
        </w:rPr>
        <w:t>"), all issued under (i) a Second Amended and Restated Base Indenture, dated as of June 3, 2004 (such Base Indenture, as may be further amended, restated, supplemented or modified in accordance with its terms (exclusive of any Supplements thereto creating a new Series of Notes), is herein called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between the Company, as Issuer, and The Bank of New York Mellon Trust Company, N.A. (as successor in interest to The Bank of New York),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which term includes any successor Trustee under the Base Indenture), and (ii) a Series 2023-2 Supplement, dated as of January 17, 2023 (such supplement, as may be amended or modified, is herein called the "</w:t>
      </w:r>
      <w:r>
        <w:rPr>
          <w:rFonts w:ascii="Times New Roman" w:cs="Times New Roman" w:eastAsia="Times New Roman" w:hAnsi="Times New Roman"/>
          <w:sz w:val="22"/>
          <w:szCs w:val="22"/>
          <w:u w:val="single" w:color="auto"/>
          <w:color w:val="auto"/>
        </w:rPr>
        <w:t>Series 2023-2 Supplement</w:t>
      </w:r>
      <w:r>
        <w:rPr>
          <w:rFonts w:ascii="Times New Roman" w:cs="Times New Roman" w:eastAsia="Times New Roman" w:hAnsi="Times New Roman"/>
          <w:sz w:val="22"/>
          <w:szCs w:val="22"/>
          <w:color w:val="auto"/>
        </w:rPr>
        <w:t>"), among the Company, the Trustee and The Bank of New York Mellon Trust Company, N.A., as Series 2023-2 Agent. The Base Indenture and the Series 2023-2 Supplement are referred to herein as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The Class C Notes are subject to all terms of the Indenture. To the extent not defined herein, all terms used in this Class C Note that are defined in the Indenture shall have the meanings assigned to them in or pursuant to the Indenture.</w:t>
      </w:r>
    </w:p>
    <w:p>
      <w:pPr>
        <w:spacing w:after="0" w:line="188"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22"/>
          <w:szCs w:val="22"/>
          <w:color w:val="auto"/>
        </w:rPr>
        <w:t>The Class C Notes are and will be equally and ratably secured by the Series 2023-2 Collateral pledged as security therefor as provided in the Indenture.</w:t>
      </w:r>
    </w:p>
    <w:p>
      <w:pPr>
        <w:spacing w:after="0" w:line="144"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22"/>
          <w:szCs w:val="22"/>
          <w:color w:val="auto"/>
        </w:rPr>
        <w:t>Interest on the Class C Notes will be payable on each Distribution Date specified in and in the amounts described in the Indenture. "</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xml:space="preserve">" means the 20th day of each month, or, if any such date is not a Business Day, the next succeeding Business Day, commencing on </w:t>
      </w:r>
      <w:r>
        <w:rPr>
          <w:rFonts w:ascii="Times New Roman" w:cs="Times New Roman" w:eastAsia="Times New Roman" w:hAnsi="Times New Roman"/>
          <w:sz w:val="22"/>
          <w:szCs w:val="22"/>
          <w:color w:val="FF0000"/>
          <w:strike w:val="1"/>
        </w:rPr>
        <w:t>February 21</w:t>
      </w:r>
      <w:r>
        <w:rPr>
          <w:rFonts w:ascii="Times New Roman" w:cs="Times New Roman" w:eastAsia="Times New Roman" w:hAnsi="Times New Roman"/>
          <w:sz w:val="22"/>
          <w:szCs w:val="22"/>
          <w:u w:val="single" w:color="auto"/>
          <w:color w:val="0000FF"/>
        </w:rPr>
        <w:t>March 20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2023</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21"/>
          <w:szCs w:val="21"/>
          <w:color w:val="auto"/>
        </w:rPr>
        <w:t xml:space="preserve">Commencing on the Distribution Date following the second Determination Date during the Series 2023-2 Controlled Amortization Period, payments with respect to principal will be made on the Class C Notes. In addition, beginning on the first Distribution Date during the Series 2023-2 Rapid Amortization Period on which the Class A Notes and the Class B Notes have been paid in full, payments with respect to principal will be made on the Class C Notes. As described above, the entire unpaid principal amount of this Class C Note shall be due and payable on the Series 2023-2 Final Distribution Date. Notwithstanding the foregoing, if an Amortization Event, Liquidation Event of Default, Waiver Event or Series 2023-2 Limited Liquidation Event of Default shall have occurred and be continuing then, in certain circumstances, principal on the Class C Notes may be paid earlier, as described in the Indenture. All payments of interest on, and principal of, the Class C Notes will be subordinated to the payment of interest on, and principal of, as applicable, the Class A Notes and the Class B Notes, as set forth in the Series 2023-2 Supplement. All principal payments on the Class C Notes shall be made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to the Noteholders entitled thereto.</w:t>
      </w:r>
    </w:p>
    <w:p>
      <w:pPr>
        <w:spacing w:after="0" w:line="188"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22"/>
          <w:szCs w:val="22"/>
          <w:color w:val="auto"/>
        </w:rPr>
        <w:t>Payments of interest on this Class C Note due and payable on each Distribution Date, together with the installment of principal then due, if any, to the extent not in full payment of this Class C Note, shall be made by wire transfer for credit to the account designated by the Holder of record of this Class C Note (or one or more predecessor Class C Notes) on the Note Register as of the close of business on each Record Date, except that with respect to Class C Notes registered on the Record Date in the name of the nominee of the Clearing Agency (initially, such nominee to</w:t>
      </w:r>
    </w:p>
    <w:p>
      <w:pPr>
        <w:sectPr>
          <w:pgSz w:w="11900" w:h="16838" w:orient="portrait"/>
          <w:cols w:equalWidth="0" w:num="1">
            <w:col w:w="11240"/>
          </w:cols>
          <w:pgMar w:left="320" w:top="126"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C-2</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60"/>
        <w:spacing w:after="0" w:line="238" w:lineRule="auto"/>
        <w:rPr>
          <w:sz w:val="20"/>
          <w:szCs w:val="20"/>
          <w:color w:val="auto"/>
        </w:rPr>
      </w:pPr>
      <w:r>
        <w:rPr>
          <w:rFonts w:ascii="Times New Roman" w:cs="Times New Roman" w:eastAsia="Times New Roman" w:hAnsi="Times New Roman"/>
          <w:sz w:val="22"/>
          <w:szCs w:val="22"/>
          <w:color w:val="auto"/>
        </w:rPr>
        <w:t>CLEARING AGENCY OR TO A NOMINEE OF SUCH SUCCESSOR CLEARING AGENCY. UNLESS THIS CLASS C NOTE IS PRESENTED BY AN AUTHORIZED REPRESENTATIVE OF THE DEPOSITORY TRUST COMPANY, A NEW YORK CORPORATION ("</w:t>
      </w: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rPr>
        <w:t>"), TO THE COMPANY OR ITS AGENT FOR REGISTRATION OF TRANSFER, EXCHANGE OR PAYMENT, AND ANY CLASS C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2"/>
          <w:szCs w:val="22"/>
          <w:color w:val="auto"/>
        </w:rPr>
        <w:t>THE PRINCIPAL OF THIS CLASS C NOTE IS PAYABLE IN INSTALLMENTS AS SET FORTH HEREIN. ACCORDINGLY, THE OUTSTANDING PRINCIPAL AMOUNT OF THIS CLASS C NOTE AT ANY TIME MAY BE LESS THAN THE AMOUNT SHOWN ON THE FACE HEREOF.</w:t>
      </w:r>
    </w:p>
    <w:p>
      <w:pPr>
        <w:spacing w:after="0" w:line="168"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22"/>
          <w:szCs w:val="22"/>
          <w:color w:val="auto"/>
        </w:rPr>
        <w:t>INTERESTS IN THIS TEMPORARY GLOBAL NOTE MAY ONLY BE HELD BY NON-U.S. PERSONS AS SUCH TERM IS DEFINED IN REGULATION S OF THE SECURITIES ACT, AND MAY ONLY BE HELD IN BOOK-ENTRY FORM THROUGH EUROCLEAR OR CLEARSTREAM.</w:t>
      </w:r>
    </w:p>
    <w:p>
      <w:pPr>
        <w:spacing w:after="0" w:line="17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AVIS BUDGET RENTAL CAR FUNDING (AESOP) LLC</w:t>
      </w:r>
    </w:p>
    <w:p>
      <w:pPr>
        <w:spacing w:after="0" w:line="20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 xml:space="preserve">SERIES 2023-2 </w:t>
      </w:r>
      <w:r>
        <w:rPr>
          <w:rFonts w:ascii="Times New Roman" w:cs="Times New Roman" w:eastAsia="Times New Roman" w:hAnsi="Times New Roman"/>
          <w:sz w:val="22"/>
          <w:szCs w:val="22"/>
          <w:b w:val="1"/>
          <w:bCs w:val="1"/>
          <w:color w:val="FF0000"/>
          <w:strike w:val="1"/>
        </w:rPr>
        <w:t>8.55</w:t>
      </w:r>
      <w:r>
        <w:rPr>
          <w:rFonts w:ascii="Times New Roman" w:cs="Times New Roman" w:eastAsia="Times New Roman" w:hAnsi="Times New Roman"/>
          <w:sz w:val="22"/>
          <w:szCs w:val="22"/>
          <w:b w:val="1"/>
          <w:bCs w:val="1"/>
          <w:u w:val="single" w:color="auto"/>
          <w:color w:val="0000FF"/>
        </w:rPr>
        <w:t>6.18</w:t>
      </w:r>
      <w:r>
        <w:rPr>
          <w:rFonts w:ascii="Times New Roman" w:cs="Times New Roman" w:eastAsia="Times New Roman" w:hAnsi="Times New Roman"/>
          <w:sz w:val="22"/>
          <w:szCs w:val="22"/>
          <w:b w:val="1"/>
          <w:bCs w:val="1"/>
          <w:color w:val="auto"/>
        </w:rPr>
        <w:t>% RENTAL CAR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ASSET BACKED NOTES, CLASS C</w:t>
      </w:r>
    </w:p>
    <w:p>
      <w:pPr>
        <w:spacing w:after="0" w:line="169"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22"/>
          <w:szCs w:val="22"/>
          <w:color w:val="auto"/>
        </w:rPr>
        <w:t>AVIS BUDGET RENTAL CAR FUNDING (AESOP) LLC, a Delaware limited liability company (herein referred to as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for value received, hereby promises to pay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Cede &amp; Co., or registered assigns, the principal sum of [_____________________________] DOLLARS (or such lesser</w:t>
      </w:r>
    </w:p>
    <w:p>
      <w:pPr>
        <w:spacing w:after="0" w:line="15" w:lineRule="exact"/>
        <w:rPr>
          <w:sz w:val="20"/>
          <w:szCs w:val="20"/>
          <w:color w:val="auto"/>
        </w:rPr>
      </w:pPr>
    </w:p>
    <w:p>
      <w:pPr>
        <w:jc w:val="both"/>
        <w:ind w:right="160"/>
        <w:spacing w:after="0" w:line="246" w:lineRule="auto"/>
        <w:rPr>
          <w:sz w:val="20"/>
          <w:szCs w:val="20"/>
          <w:color w:val="auto"/>
        </w:rPr>
      </w:pPr>
      <w:r>
        <w:rPr>
          <w:rFonts w:ascii="Times New Roman" w:cs="Times New Roman" w:eastAsia="Times New Roman" w:hAnsi="Times New Roman"/>
          <w:sz w:val="22"/>
          <w:szCs w:val="22"/>
          <w:color w:val="auto"/>
        </w:rPr>
        <w:t xml:space="preserve">amount as shall be the outstanding principal amount of this Temporary Global Note shown in Schedule A hereto), which amount shall be payable in the amounts and at the times set forth in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entire unpaid principal amount of this Class C Note shall be due on the Series 2023-2 Final Distribution Date, which is the October 2027 Distribution Date. However, principal with respect to the Class C Notes may be paid earlier or later under certain limited circumstances described in the Indenture. The Company will pay interest on this Class C Note at the Class C Note Rate. Such interest shall be payable on each Distribution Date until the principal of this Class C Note is paid or made available for payment. Interest on this Class C Note will accrue for each Distribution Date from the most recent Distribution Date on which interest has been paid to but excluding such Distribution Date or, if no interest has yet been paid, from </w:t>
      </w:r>
      <w:r>
        <w:rPr>
          <w:rFonts w:ascii="Times New Roman" w:cs="Times New Roman" w:eastAsia="Times New Roman" w:hAnsi="Times New Roman"/>
          <w:sz w:val="22"/>
          <w:szCs w:val="22"/>
          <w:color w:val="FF0000"/>
          <w:strike w:val="1"/>
        </w:rPr>
        <w:t>January 17</w:t>
      </w:r>
      <w:r>
        <w:rPr>
          <w:rFonts w:ascii="Times New Roman" w:cs="Times New Roman" w:eastAsia="Times New Roman" w:hAnsi="Times New Roman"/>
          <w:sz w:val="22"/>
          <w:szCs w:val="22"/>
          <w:u w:val="single" w:color="auto"/>
          <w:color w:val="0000FF"/>
        </w:rPr>
        <w:t>February 5</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2023</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000000"/>
        </w:rPr>
        <w:t>. Interest with respect to the Class C Notes will be calculated in the manner provided in the Indenture. Such principal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 and interest on this Class C Note shall be paid in the manner specified on the reverse hereof.</w:t>
      </w:r>
    </w:p>
    <w:p>
      <w:pPr>
        <w:sectPr>
          <w:pgSz w:w="11900" w:h="16838" w:orient="portrait"/>
          <w:cols w:equalWidth="0" w:num="1">
            <w:col w:w="11240"/>
          </w:cols>
          <w:pgMar w:left="320" w:top="126"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C-2</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[REVERSE OF CLASS C NOTE]</w:t>
      </w:r>
    </w:p>
    <w:p>
      <w:pPr>
        <w:spacing w:after="0" w:line="224"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22"/>
          <w:szCs w:val="22"/>
          <w:color w:val="auto"/>
        </w:rPr>
        <w:t xml:space="preserve">This Class C Note is one of a duly authorized issue of Class C Notes of the Company, designated as its Series 2023-2 </w:t>
      </w:r>
      <w:r>
        <w:rPr>
          <w:rFonts w:ascii="Times New Roman" w:cs="Times New Roman" w:eastAsia="Times New Roman" w:hAnsi="Times New Roman"/>
          <w:sz w:val="22"/>
          <w:szCs w:val="22"/>
          <w:color w:val="FF0000"/>
          <w:strike w:val="1"/>
        </w:rPr>
        <w:t>8.55</w:t>
      </w:r>
      <w:r>
        <w:rPr>
          <w:rFonts w:ascii="Times New Roman" w:cs="Times New Roman" w:eastAsia="Times New Roman" w:hAnsi="Times New Roman"/>
          <w:sz w:val="22"/>
          <w:szCs w:val="22"/>
          <w:u w:val="single" w:color="auto"/>
          <w:color w:val="0000FF"/>
        </w:rPr>
        <w:t>6.18</w:t>
      </w:r>
      <w:r>
        <w:rPr>
          <w:rFonts w:ascii="Times New Roman" w:cs="Times New Roman" w:eastAsia="Times New Roman" w:hAnsi="Times New Roman"/>
          <w:sz w:val="22"/>
          <w:szCs w:val="22"/>
          <w:color w:val="000000"/>
        </w:rPr>
        <w:t>% Rental Car Asset Backed Notes, Class C (herein called the "</w:t>
      </w:r>
      <w:r>
        <w:rPr>
          <w:rFonts w:ascii="Times New Roman" w:cs="Times New Roman" w:eastAsia="Times New Roman" w:hAnsi="Times New Roman"/>
          <w:sz w:val="22"/>
          <w:szCs w:val="22"/>
          <w:u w:val="single" w:color="auto"/>
          <w:color w:val="000000"/>
        </w:rPr>
        <w:t>Class C Notes</w:t>
      </w:r>
      <w:r>
        <w:rPr>
          <w:rFonts w:ascii="Times New Roman" w:cs="Times New Roman" w:eastAsia="Times New Roman" w:hAnsi="Times New Roman"/>
          <w:sz w:val="22"/>
          <w:szCs w:val="22"/>
          <w:color w:val="000000"/>
        </w:rPr>
        <w:t>"), all issued under (i) a Second Amended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 Restated Base Indenture, dated as of June 3, 2004 (such Base Indenture, as may be further amended, restated, supplemented or modified in accordance with its terms (exclusive of any Supplements thereto creating a new Series of Notes), is herein called the "</w:t>
      </w:r>
      <w:r>
        <w:rPr>
          <w:rFonts w:ascii="Times New Roman" w:cs="Times New Roman" w:eastAsia="Times New Roman" w:hAnsi="Times New Roman"/>
          <w:sz w:val="22"/>
          <w:szCs w:val="22"/>
          <w:u w:val="single" w:color="auto"/>
          <w:color w:val="000000"/>
        </w:rPr>
        <w:t>Base Indenture</w:t>
      </w:r>
      <w:r>
        <w:rPr>
          <w:rFonts w:ascii="Times New Roman" w:cs="Times New Roman" w:eastAsia="Times New Roman" w:hAnsi="Times New Roman"/>
          <w:sz w:val="22"/>
          <w:szCs w:val="22"/>
          <w:color w:val="000000"/>
        </w:rPr>
        <w:t>"), between the Company, as Issuer, and The Bank of New York Mellon Trust Company, N.A. (as successor in interest to The Bank of New York), as trustee (the "</w:t>
      </w:r>
      <w:r>
        <w:rPr>
          <w:rFonts w:ascii="Times New Roman" w:cs="Times New Roman" w:eastAsia="Times New Roman" w:hAnsi="Times New Roman"/>
          <w:sz w:val="22"/>
          <w:szCs w:val="22"/>
          <w:u w:val="single" w:color="auto"/>
          <w:color w:val="000000"/>
        </w:rPr>
        <w:t>Trustee</w:t>
      </w:r>
      <w:r>
        <w:rPr>
          <w:rFonts w:ascii="Times New Roman" w:cs="Times New Roman" w:eastAsia="Times New Roman" w:hAnsi="Times New Roman"/>
          <w:sz w:val="22"/>
          <w:szCs w:val="22"/>
          <w:color w:val="000000"/>
        </w:rPr>
        <w:t>," which term includes any successor Trustee under the Base Indenture), and (ii) a Series 2023-2 Supplement, dated as of January 17, 2023 (such supplement, as may be amended or modified, is herein called the "</w:t>
      </w:r>
      <w:r>
        <w:rPr>
          <w:rFonts w:ascii="Times New Roman" w:cs="Times New Roman" w:eastAsia="Times New Roman" w:hAnsi="Times New Roman"/>
          <w:sz w:val="22"/>
          <w:szCs w:val="22"/>
          <w:u w:val="single" w:color="auto"/>
          <w:color w:val="000000"/>
        </w:rPr>
        <w:t>Series 2023-2 Supplement</w:t>
      </w:r>
      <w:r>
        <w:rPr>
          <w:rFonts w:ascii="Times New Roman" w:cs="Times New Roman" w:eastAsia="Times New Roman" w:hAnsi="Times New Roman"/>
          <w:sz w:val="22"/>
          <w:szCs w:val="22"/>
          <w:color w:val="000000"/>
        </w:rPr>
        <w:t>"), among the Company, the Trustee and The Bank of New York Mellon Trust Company, N.A., as Series 2023-2 Agent. The Base Indenture and the Series 2023-2 Supplement are referred to herein as the "</w:t>
      </w:r>
      <w:r>
        <w:rPr>
          <w:rFonts w:ascii="Times New Roman" w:cs="Times New Roman" w:eastAsia="Times New Roman" w:hAnsi="Times New Roman"/>
          <w:sz w:val="22"/>
          <w:szCs w:val="22"/>
          <w:u w:val="single" w:color="auto"/>
          <w:color w:val="000000"/>
        </w:rPr>
        <w:t>Indenture</w:t>
      </w:r>
      <w:r>
        <w:rPr>
          <w:rFonts w:ascii="Times New Roman" w:cs="Times New Roman" w:eastAsia="Times New Roman" w:hAnsi="Times New Roman"/>
          <w:sz w:val="22"/>
          <w:szCs w:val="22"/>
          <w:color w:val="000000"/>
        </w:rPr>
        <w:t>". The Class C Notes are subject to all terms of the Indenture. To the extent not defined herein, all terms used in this Class C Note that are defined in the Indenture shall have the meanings assigned to them in or pursuant to the Indenture.</w:t>
      </w:r>
    </w:p>
    <w:p>
      <w:pPr>
        <w:spacing w:after="0" w:line="188"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22"/>
          <w:szCs w:val="22"/>
          <w:color w:val="auto"/>
        </w:rPr>
        <w:t>The Class C Notes are and will be equally and ratably secured by the Series 2023-2 Collateral pledged as security therefor as provided in the Indenture.</w:t>
      </w:r>
    </w:p>
    <w:p>
      <w:pPr>
        <w:spacing w:after="0" w:line="144"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22"/>
          <w:szCs w:val="22"/>
          <w:color w:val="auto"/>
        </w:rPr>
        <w:t>Interest on the Class C Notes will be payable on each Distribution Date specified in and in the amounts described in the Indenture. "</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xml:space="preserve">" means the 20th day of each month, or, if any such date is not a Business Day, the next succeeding Business Day, commencing on </w:t>
      </w:r>
      <w:r>
        <w:rPr>
          <w:rFonts w:ascii="Times New Roman" w:cs="Times New Roman" w:eastAsia="Times New Roman" w:hAnsi="Times New Roman"/>
          <w:sz w:val="22"/>
          <w:szCs w:val="22"/>
          <w:color w:val="FF0000"/>
          <w:strike w:val="1"/>
        </w:rPr>
        <w:t>February 21</w:t>
      </w:r>
      <w:r>
        <w:rPr>
          <w:rFonts w:ascii="Times New Roman" w:cs="Times New Roman" w:eastAsia="Times New Roman" w:hAnsi="Times New Roman"/>
          <w:sz w:val="22"/>
          <w:szCs w:val="22"/>
          <w:u w:val="single" w:color="auto"/>
          <w:color w:val="0000FF"/>
        </w:rPr>
        <w:t>March 20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2023</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21"/>
          <w:szCs w:val="21"/>
          <w:color w:val="auto"/>
        </w:rPr>
        <w:t xml:space="preserve">Commencing on the Distribution Date following the second Determination Date during the Series 2023-2 Controlled Amortization Period, payments with respect to principal will be made on the Class C Notes. In addition, beginning on the first Distribution Date during the Series 2023-2 Rapid Amortization Period on which the Class A Notes and the Class B Notes have been paid in full, payments with respect to principal will be made on the Class C Notes. As described above, the entire unpaid principal amount of this Class C Note shall be due and payable on the Series 2023-2 Final Distribution Date. Notwithstanding the foregoing, if an Amortization Event, Liquidation Event of Default, Waiver Event or Series 2023-2 Limited Liquidation Event of Default shall have occurred and be continuing then, in certain circumstances, principal on the Class C Notes may be paid earlier, as described in the Indenture. All payments of interest on, and principal of, the Class C Notes will be subordinated to the payment of interest on, and principal of, as applicable, the Class A Notes and the Class B Notes, as set forth in the Series 2023-2 Supplement. All principal payments on the Class C Notes shall be made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to the Noteholders entitled thereto.</w:t>
      </w:r>
    </w:p>
    <w:p>
      <w:pPr>
        <w:spacing w:after="0" w:line="215"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22"/>
          <w:szCs w:val="22"/>
          <w:color w:val="auto"/>
        </w:rPr>
        <w:t>Payments of interest on this Class C Note due and payable on each Distribution Date, together with the installment of principal then due, if any, to the extent not in full payment of this Class C Note, shall be made by wire transfer for credit to the account designated by the Holder of record of this Class C Note (or one or more predecessor Class C Notes) on the Note Register as of the close of business on each Record Date, except that with respect to Class C Notes registered on the Record Date in the name of the nominee of the Clearing Agency (initially, such nominee to</w:t>
      </w:r>
    </w:p>
    <w:p>
      <w:pPr>
        <w:sectPr>
          <w:pgSz w:w="11900" w:h="16838" w:orient="portrait"/>
          <w:cols w:equalWidth="0" w:num="1">
            <w:col w:w="11160"/>
          </w:cols>
          <w:pgMar w:left="400" w:top="126"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C-3</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6"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22"/>
          <w:szCs w:val="22"/>
          <w:color w:val="auto"/>
        </w:rPr>
        <w:t>THE PRINCIPAL OF THIS CLASS C NOTE IS PAYABLE IN INSTALLMENTS AS SET FORTH HEREIN. ACCORDINGLY, THE OUTSTANDING PRINCIPAL AMOUNT OF THIS CLASS C NOTE AT ANY TIME MAY BE LESS THAN THE AMOUNT SHOWN ON THE FACE HEREOF.</w:t>
      </w:r>
    </w:p>
    <w:p>
      <w:pPr>
        <w:spacing w:after="0" w:line="16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AVIS BUDGET RENTAL CAR FUNDING (AESOP) LLC</w:t>
      </w:r>
    </w:p>
    <w:p>
      <w:pPr>
        <w:spacing w:after="0" w:line="22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b w:val="1"/>
          <w:bCs w:val="1"/>
          <w:color w:val="auto"/>
        </w:rPr>
        <w:t xml:space="preserve">SERIES 2023-2 </w:t>
      </w:r>
      <w:r>
        <w:rPr>
          <w:rFonts w:ascii="Times New Roman" w:cs="Times New Roman" w:eastAsia="Times New Roman" w:hAnsi="Times New Roman"/>
          <w:sz w:val="22"/>
          <w:szCs w:val="22"/>
          <w:b w:val="1"/>
          <w:bCs w:val="1"/>
          <w:color w:val="FF0000"/>
          <w:strike w:val="1"/>
        </w:rPr>
        <w:t>8.55</w:t>
      </w:r>
      <w:r>
        <w:rPr>
          <w:rFonts w:ascii="Times New Roman" w:cs="Times New Roman" w:eastAsia="Times New Roman" w:hAnsi="Times New Roman"/>
          <w:sz w:val="22"/>
          <w:szCs w:val="22"/>
          <w:b w:val="1"/>
          <w:bCs w:val="1"/>
          <w:u w:val="single" w:color="auto"/>
          <w:color w:val="0000FF"/>
        </w:rPr>
        <w:t>6.18</w:t>
      </w:r>
      <w:r>
        <w:rPr>
          <w:rFonts w:ascii="Times New Roman" w:cs="Times New Roman" w:eastAsia="Times New Roman" w:hAnsi="Times New Roman"/>
          <w:sz w:val="22"/>
          <w:szCs w:val="22"/>
          <w:b w:val="1"/>
          <w:bCs w:val="1"/>
          <w:color w:val="auto"/>
        </w:rPr>
        <w:t>% RENTAL CAR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ASSET BACKED NOTES, CLASS C</w:t>
      </w:r>
    </w:p>
    <w:p>
      <w:pPr>
        <w:spacing w:after="0" w:line="182" w:lineRule="exact"/>
        <w:rPr>
          <w:sz w:val="20"/>
          <w:szCs w:val="20"/>
          <w:color w:val="auto"/>
        </w:rPr>
      </w:pPr>
    </w:p>
    <w:p>
      <w:pPr>
        <w:jc w:val="both"/>
        <w:ind w:right="140"/>
        <w:spacing w:after="0" w:line="248" w:lineRule="auto"/>
        <w:rPr>
          <w:sz w:val="20"/>
          <w:szCs w:val="20"/>
          <w:color w:val="auto"/>
        </w:rPr>
      </w:pPr>
      <w:r>
        <w:rPr>
          <w:rFonts w:ascii="Times New Roman" w:cs="Times New Roman" w:eastAsia="Times New Roman" w:hAnsi="Times New Roman"/>
          <w:sz w:val="22"/>
          <w:szCs w:val="22"/>
          <w:color w:val="auto"/>
        </w:rPr>
        <w:t>AVIS BUDGET RENTAL CAR FUNDING (AESOP) LLC, a Delaware limited liability company (herein referred to as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for value received, hereby promises to pay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Cede &amp; Co., or registered assigns, the principal sum of [____________________________]</w:t>
      </w:r>
    </w:p>
    <w:p>
      <w:pPr>
        <w:spacing w:after="0" w:line="4" w:lineRule="exact"/>
        <w:rPr>
          <w:sz w:val="20"/>
          <w:szCs w:val="20"/>
          <w:color w:val="auto"/>
        </w:rPr>
      </w:pPr>
    </w:p>
    <w:p>
      <w:pPr>
        <w:jc w:val="both"/>
        <w:ind w:right="120"/>
        <w:spacing w:after="0" w:line="236" w:lineRule="auto"/>
        <w:rPr>
          <w:sz w:val="20"/>
          <w:szCs w:val="20"/>
          <w:color w:val="auto"/>
        </w:rPr>
      </w:pPr>
      <w:r>
        <w:rPr>
          <w:rFonts w:ascii="Times New Roman" w:cs="Times New Roman" w:eastAsia="Times New Roman" w:hAnsi="Times New Roman"/>
          <w:sz w:val="22"/>
          <w:szCs w:val="22"/>
          <w:color w:val="auto"/>
        </w:rPr>
        <w:t xml:space="preserve">DOLLARS, which amount shall be payable in the amounts and at the times set forth in the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entire unpaid principal amount of this Class C Note shall be due on the Series 2023-2 Final Distribution Date, which is the October 2027 Distribution Date. However, principal with respect to the Class C Notes may be paid earlier or later under certain limited circumstances described in the Indenture. The Company will pay interest on this Class C Note at the Class C Note Rate. Such interest shall be payable on each Distribution Date until the principal of this Class C Note is paid or made available for payment. Interest on this Class C Note will accrue for each Distribution Date from the most recent Distribution Date on which interest has been paid to but excluding such Distribution Date or, if no interest has yet been paid, from </w:t>
      </w:r>
      <w:r>
        <w:rPr>
          <w:rFonts w:ascii="Times New Roman" w:cs="Times New Roman" w:eastAsia="Times New Roman" w:hAnsi="Times New Roman"/>
          <w:sz w:val="22"/>
          <w:szCs w:val="22"/>
          <w:color w:val="FF0000"/>
          <w:strike w:val="1"/>
        </w:rPr>
        <w:t>January 17</w:t>
      </w:r>
      <w:r>
        <w:rPr>
          <w:rFonts w:ascii="Times New Roman" w:cs="Times New Roman" w:eastAsia="Times New Roman" w:hAnsi="Times New Roman"/>
          <w:sz w:val="22"/>
          <w:szCs w:val="22"/>
          <w:u w:val="single" w:color="auto"/>
          <w:color w:val="0000FF"/>
        </w:rPr>
        <w:t>February 5</w:t>
      </w:r>
      <w:r>
        <w:rPr>
          <w:rFonts w:ascii="Times New Roman" w:cs="Times New Roman" w:eastAsia="Times New Roman" w:hAnsi="Times New Roman"/>
          <w:sz w:val="22"/>
          <w:szCs w:val="22"/>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2023</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000000"/>
        </w:rPr>
        <w:t>. Interest with respect to the Class C Notes will be calculated in the manner provided in the Indenture. Such principal</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 and interest on this Class C Note shall be paid in the manner specified on the reverse hereof.</w:t>
      </w:r>
    </w:p>
    <w:p>
      <w:pPr>
        <w:spacing w:after="0" w:line="181" w:lineRule="exact"/>
        <w:rPr>
          <w:sz w:val="20"/>
          <w:szCs w:val="20"/>
          <w:color w:val="auto"/>
        </w:rPr>
      </w:pPr>
    </w:p>
    <w:p>
      <w:pPr>
        <w:jc w:val="both"/>
        <w:ind w:right="140"/>
        <w:spacing w:after="0" w:line="241" w:lineRule="auto"/>
        <w:rPr>
          <w:sz w:val="20"/>
          <w:szCs w:val="20"/>
          <w:color w:val="auto"/>
        </w:rPr>
      </w:pPr>
      <w:r>
        <w:rPr>
          <w:rFonts w:ascii="Times New Roman" w:cs="Times New Roman" w:eastAsia="Times New Roman" w:hAnsi="Times New Roman"/>
          <w:sz w:val="22"/>
          <w:szCs w:val="22"/>
          <w:color w:val="auto"/>
        </w:rPr>
        <w:t>The principal of and interest on this Class C Note are payable in such coin or currency of the United States of America as at the time of payment is legal tender for payment of public and private debts. All payments made by the Company with respect to this Class C Note shall be applied first to interest due and payable on this Class C Note as provided above and then to the unpaid principal of this Class C Note. This Class C Note does not represent an interest in, or an obligation of, Original AESOP, AESOP Leasing, AESOP Leasing II, ABCR, BRAC, ARAC or any affiliate of Original AESOP, AESOP Leasing, AESOP Leasing II, ABCR, BRAC or ARAC, other than the Company.</w:t>
      </w:r>
    </w:p>
    <w:p>
      <w:pPr>
        <w:spacing w:after="0" w:line="217"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22"/>
          <w:szCs w:val="22"/>
          <w:color w:val="auto"/>
        </w:rPr>
        <w:t>Reference is made to the further provisions of this Class C Note set forth on the reverse hereof, which shall have the same effect as though fully set forth on the face of this Class C Note. Although a summary of certain provisions of the Indenture is set forth below and on the reverse hereof and made a part hereof, this Class C Note does not purport to summarize the Indenture and reference is made to the Indenture for information with respect to the interests, rights, benefits, obligations, proceeds and duties evidenced hereby and the rights, duties and obligations</w:t>
      </w:r>
    </w:p>
    <w:p>
      <w:pPr>
        <w:sectPr>
          <w:pgSz w:w="11900" w:h="16838" w:orient="portrait"/>
          <w:cols w:equalWidth="0" w:num="1">
            <w:col w:w="11240"/>
          </w:cols>
          <w:pgMar w:left="320" w:top="126"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u w:val="single" w:color="auto"/>
          <w:color w:val="auto"/>
        </w:rPr>
        <w:t>Exhibit C-3</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[REVERSE OF CLASS C NOTE]</w:t>
      </w:r>
    </w:p>
    <w:p>
      <w:pPr>
        <w:spacing w:after="0" w:line="224"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22"/>
          <w:szCs w:val="22"/>
          <w:color w:val="auto"/>
        </w:rPr>
        <w:t xml:space="preserve">This Class C Note is one of a duly authorized issue of Class C Notes of the Company, designated as its Series-2023-2 </w:t>
      </w:r>
      <w:r>
        <w:rPr>
          <w:rFonts w:ascii="Times New Roman" w:cs="Times New Roman" w:eastAsia="Times New Roman" w:hAnsi="Times New Roman"/>
          <w:sz w:val="22"/>
          <w:szCs w:val="22"/>
          <w:color w:val="FF0000"/>
          <w:strike w:val="1"/>
        </w:rPr>
        <w:t>8.55</w:t>
      </w:r>
      <w:r>
        <w:rPr>
          <w:rFonts w:ascii="Times New Roman" w:cs="Times New Roman" w:eastAsia="Times New Roman" w:hAnsi="Times New Roman"/>
          <w:sz w:val="22"/>
          <w:szCs w:val="22"/>
          <w:u w:val="single" w:color="auto"/>
          <w:color w:val="0000FF"/>
        </w:rPr>
        <w:t>6.18</w:t>
      </w:r>
      <w:r>
        <w:rPr>
          <w:rFonts w:ascii="Times New Roman" w:cs="Times New Roman" w:eastAsia="Times New Roman" w:hAnsi="Times New Roman"/>
          <w:sz w:val="22"/>
          <w:szCs w:val="22"/>
          <w:color w:val="auto"/>
        </w:rPr>
        <w:t>% Rental Car Asset Backed Notes, Class C (herein called the "</w:t>
      </w:r>
      <w:r>
        <w:rPr>
          <w:rFonts w:ascii="Times New Roman" w:cs="Times New Roman" w:eastAsia="Times New Roman" w:hAnsi="Times New Roman"/>
          <w:sz w:val="22"/>
          <w:szCs w:val="22"/>
          <w:u w:val="single" w:color="auto"/>
          <w:color w:val="auto"/>
        </w:rPr>
        <w:t>Class C Notes</w:t>
      </w:r>
      <w:r>
        <w:rPr>
          <w:rFonts w:ascii="Times New Roman" w:cs="Times New Roman" w:eastAsia="Times New Roman" w:hAnsi="Times New Roman"/>
          <w:sz w:val="22"/>
          <w:szCs w:val="22"/>
          <w:color w:val="auto"/>
        </w:rPr>
        <w:t>"), all issued under (i) a Second Amended and Restated Base Indenture, dated as of June 3, 2004 (such Base Indenture, as may be further amended, restated, supplemented or modified in accordance with its terms (exclusive of any Supplements thereto creating a new Series of Notes), is herein called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between the Company, as Issuer, and The Bank of New York Mellon Trust Company, N.A. (as successor in interest to The Bank of New York),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which term includes any successor Trustee under the Base Indenture), and (ii) a Series 2023-2 Supplement, dated as of January 17, 2023 (such supplement, as may be amended or modified, is herein called the "</w:t>
      </w:r>
      <w:r>
        <w:rPr>
          <w:rFonts w:ascii="Times New Roman" w:cs="Times New Roman" w:eastAsia="Times New Roman" w:hAnsi="Times New Roman"/>
          <w:sz w:val="22"/>
          <w:szCs w:val="22"/>
          <w:u w:val="single" w:color="auto"/>
          <w:color w:val="auto"/>
        </w:rPr>
        <w:t>Series 2023-2 Supplement</w:t>
      </w:r>
      <w:r>
        <w:rPr>
          <w:rFonts w:ascii="Times New Roman" w:cs="Times New Roman" w:eastAsia="Times New Roman" w:hAnsi="Times New Roman"/>
          <w:sz w:val="22"/>
          <w:szCs w:val="22"/>
          <w:color w:val="auto"/>
        </w:rPr>
        <w:t>"), among the Company, the Trustee and The Bank of New York Mellon Trust Company, N.A., as Series 2023-2 Agent. The Base Indenture and the Series 2023-2 Supplement are referred to herein as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The Class C Notes are subject to all terms of the Indenture. To the extent not defined herein, all terms used in this Class C Note that are defined in the Indenture shall have the meanings assigned to them in or pursuant to the Indenture.</w:t>
      </w:r>
    </w:p>
    <w:p>
      <w:pPr>
        <w:spacing w:after="0" w:line="188"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22"/>
          <w:szCs w:val="22"/>
          <w:color w:val="auto"/>
        </w:rPr>
        <w:t>The Class C Notes are and will be equally and ratably secured by the Series 2023-2 Collateral pledged as security therefor as provided in the Indenture.</w:t>
      </w:r>
    </w:p>
    <w:p>
      <w:pPr>
        <w:spacing w:after="0" w:line="144"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22"/>
          <w:szCs w:val="22"/>
          <w:color w:val="auto"/>
        </w:rPr>
        <w:t>Interest on the Class C Notes will be payable on each Distribution Date specified in and in the amounts described in the Indenture. "</w:t>
      </w:r>
      <w:r>
        <w:rPr>
          <w:rFonts w:ascii="Times New Roman" w:cs="Times New Roman" w:eastAsia="Times New Roman" w:hAnsi="Times New Roman"/>
          <w:sz w:val="22"/>
          <w:szCs w:val="22"/>
          <w:u w:val="single" w:color="auto"/>
          <w:color w:val="auto"/>
        </w:rPr>
        <w:t>Distribution Date</w:t>
      </w:r>
      <w:r>
        <w:rPr>
          <w:rFonts w:ascii="Times New Roman" w:cs="Times New Roman" w:eastAsia="Times New Roman" w:hAnsi="Times New Roman"/>
          <w:sz w:val="22"/>
          <w:szCs w:val="22"/>
          <w:color w:val="auto"/>
        </w:rPr>
        <w:t xml:space="preserve">" means the 20th day of each month, or, if any such date is not a Business Day, the next succeeding Business Day, commencing on </w:t>
      </w:r>
      <w:r>
        <w:rPr>
          <w:rFonts w:ascii="Times New Roman" w:cs="Times New Roman" w:eastAsia="Times New Roman" w:hAnsi="Times New Roman"/>
          <w:sz w:val="22"/>
          <w:szCs w:val="22"/>
          <w:color w:val="FF0000"/>
          <w:strike w:val="1"/>
        </w:rPr>
        <w:t>February 21</w:t>
      </w:r>
      <w:r>
        <w:rPr>
          <w:rFonts w:ascii="Times New Roman" w:cs="Times New Roman" w:eastAsia="Times New Roman" w:hAnsi="Times New Roman"/>
          <w:sz w:val="22"/>
          <w:szCs w:val="22"/>
          <w:u w:val="single" w:color="auto"/>
          <w:color w:val="0000FF"/>
        </w:rPr>
        <w:t>March 20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2023</w:t>
      </w:r>
      <w:r>
        <w:rPr>
          <w:rFonts w:ascii="Times New Roman" w:cs="Times New Roman" w:eastAsia="Times New Roman" w:hAnsi="Times New Roman"/>
          <w:sz w:val="22"/>
          <w:szCs w:val="22"/>
          <w:u w:val="single" w:color="auto"/>
          <w:color w:val="0000FF"/>
        </w:rPr>
        <w:t>2024</w:t>
      </w:r>
      <w:r>
        <w:rPr>
          <w:rFonts w:ascii="Times New Roman" w:cs="Times New Roman" w:eastAsia="Times New Roman" w:hAnsi="Times New Roman"/>
          <w:sz w:val="22"/>
          <w:szCs w:val="22"/>
          <w:color w:val="auto"/>
        </w:rPr>
        <w:t>.</w:t>
      </w:r>
    </w:p>
    <w:p>
      <w:pPr>
        <w:spacing w:after="0" w:line="168"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21"/>
          <w:szCs w:val="21"/>
          <w:color w:val="auto"/>
        </w:rPr>
        <w:t xml:space="preserve">Commencing on the Distribution Date following the second Determination Date during the Series 2023-2 Controlled Amortization Period, payments with respect to principal will be made on the Class C Notes. In addition, beginning on the first Distribution Date during the Series 2023-2 Rapid Amortization Period on which the Class A Notes and the Class B Notes have been paid in full, payments with respect to principal will be made on the Class C Notes. As described above, the entire unpaid principal amount of this Class C Note shall be due and payable on the Series 2023-2 Final Distribution Date. Notwithstanding the foregoing, if an Amortization Event, Liquidation Event of Default, Waiver Event or Series 2023-2 Limited Liquidation Event of Default shall have occurred and be continuing then, in certain circumstances, principal on the Class C Notes may be paid earlier, as described in the Indenture. All payments of interest on, and principal of, the Class C Notes will be subordinated to the payment of interest on, and principal of, as applicable, the Class A Notes and the Class B Notes, as set forth in the Series 2023-2 Supplement. All principal payments on the Class C Notes shall be made </w:t>
      </w:r>
      <w:r>
        <w:rPr>
          <w:rFonts w:ascii="Times New Roman" w:cs="Times New Roman" w:eastAsia="Times New Roman" w:hAnsi="Times New Roman"/>
          <w:sz w:val="21"/>
          <w:szCs w:val="21"/>
          <w:u w:val="single" w:color="auto"/>
          <w:color w:val="auto"/>
        </w:rPr>
        <w:t>pro</w:t>
      </w:r>
      <w:r>
        <w:rPr>
          <w:rFonts w:ascii="Times New Roman" w:cs="Times New Roman" w:eastAsia="Times New Roman" w:hAnsi="Times New Roman"/>
          <w:sz w:val="21"/>
          <w:szCs w:val="21"/>
          <w:color w:val="auto"/>
        </w:rPr>
        <w:t xml:space="preserve"> rata to the Noteholders entitled thereto.</w:t>
      </w:r>
    </w:p>
    <w:p>
      <w:pPr>
        <w:spacing w:after="0" w:line="161" w:lineRule="exact"/>
        <w:rPr>
          <w:sz w:val="20"/>
          <w:szCs w:val="20"/>
          <w:color w:val="auto"/>
        </w:rPr>
      </w:pPr>
    </w:p>
    <w:p>
      <w:pPr>
        <w:jc w:val="both"/>
        <w:ind w:right="140"/>
        <w:spacing w:after="0" w:line="217" w:lineRule="auto"/>
        <w:rPr>
          <w:sz w:val="20"/>
          <w:szCs w:val="20"/>
          <w:color w:val="auto"/>
        </w:rPr>
      </w:pPr>
      <w:r>
        <w:rPr>
          <w:rFonts w:ascii="Times New Roman" w:cs="Times New Roman" w:eastAsia="Times New Roman" w:hAnsi="Times New Roman"/>
          <w:sz w:val="22"/>
          <w:szCs w:val="22"/>
          <w:color w:val="auto"/>
        </w:rPr>
        <w:t>Payments of interest on this Class C Note due and payable on each Distribution Date, together with the installment of principal then due, if any, to the extent not in full payment of this Class C Note, shall be made by wire transfer for credit to the account designated by the Holder of record of this Class C Note (or one or more predecessor Class C Notes) on the Note Register as of the close of business on each Record Date, except that with respect to Class C Notes registered on the Record Date in the name of the nominee of the Clearing Agency (initially, such nominee to</w:t>
      </w:r>
    </w:p>
    <w:p>
      <w:pPr>
        <w:sectPr>
          <w:pgSz w:w="11900" w:h="16838" w:orient="portrait"/>
          <w:cols w:equalWidth="0" w:num="1">
            <w:col w:w="11240"/>
          </w:cols>
          <w:pgMar w:left="320" w:top="126"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90"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2, 2024</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17780</wp:posOffset>
            </wp:positionV>
            <wp:extent cx="28632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0"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Izilda P. Martins, certify that:</w:t>
      </w:r>
    </w:p>
    <w:p>
      <w:pPr>
        <w:spacing w:after="0" w:line="171"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2, 2024</w:t>
      </w:r>
    </w:p>
    <w:p>
      <w:pPr>
        <w:spacing w:after="0" w:line="266"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Izilda P.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17780</wp:posOffset>
            </wp:positionV>
            <wp:extent cx="41662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March 31, 2024, as filed with the Securities and Exchange Commission on the date hereof (the “Report”), Joseph A. Ferraro, as Chief Executive Officer of the Company, and Izilda P. Martins, as Chief Financial Officer of the Company, each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JOSEPH A. FERRARO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 2024</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IZILDA P. MARTINS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Izilda P. Martins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 2024</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lowerLetter"/>
      <w:start w:val="1"/>
    </w:lvl>
  </w:abstractNum>
  <w:abstractNum w:abstractNumId="5">
    <w:nsid w:val="8138641"/>
    <w:multiLevelType w:val="hybridMultilevel"/>
    <w:lvl w:ilvl="0">
      <w:lvlJc w:val="left"/>
      <w:lvlText w:val="%1."/>
      <w:numFmt w:val="decimal"/>
      <w:start w:val="2"/>
    </w:lvl>
  </w:abstractNum>
  <w:abstractNum w:abstractNumId="6">
    <w:nsid w:val="1E7FF521"/>
    <w:multiLevelType w:val="hybridMultilevel"/>
    <w:lvl w:ilvl="0">
      <w:lvlJc w:val="left"/>
      <w:lvlText w:val="(%1)"/>
      <w:numFmt w:val="lowerLetter"/>
      <w:start w:val="1"/>
    </w:lvl>
  </w:abstractNum>
  <w:abstractNum w:abstractNumId="7">
    <w:nsid w:val="7C3DBD3D"/>
    <w:multiLevelType w:val="hybridMultilevel"/>
    <w:lvl w:ilvl="0">
      <w:lvlJc w:val="left"/>
      <w:lvlText w:val="(%1)"/>
      <w:numFmt w:val="lowerLetter"/>
      <w:start w:val="1"/>
    </w:lvl>
  </w:abstractNum>
  <w:abstractNum w:abstractNumId="8">
    <w:nsid w:val="737B8DDC"/>
    <w:multiLevelType w:val="hybridMultilevel"/>
    <w:lvl w:ilvl="0">
      <w:lvlJc w:val="left"/>
      <w:lvlText w:val="%1."/>
      <w:numFmt w:val="decimal"/>
      <w:start w:val="3"/>
    </w:lvl>
  </w:abstractNum>
  <w:abstractNum w:abstractNumId="9">
    <w:nsid w:val="6CEAF087"/>
    <w:multiLevelType w:val="hybridMultilevel"/>
    <w:lvl w:ilvl="0">
      <w:lvlJc w:val="left"/>
      <w:lvlText w:val="%1."/>
      <w:numFmt w:val="decimal"/>
      <w:start w:val="4"/>
    </w:lvl>
  </w:abstractNum>
  <w:abstractNum w:abstractNumId="10">
    <w:nsid w:val="22221A70"/>
    <w:multiLevelType w:val="hybridMultilevel"/>
    <w:lvl w:ilvl="0">
      <w:lvlJc w:val="left"/>
      <w:lvlText w:val="%1"/>
      <w:numFmt w:val="decimal"/>
      <w:start w:val="1"/>
    </w:lvl>
    <w:lvl w:ilvl="1">
      <w:lvlJc w:val="left"/>
      <w:lvlText w:val="(%2)"/>
      <w:numFmt w:val="lowerLetter"/>
      <w:start w:val="1"/>
    </w:lvl>
  </w:abstractNum>
  <w:abstractNum w:abstractNumId="11">
    <w:nsid w:val="4516DDE9"/>
    <w:multiLevelType w:val="hybridMultilevel"/>
    <w:lvl w:ilvl="0">
      <w:lvlJc w:val="left"/>
      <w:lvlText w:val="%1."/>
      <w:numFmt w:val="decimal"/>
      <w:start w:val="5"/>
    </w:lvl>
    <w:lvl w:ilvl="1">
      <w:lvlJc w:val="left"/>
      <w:lvlText w:val="%2"/>
      <w:numFmt w:val="lowerLetter"/>
      <w:start w:val="1"/>
    </w:lvl>
  </w:abstractNum>
  <w:abstractNum w:abstractNumId="12">
    <w:nsid w:val="3006C83E"/>
    <w:multiLevelType w:val="hybridMultilevel"/>
    <w:lvl w:ilvl="0">
      <w:lvlJc w:val="left"/>
      <w:lvlText w:val="%1."/>
      <w:numFmt w:val="decimal"/>
      <w:start w:val="7"/>
    </w:lvl>
  </w:abstractNum>
  <w:abstractNum w:abstractNumId="13">
    <w:nsid w:val="614FD4A1"/>
    <w:multiLevelType w:val="hybridMultilevel"/>
    <w:lvl w:ilvl="0">
      <w:lvlJc w:val="left"/>
      <w:lvlText w:val="(%1)"/>
      <w:numFmt w:val="lowerLetter"/>
      <w:start w:val="1"/>
    </w:lvl>
  </w:abstractNum>
  <w:abstractNum w:abstractNumId="14">
    <w:nsid w:val="419AC241"/>
    <w:multiLevelType w:val="hybridMultilevel"/>
    <w:lvl w:ilvl="0">
      <w:lvlJc w:val="left"/>
      <w:lvlText w:val="%1."/>
      <w:numFmt w:val="decimal"/>
      <w:start w:val="8"/>
    </w:lvl>
  </w:abstractNum>
  <w:abstractNum w:abstractNumId="15">
    <w:nsid w:val="5577F8E1"/>
    <w:multiLevelType w:val="hybridMultilevel"/>
    <w:lvl w:ilvl="0">
      <w:lvlJc w:val="left"/>
      <w:lvlText w:val="%1."/>
      <w:numFmt w:val="decimal"/>
      <w:start w:val="10"/>
    </w:lvl>
  </w:abstractNum>
  <w:abstractNum w:abstractNumId="16">
    <w:nsid w:val="440BADFC"/>
    <w:multiLevelType w:val="hybridMultilevel"/>
    <w:lvl w:ilvl="0">
      <w:lvlJc w:val="left"/>
      <w:lvlText w:val="(%1)"/>
      <w:numFmt w:val="lowerLetter"/>
      <w:start w:val="1"/>
    </w:lvl>
  </w:abstractNum>
  <w:abstractNum w:abstractNumId="17">
    <w:nsid w:val="5072367"/>
    <w:multiLevelType w:val="hybridMultilevel"/>
    <w:lvl w:ilvl="0">
      <w:lvlJc w:val="left"/>
      <w:lvlText w:val="(%1)"/>
      <w:numFmt w:val="lowerLetter"/>
      <w:start w:val="1"/>
    </w:lvl>
  </w:abstractNum>
  <w:abstractNum w:abstractNumId="18">
    <w:nsid w:val="3804823E"/>
    <w:multiLevelType w:val="hybridMultilevel"/>
    <w:lvl w:ilvl="0">
      <w:lvlJc w:val="left"/>
      <w:lvlText w:val="%1."/>
      <w:numFmt w:val="decimal"/>
      <w:start w:val="11"/>
    </w:lvl>
  </w:abstractNum>
  <w:abstractNum w:abstractNumId="19">
    <w:nsid w:val="77465F01"/>
    <w:multiLevelType w:val="hybridMultilevel"/>
    <w:lvl w:ilvl="0">
      <w:lvlJc w:val="left"/>
      <w:lvlText w:val="(%1)"/>
      <w:numFmt w:val="lowerLetter"/>
      <w:start w:val="1"/>
    </w:lvl>
  </w:abstractNum>
  <w:abstractNum w:abstractNumId="20">
    <w:nsid w:val="7724C67E"/>
    <w:multiLevelType w:val="hybridMultilevel"/>
    <w:lvl w:ilvl="0">
      <w:lvlJc w:val="left"/>
      <w:lvlText w:val="(%1)"/>
      <w:numFmt w:val="lowerLetter"/>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1)"/>
      <w:numFmt w:val="lowerLetter"/>
      <w:start w:val="1"/>
    </w:lvl>
  </w:abstractNum>
  <w:abstractNum w:abstractNumId="24">
    <w:nsid w:val="51EAD36B"/>
    <w:multiLevelType w:val="hybridMultilevel"/>
    <w:lvl w:ilvl="0">
      <w:lvlJc w:val="left"/>
      <w:lvlText w:val="%1."/>
      <w:numFmt w:val="decimal"/>
      <w:start w:val="12"/>
    </w:lvl>
  </w:abstractNum>
  <w:abstractNum w:abstractNumId="25">
    <w:nsid w:val="2D517796"/>
    <w:multiLevelType w:val="hybridMultilevel"/>
    <w:lvl w:ilvl="0">
      <w:lvlJc w:val="left"/>
      <w:lvlText w:val="%1."/>
      <w:numFmt w:val="decimal"/>
      <w:start w:val="13"/>
    </w:lvl>
  </w:abstractNum>
  <w:abstractNum w:abstractNumId="26">
    <w:nsid w:val="580BD78F"/>
    <w:multiLevelType w:val="hybridMultilevel"/>
    <w:lvl w:ilvl="0">
      <w:lvlJc w:val="left"/>
      <w:lvlText w:val="(%1)"/>
      <w:numFmt w:val="lowerLetter"/>
      <w:start w:val="1"/>
    </w:lvl>
  </w:abstractNum>
  <w:abstractNum w:abstractNumId="27">
    <w:nsid w:val="153EA438"/>
    <w:multiLevelType w:val="hybridMultilevel"/>
    <w:lvl w:ilvl="0">
      <w:lvlJc w:val="left"/>
      <w:lvlText w:val="%1."/>
      <w:numFmt w:val="decimal"/>
      <w:start w:val="14"/>
    </w:lvl>
  </w:abstractNum>
  <w:abstractNum w:abstractNumId="28">
    <w:nsid w:val="3855585C"/>
    <w:multiLevelType w:val="hybridMultilevel"/>
    <w:lvl w:ilvl="0">
      <w:lvlJc w:val="left"/>
      <w:lvlText w:val="%1"/>
      <w:numFmt w:val="decimal"/>
      <w:start w:val="1"/>
    </w:lvl>
    <w:lvl w:ilvl="1">
      <w:lvlJc w:val="left"/>
      <w:lvlText w:val="(%2)"/>
      <w:numFmt w:val="lowerLetter"/>
      <w:start w:val="1"/>
    </w:lvl>
  </w:abstractNum>
  <w:abstractNum w:abstractNumId="29">
    <w:nsid w:val="70A64E2A"/>
    <w:multiLevelType w:val="hybridMultilevel"/>
    <w:lvl w:ilvl="0">
      <w:lvlJc w:val="left"/>
      <w:lvlText w:val="%1."/>
      <w:numFmt w:val="decimal"/>
      <w:start w:val="16"/>
    </w:lvl>
    <w:lvl w:ilvl="1">
      <w:lvlJc w:val="left"/>
      <w:lvlText w:val="%2"/>
      <w:numFmt w:val="lowerLetter"/>
      <w:start w:val="1"/>
    </w:lvl>
  </w:abstractNum>
  <w:abstractNum w:abstractNumId="30">
    <w:nsid w:val="6A2342EC"/>
    <w:multiLevelType w:val="hybridMultilevel"/>
    <w:lvl w:ilvl="0">
      <w:lvlJc w:val="left"/>
      <w:lvlText w:val="(%1)"/>
      <w:numFmt w:val="lowerLetter"/>
      <w:start w:val="1"/>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1"/>
      <w:numFmt w:val="decimal"/>
      <w:start w:val="1"/>
    </w:lvl>
    <w:lvl w:ilvl="1">
      <w:lvlJc w:val="left"/>
      <w:lvlText w:val="(%2)"/>
      <w:numFmt w:val="lowerLetter"/>
      <w:start w:val="1"/>
    </w:lvl>
  </w:abstractNum>
  <w:abstractNum w:abstractNumId="34">
    <w:nsid w:val="2CD89A32"/>
    <w:multiLevelType w:val="hybridMultilevel"/>
    <w:lvl w:ilvl="0">
      <w:lvlJc w:val="left"/>
      <w:lvlText w:val="%1."/>
      <w:numFmt w:val="decimal"/>
      <w:start w:val="17"/>
    </w:lvl>
    <w:lvl w:ilvl="1">
      <w:lvlJc w:val="left"/>
      <w:lvlText w:val="%2"/>
      <w:numFmt w:val="lowerLetter"/>
      <w:start w:val="1"/>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1."/>
      <w:numFmt w:val="decimal"/>
      <w:start w:val="18"/>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lowerLetter"/>
      <w:start w:val="1"/>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2"/>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2"/>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lowerLetter"/>
      <w:start w:val="4"/>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2"/>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65" Type="http://schemas.openxmlformats.org/officeDocument/2006/relationships/hyperlink" Target="http://www.sec.gov/Archives/edgar/data/723612/000072361206000058/articles.htm" TargetMode="External"/><Relationship Id="rId66" Type="http://schemas.openxmlformats.org/officeDocument/2006/relationships/hyperlink" Target="http://www.sec.gov/Archives/edgar/data/723612/000119312520218349/d84038dex32.htm" TargetMode="External"/><Relationship Id="rId67" Type="http://schemas.openxmlformats.org/officeDocument/2006/relationships/hyperlink" Target="http://www.sec.gov/Archives/edgar/data/723612/000119312524051236/d763560dex41.htm" TargetMode="External"/><Relationship Id="rId68" Type="http://schemas.openxmlformats.org/officeDocument/2006/relationships/hyperlink" Target="http://www.sec.gov/Archives/edgar/data/723612/000095014224000165/eh240438620_ex1001.htm" TargetMode="External"/><Relationship Id="rId69" Type="http://schemas.openxmlformats.org/officeDocument/2006/relationships/hyperlink" Target="http://www.sec.gov/Archives/edgar/data/723612/000095014224000165/eh240438620_ex1002.htm" TargetMode="External"/><Relationship Id="rId70" Type="http://schemas.openxmlformats.org/officeDocument/2006/relationships/hyperlink" Target="http://www.sec.gov/Archives/edgar/data/723612/000095014224000165/eh240438620_ex1003.htm" TargetMode="External"/><Relationship Id="rId71" Type="http://schemas.openxmlformats.org/officeDocument/2006/relationships/hyperlink" Target="http://www.sec.gov/Archives/edgar/data/723612/000095014224000655/eh240454893_ex1001.htm" TargetMode="External"/><Relationship Id="rId72" Type="http://schemas.openxmlformats.org/officeDocument/2006/relationships/hyperlink" Target="http://www.sec.gov/Archives/edgar/data/723612/000095014224000655/eh240454893_ex1002.htm" TargetMode="External"/><Relationship Id="rId73" Type="http://schemas.openxmlformats.org/officeDocument/2006/relationships/hyperlink" Target="http://www.sec.gov/Archives/edgar/data/723612/000095014224000731/eh240458417_8k-ex1001.htm" TargetMode="External"/><Relationship Id="rId74" Type="http://schemas.openxmlformats.org/officeDocument/2006/relationships/hyperlink" Target="http://www.sec.gov/Archives/edgar/data/723612/000095014224000731/eh240458417_8k-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2024-05-02T08:30:37Z</dcterms:created>
  <dcterms:modified xsi:type="dcterms:W3CDTF">2024-05-02T08:30:37Z</dcterms:modified>
</cp:coreProperties>
</file>