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592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DeGenova Cathleen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 SYLVAN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AVIS BUDGET GROUP,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CAR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64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147955</wp:posOffset>
            </wp:positionV>
            <wp:extent cx="6969760" cy="128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1,383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62.27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1,383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2,766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1,493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-2288540</wp:posOffset>
            </wp:positionV>
            <wp:extent cx="7034530" cy="2425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42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 Units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automatically convert to Common Stock upon the vesting of such units on a one-to-one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tax withholdings in connection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vest in three equal installments on March 9, 2021, 2022 and 2023.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Expiration date not applicable.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vest in three equal installments on March 9, 2022, 2023 and 2024.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vest on March 9, 2024 based on the Company's attainment of pre-established performance goals. The number of units which could vest range from zero to 150% of the target number of units reported above depending on achievement of such performance goals.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M. Sera,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-12700</wp:posOffset>
            </wp:positionV>
            <wp:extent cx="1111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for Cathleen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03/11/2021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73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DeGenova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4495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3001" TargetMode="External"/><Relationship Id="rId14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2021-03-11T16:36:52Z</dcterms:created>
  <dcterms:modified xsi:type="dcterms:W3CDTF">2021-03-11T16:36:52Z</dcterms:modified>
</cp:coreProperties>
</file>