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680" w:type="dxa"/>
        <w:tblCellMar>
          <w:top w:w="0" w:type="dxa"/>
          <w:left w:w="0" w:type="dxa"/>
          <w:bottom w:w="0" w:type="dxa"/>
          <w:right w:w="0" w:type="dxa"/>
        </w:tblCellMar>
      </w:tblPr>
      <w:tr>
        <w:trPr>
          <w:trHeight w:val="257"/>
        </w:trPr>
        <w:tc>
          <w:tcPr>
            <w:tcW w:w="24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80" w:type="dxa"/>
            <w:vAlign w:val="bottom"/>
            <w:gridSpan w:val="3"/>
          </w:tcPr>
          <w:p>
            <w:pPr>
              <w:jc w:val="center"/>
              <w:ind w:left="227"/>
              <w:spacing w:after="0"/>
              <w:rPr>
                <w:sz w:val="20"/>
                <w:szCs w:val="20"/>
                <w:color w:val="auto"/>
              </w:rPr>
            </w:pPr>
            <w:r>
              <w:rPr>
                <w:rFonts w:ascii="Arial" w:cs="Arial" w:eastAsia="Arial" w:hAnsi="Arial"/>
                <w:sz w:val="22"/>
                <w:szCs w:val="22"/>
                <w:b w:val="1"/>
                <w:bCs w:val="1"/>
                <w:color w:val="auto"/>
                <w:w w:val="96"/>
              </w:rPr>
              <w:t>UNITED STATES</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400" w:type="dxa"/>
            <w:vAlign w:val="bottom"/>
          </w:tcPr>
          <w:p>
            <w:pPr>
              <w:spacing w:after="0"/>
              <w:rPr>
                <w:sz w:val="22"/>
                <w:szCs w:val="22"/>
                <w:color w:val="auto"/>
              </w:rPr>
            </w:pPr>
          </w:p>
        </w:tc>
        <w:tc>
          <w:tcPr>
            <w:tcW w:w="7920" w:type="dxa"/>
            <w:vAlign w:val="bottom"/>
            <w:gridSpan w:val="10"/>
          </w:tcPr>
          <w:p>
            <w:pPr>
              <w:jc w:val="center"/>
              <w:ind w:right="2757"/>
              <w:spacing w:after="0"/>
              <w:rPr>
                <w:sz w:val="20"/>
                <w:szCs w:val="20"/>
                <w:color w:val="auto"/>
              </w:rPr>
            </w:pPr>
            <w:r>
              <w:rPr>
                <w:rFonts w:ascii="Arial" w:cs="Arial" w:eastAsia="Arial" w:hAnsi="Arial"/>
                <w:sz w:val="22"/>
                <w:szCs w:val="22"/>
                <w:b w:val="1"/>
                <w:bCs w:val="1"/>
                <w:color w:val="auto"/>
                <w:w w:val="98"/>
              </w:rPr>
              <w:t>SECURITIES AND EXCHANGE COMMISSION</w:t>
            </w:r>
          </w:p>
        </w:tc>
        <w:tc>
          <w:tcPr>
            <w:tcW w:w="0" w:type="dxa"/>
            <w:vAlign w:val="bottom"/>
          </w:tcPr>
          <w:p>
            <w:pPr>
              <w:spacing w:after="0"/>
              <w:rPr>
                <w:sz w:val="1"/>
                <w:szCs w:val="1"/>
                <w:color w:val="auto"/>
              </w:rPr>
            </w:pPr>
          </w:p>
        </w:tc>
      </w:tr>
      <w:tr>
        <w:trPr>
          <w:trHeight w:val="168"/>
        </w:trPr>
        <w:tc>
          <w:tcPr>
            <w:tcW w:w="2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3"/>
          </w:tcPr>
          <w:p>
            <w:pPr>
              <w:jc w:val="center"/>
              <w:ind w:left="247"/>
              <w:spacing w:after="0"/>
              <w:rPr>
                <w:sz w:val="20"/>
                <w:szCs w:val="20"/>
                <w:color w:val="auto"/>
              </w:rPr>
            </w:pPr>
            <w:r>
              <w:rPr>
                <w:rFonts w:ascii="Arial" w:cs="Arial" w:eastAsia="Arial" w:hAnsi="Arial"/>
                <w:sz w:val="13"/>
                <w:szCs w:val="13"/>
                <w:b w:val="1"/>
                <w:bCs w:val="1"/>
                <w:color w:val="auto"/>
                <w:w w:val="96"/>
              </w:rPr>
              <w:t>WASHINGTON, D.C. 20549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2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3"/>
          </w:tcPr>
          <w:p>
            <w:pPr>
              <w:ind w:left="600"/>
              <w:spacing w:after="0"/>
              <w:rPr>
                <w:sz w:val="20"/>
                <w:szCs w:val="20"/>
                <w:color w:val="auto"/>
              </w:rPr>
            </w:pPr>
            <w:r>
              <w:rPr>
                <w:rFonts w:ascii="Arial" w:cs="Arial" w:eastAsia="Arial" w:hAnsi="Arial"/>
                <w:sz w:val="22"/>
                <w:szCs w:val="22"/>
                <w:b w:val="1"/>
                <w:bCs w:val="1"/>
                <w:color w:val="auto"/>
              </w:rPr>
              <w:t>FORM 10-K</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400" w:type="dxa"/>
            <w:vAlign w:val="bottom"/>
            <w:vMerge w:val="restart"/>
          </w:tcPr>
          <w:p>
            <w:pPr>
              <w:ind w:left="1700"/>
              <w:spacing w:after="0" w:line="181" w:lineRule="exact"/>
              <w:rPr>
                <w:sz w:val="20"/>
                <w:szCs w:val="20"/>
                <w:color w:val="auto"/>
              </w:rPr>
            </w:pPr>
            <w:r>
              <w:rPr>
                <w:rFonts w:ascii="MS PGothic" w:cs="MS PGothic" w:eastAsia="MS PGothic" w:hAnsi="MS PGothic"/>
                <w:sz w:val="18"/>
                <w:szCs w:val="18"/>
                <w:color w:val="auto"/>
              </w:rPr>
              <w:t>☒</w:t>
            </w:r>
          </w:p>
        </w:tc>
        <w:tc>
          <w:tcPr>
            <w:tcW w:w="7920" w:type="dxa"/>
            <w:vAlign w:val="bottom"/>
            <w:gridSpan w:val="10"/>
          </w:tcPr>
          <w:p>
            <w:pPr>
              <w:jc w:val="center"/>
              <w:ind w:right="2117"/>
              <w:spacing w:after="0" w:line="139" w:lineRule="exact"/>
              <w:rPr>
                <w:sz w:val="20"/>
                <w:szCs w:val="20"/>
                <w:color w:val="auto"/>
              </w:rPr>
            </w:pPr>
            <w:r>
              <w:rPr>
                <w:rFonts w:ascii="Arial" w:cs="Arial" w:eastAsia="Arial" w:hAnsi="Arial"/>
                <w:sz w:val="13"/>
                <w:szCs w:val="13"/>
                <w:b w:val="1"/>
                <w:bCs w:val="1"/>
                <w:color w:val="auto"/>
                <w:w w:val="96"/>
              </w:rPr>
              <w:t>ANNUAL REPORT PURSUANT TO SECTION 13 OR 15(d) OF THE</w:t>
            </w:r>
          </w:p>
        </w:tc>
        <w:tc>
          <w:tcPr>
            <w:tcW w:w="0" w:type="dxa"/>
            <w:vAlign w:val="bottom"/>
          </w:tcPr>
          <w:p>
            <w:pPr>
              <w:spacing w:after="0"/>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20" w:type="dxa"/>
            <w:vAlign w:val="bottom"/>
            <w:gridSpan w:val="8"/>
          </w:tcPr>
          <w:p>
            <w:pPr>
              <w:jc w:val="center"/>
              <w:ind w:right="3497"/>
              <w:spacing w:after="0"/>
              <w:rPr>
                <w:sz w:val="20"/>
                <w:szCs w:val="20"/>
                <w:color w:val="auto"/>
              </w:rPr>
            </w:pPr>
            <w:r>
              <w:rPr>
                <w:rFonts w:ascii="Arial" w:cs="Arial" w:eastAsia="Arial" w:hAnsi="Arial"/>
                <w:sz w:val="13"/>
                <w:szCs w:val="13"/>
                <w:b w:val="1"/>
                <w:bCs w:val="1"/>
                <w:color w:val="auto"/>
                <w:w w:val="96"/>
              </w:rPr>
              <w:t>SECURITIES EXCHANGE ACT OF 1934</w:t>
            </w:r>
          </w:p>
        </w:tc>
        <w:tc>
          <w:tcPr>
            <w:tcW w:w="0" w:type="dxa"/>
            <w:vAlign w:val="bottom"/>
          </w:tcPr>
          <w:p>
            <w:pPr>
              <w:spacing w:after="0"/>
              <w:rPr>
                <w:sz w:val="1"/>
                <w:szCs w:val="1"/>
                <w:color w:val="auto"/>
              </w:rPr>
            </w:pPr>
          </w:p>
        </w:tc>
      </w:tr>
      <w:tr>
        <w:trPr>
          <w:trHeight w:val="431"/>
        </w:trPr>
        <w:tc>
          <w:tcPr>
            <w:tcW w:w="2400" w:type="dxa"/>
            <w:vAlign w:val="bottom"/>
          </w:tcPr>
          <w:p>
            <w:pPr>
              <w:spacing w:after="0"/>
              <w:rPr>
                <w:sz w:val="24"/>
                <w:szCs w:val="24"/>
                <w:color w:val="auto"/>
              </w:rPr>
            </w:pPr>
          </w:p>
        </w:tc>
        <w:tc>
          <w:tcPr>
            <w:tcW w:w="7920" w:type="dxa"/>
            <w:vAlign w:val="bottom"/>
            <w:gridSpan w:val="10"/>
          </w:tcPr>
          <w:p>
            <w:pPr>
              <w:jc w:val="center"/>
              <w:ind w:right="2757"/>
              <w:spacing w:after="0"/>
              <w:rPr>
                <w:sz w:val="20"/>
                <w:szCs w:val="20"/>
                <w:color w:val="auto"/>
              </w:rPr>
            </w:pPr>
            <w:r>
              <w:rPr>
                <w:rFonts w:ascii="Arial" w:cs="Arial" w:eastAsia="Arial" w:hAnsi="Arial"/>
                <w:sz w:val="13"/>
                <w:szCs w:val="13"/>
                <w:b w:val="1"/>
                <w:bCs w:val="1"/>
                <w:color w:val="auto"/>
                <w:w w:val="97"/>
              </w:rPr>
              <w:t>For the fiscal year ended December 31, 2021</w:t>
            </w:r>
          </w:p>
        </w:tc>
        <w:tc>
          <w:tcPr>
            <w:tcW w:w="0" w:type="dxa"/>
            <w:vAlign w:val="bottom"/>
          </w:tcPr>
          <w:p>
            <w:pPr>
              <w:spacing w:after="0"/>
              <w:rPr>
                <w:sz w:val="1"/>
                <w:szCs w:val="1"/>
                <w:color w:val="auto"/>
              </w:rPr>
            </w:pPr>
          </w:p>
        </w:tc>
      </w:tr>
      <w:tr>
        <w:trPr>
          <w:trHeight w:val="168"/>
        </w:trPr>
        <w:tc>
          <w:tcPr>
            <w:tcW w:w="2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3"/>
          </w:tcPr>
          <w:p>
            <w:pPr>
              <w:jc w:val="center"/>
              <w:ind w:left="227"/>
              <w:spacing w:after="0"/>
              <w:rPr>
                <w:sz w:val="20"/>
                <w:szCs w:val="20"/>
                <w:color w:val="auto"/>
              </w:rPr>
            </w:pPr>
            <w:r>
              <w:rPr>
                <w:rFonts w:ascii="Arial" w:cs="Arial" w:eastAsia="Arial" w:hAnsi="Arial"/>
                <w:sz w:val="13"/>
                <w:szCs w:val="13"/>
                <w:b w:val="1"/>
                <w:bCs w:val="1"/>
                <w:color w:val="auto"/>
              </w:rPr>
              <w:t>OR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400" w:type="dxa"/>
            <w:vAlign w:val="bottom"/>
            <w:vMerge w:val="restart"/>
          </w:tcPr>
          <w:p>
            <w:pPr>
              <w:ind w:left="1700"/>
              <w:spacing w:after="0" w:line="181" w:lineRule="exact"/>
              <w:rPr>
                <w:sz w:val="20"/>
                <w:szCs w:val="20"/>
                <w:color w:val="auto"/>
              </w:rPr>
            </w:pPr>
            <w:r>
              <w:rPr>
                <w:rFonts w:ascii="MS PGothic" w:cs="MS PGothic" w:eastAsia="MS PGothic" w:hAnsi="MS PGothic"/>
                <w:sz w:val="18"/>
                <w:szCs w:val="18"/>
                <w:color w:val="auto"/>
              </w:rPr>
              <w:t>☐</w:t>
            </w:r>
          </w:p>
        </w:tc>
        <w:tc>
          <w:tcPr>
            <w:tcW w:w="7920" w:type="dxa"/>
            <w:vAlign w:val="bottom"/>
            <w:gridSpan w:val="10"/>
          </w:tcPr>
          <w:p>
            <w:pPr>
              <w:jc w:val="center"/>
              <w:ind w:right="2117"/>
              <w:spacing w:after="0"/>
              <w:rPr>
                <w:sz w:val="20"/>
                <w:szCs w:val="20"/>
                <w:color w:val="auto"/>
              </w:rPr>
            </w:pPr>
            <w:r>
              <w:rPr>
                <w:rFonts w:ascii="Arial" w:cs="Arial" w:eastAsia="Arial" w:hAnsi="Arial"/>
                <w:sz w:val="13"/>
                <w:szCs w:val="13"/>
                <w:b w:val="1"/>
                <w:bCs w:val="1"/>
                <w:color w:val="auto"/>
                <w:w w:val="96"/>
              </w:rPr>
              <w:t>TRANSITION REPORT PURSUANT TO SECTION 13 OR 15(d) OF THE</w:t>
            </w:r>
          </w:p>
        </w:tc>
        <w:tc>
          <w:tcPr>
            <w:tcW w:w="0" w:type="dxa"/>
            <w:vAlign w:val="bottom"/>
          </w:tcPr>
          <w:p>
            <w:pPr>
              <w:spacing w:after="0"/>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20" w:type="dxa"/>
            <w:vAlign w:val="bottom"/>
            <w:gridSpan w:val="8"/>
          </w:tcPr>
          <w:p>
            <w:pPr>
              <w:jc w:val="center"/>
              <w:ind w:right="3497"/>
              <w:spacing w:after="0"/>
              <w:rPr>
                <w:sz w:val="20"/>
                <w:szCs w:val="20"/>
                <w:color w:val="auto"/>
              </w:rPr>
            </w:pPr>
            <w:r>
              <w:rPr>
                <w:rFonts w:ascii="Arial" w:cs="Arial" w:eastAsia="Arial" w:hAnsi="Arial"/>
                <w:sz w:val="13"/>
                <w:szCs w:val="13"/>
                <w:b w:val="1"/>
                <w:bCs w:val="1"/>
                <w:color w:val="auto"/>
                <w:w w:val="96"/>
              </w:rPr>
              <w:t>SECURITIES EXCHANGE ACT OF 1934</w:t>
            </w:r>
          </w:p>
        </w:tc>
        <w:tc>
          <w:tcPr>
            <w:tcW w:w="0" w:type="dxa"/>
            <w:vAlign w:val="bottom"/>
          </w:tcPr>
          <w:p>
            <w:pPr>
              <w:spacing w:after="0"/>
              <w:rPr>
                <w:sz w:val="1"/>
                <w:szCs w:val="1"/>
                <w:color w:val="auto"/>
              </w:rPr>
            </w:pPr>
          </w:p>
        </w:tc>
      </w:tr>
      <w:tr>
        <w:trPr>
          <w:trHeight w:val="439"/>
        </w:trPr>
        <w:tc>
          <w:tcPr>
            <w:tcW w:w="2400" w:type="dxa"/>
            <w:vAlign w:val="bottom"/>
          </w:tcPr>
          <w:p>
            <w:pPr>
              <w:spacing w:after="0"/>
              <w:rPr>
                <w:sz w:val="24"/>
                <w:szCs w:val="24"/>
                <w:color w:val="auto"/>
              </w:rPr>
            </w:pPr>
          </w:p>
        </w:tc>
        <w:tc>
          <w:tcPr>
            <w:tcW w:w="2940" w:type="dxa"/>
            <w:vAlign w:val="bottom"/>
            <w:gridSpan w:val="3"/>
          </w:tcPr>
          <w:p>
            <w:pPr>
              <w:ind w:left="1120"/>
              <w:spacing w:after="0"/>
              <w:rPr>
                <w:sz w:val="20"/>
                <w:szCs w:val="20"/>
                <w:color w:val="auto"/>
              </w:rPr>
            </w:pPr>
            <w:r>
              <w:rPr>
                <w:rFonts w:ascii="Arial" w:cs="Arial" w:eastAsia="Arial" w:hAnsi="Arial"/>
                <w:sz w:val="13"/>
                <w:szCs w:val="13"/>
                <w:b w:val="1"/>
                <w:bCs w:val="1"/>
                <w:color w:val="auto"/>
                <w:w w:val="98"/>
              </w:rPr>
              <w:t>For the transition period from</w:t>
            </w:r>
          </w:p>
        </w:tc>
        <w:tc>
          <w:tcPr>
            <w:tcW w:w="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3"/>
                <w:szCs w:val="13"/>
                <w:b w:val="1"/>
                <w:bCs w:val="1"/>
                <w:color w:val="auto"/>
              </w:rPr>
              <w:t>to</w:t>
            </w:r>
          </w:p>
        </w:tc>
        <w:tc>
          <w:tcPr>
            <w:tcW w:w="420" w:type="dxa"/>
            <w:vAlign w:val="bottom"/>
            <w:tcBorders>
              <w:bottom w:val="single" w:sz="8" w:color="auto"/>
            </w:tcBorders>
            <w:gridSpan w:val="3"/>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Pr>
          <w:p>
            <w:pPr>
              <w:ind w:left="120"/>
              <w:spacing w:after="0"/>
              <w:rPr>
                <w:sz w:val="20"/>
                <w:szCs w:val="20"/>
                <w:color w:val="auto"/>
              </w:rPr>
            </w:pPr>
            <w:r>
              <w:rPr>
                <w:rFonts w:ascii="Arial" w:cs="Arial" w:eastAsia="Arial" w:hAnsi="Arial"/>
                <w:sz w:val="13"/>
                <w:szCs w:val="13"/>
                <w:b w:val="1"/>
                <w:bCs w:val="1"/>
                <w:color w:val="auto"/>
                <w:w w:val="97"/>
              </w:rPr>
              <w:t>COMMISSION FILE NO.</w:t>
            </w:r>
          </w:p>
        </w:tc>
        <w:tc>
          <w:tcPr>
            <w:tcW w:w="76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w w:val="96"/>
              </w:rPr>
              <w:t>001-10308</w:t>
            </w:r>
          </w:p>
        </w:tc>
        <w:tc>
          <w:tcPr>
            <w:tcW w:w="260" w:type="dxa"/>
            <w:vAlign w:val="bottom"/>
            <w:gridSpan w:val="2"/>
          </w:tcPr>
          <w:p>
            <w:pPr>
              <w:spacing w:after="0"/>
              <w:rPr>
                <w:sz w:val="14"/>
                <w:szCs w:val="14"/>
                <w:color w:val="auto"/>
              </w:rPr>
            </w:pPr>
          </w:p>
        </w:tc>
        <w:tc>
          <w:tcPr>
            <w:tcW w:w="3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2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20" w:type="dxa"/>
            <w:vAlign w:val="bottom"/>
            <w:tcBorders>
              <w:bottom w:val="single" w:sz="8" w:color="auto"/>
            </w:tcBorders>
            <w:gridSpan w:val="6"/>
          </w:tcPr>
          <w:p>
            <w:pPr>
              <w:spacing w:after="0"/>
              <w:rPr>
                <w:sz w:val="24"/>
                <w:szCs w:val="24"/>
                <w:color w:val="auto"/>
              </w:rPr>
            </w:pPr>
          </w:p>
        </w:tc>
        <w:tc>
          <w:tcPr>
            <w:tcW w:w="4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2400" w:type="dxa"/>
            <w:vAlign w:val="bottom"/>
          </w:tcPr>
          <w:p>
            <w:pPr>
              <w:spacing w:after="0"/>
              <w:rPr>
                <w:sz w:val="24"/>
                <w:szCs w:val="24"/>
                <w:color w:val="auto"/>
              </w:rPr>
            </w:pPr>
          </w:p>
        </w:tc>
        <w:tc>
          <w:tcPr>
            <w:tcW w:w="7920" w:type="dxa"/>
            <w:vAlign w:val="bottom"/>
            <w:gridSpan w:val="10"/>
          </w:tcPr>
          <w:p>
            <w:pPr>
              <w:jc w:val="center"/>
              <w:ind w:right="2777"/>
              <w:spacing w:after="0"/>
              <w:rPr>
                <w:sz w:val="20"/>
                <w:szCs w:val="20"/>
                <w:color w:val="auto"/>
              </w:rPr>
            </w:pPr>
            <w:r>
              <w:rPr>
                <w:rFonts w:ascii="Arial" w:cs="Arial" w:eastAsia="Arial" w:hAnsi="Arial"/>
                <w:sz w:val="22"/>
                <w:szCs w:val="22"/>
                <w:b w:val="1"/>
                <w:bCs w:val="1"/>
                <w:color w:val="auto"/>
                <w:w w:val="96"/>
              </w:rPr>
              <w:t>AVIS BUDGET GROUP, INC.</w:t>
            </w:r>
          </w:p>
        </w:tc>
        <w:tc>
          <w:tcPr>
            <w:tcW w:w="0" w:type="dxa"/>
            <w:vAlign w:val="bottom"/>
          </w:tcPr>
          <w:p>
            <w:pPr>
              <w:spacing w:after="0"/>
              <w:rPr>
                <w:sz w:val="1"/>
                <w:szCs w:val="1"/>
                <w:color w:val="auto"/>
              </w:rPr>
            </w:pPr>
          </w:p>
        </w:tc>
      </w:tr>
      <w:tr>
        <w:trPr>
          <w:trHeight w:val="152"/>
        </w:trPr>
        <w:tc>
          <w:tcPr>
            <w:tcW w:w="2400" w:type="dxa"/>
            <w:vAlign w:val="bottom"/>
          </w:tcPr>
          <w:p>
            <w:pPr>
              <w:spacing w:after="0"/>
              <w:rPr>
                <w:sz w:val="13"/>
                <w:szCs w:val="13"/>
                <w:color w:val="auto"/>
              </w:rPr>
            </w:pPr>
          </w:p>
        </w:tc>
        <w:tc>
          <w:tcPr>
            <w:tcW w:w="7920" w:type="dxa"/>
            <w:vAlign w:val="bottom"/>
            <w:gridSpan w:val="10"/>
          </w:tcPr>
          <w:p>
            <w:pPr>
              <w:jc w:val="center"/>
              <w:ind w:right="2777"/>
              <w:spacing w:after="0"/>
              <w:rPr>
                <w:sz w:val="20"/>
                <w:szCs w:val="20"/>
                <w:color w:val="auto"/>
              </w:rPr>
            </w:pPr>
            <w:r>
              <w:rPr>
                <w:rFonts w:ascii="Arial" w:cs="Arial" w:eastAsia="Arial" w:hAnsi="Arial"/>
                <w:sz w:val="13"/>
                <w:szCs w:val="13"/>
                <w:color w:val="auto"/>
                <w:w w:val="96"/>
              </w:rPr>
              <w:t>(Exact name of Registrant as specified in its charter)</w:t>
            </w:r>
          </w:p>
        </w:tc>
        <w:tc>
          <w:tcPr>
            <w:tcW w:w="0" w:type="dxa"/>
            <w:vAlign w:val="bottom"/>
          </w:tcPr>
          <w:p>
            <w:pPr>
              <w:spacing w:after="0"/>
              <w:rPr>
                <w:sz w:val="1"/>
                <w:szCs w:val="1"/>
                <w:color w:val="auto"/>
              </w:rPr>
            </w:pPr>
          </w:p>
        </w:tc>
      </w:tr>
      <w:tr>
        <w:trPr>
          <w:trHeight w:val="189"/>
        </w:trPr>
        <w:tc>
          <w:tcPr>
            <w:tcW w:w="2400" w:type="dxa"/>
            <w:vAlign w:val="bottom"/>
          </w:tcPr>
          <w:p>
            <w:pPr>
              <w:jc w:val="center"/>
              <w:ind w:right="192"/>
              <w:spacing w:after="0"/>
              <w:rPr>
                <w:sz w:val="20"/>
                <w:szCs w:val="20"/>
                <w:color w:val="auto"/>
              </w:rPr>
            </w:pPr>
            <w:r>
              <w:rPr>
                <w:rFonts w:ascii="Arial" w:cs="Arial" w:eastAsia="Arial" w:hAnsi="Arial"/>
                <w:sz w:val="13"/>
                <w:szCs w:val="13"/>
                <w:b w:val="1"/>
                <w:bCs w:val="1"/>
                <w:color w:val="auto"/>
                <w:w w:val="94"/>
              </w:rPr>
              <w:t>Delaware</w:t>
            </w: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40" w:type="dxa"/>
            <w:vAlign w:val="bottom"/>
            <w:gridSpan w:val="5"/>
          </w:tcPr>
          <w:p>
            <w:pPr>
              <w:jc w:val="right"/>
              <w:ind w:right="1037"/>
              <w:spacing w:after="0"/>
              <w:rPr>
                <w:sz w:val="20"/>
                <w:szCs w:val="20"/>
                <w:color w:val="auto"/>
              </w:rPr>
            </w:pPr>
            <w:r>
              <w:rPr>
                <w:rFonts w:ascii="Arial" w:cs="Arial" w:eastAsia="Arial" w:hAnsi="Arial"/>
                <w:sz w:val="13"/>
                <w:szCs w:val="13"/>
                <w:b w:val="1"/>
                <w:bCs w:val="1"/>
                <w:color w:val="auto"/>
              </w:rPr>
              <w:t>06-0918165</w:t>
            </w:r>
          </w:p>
        </w:tc>
        <w:tc>
          <w:tcPr>
            <w:tcW w:w="0" w:type="dxa"/>
            <w:vAlign w:val="bottom"/>
          </w:tcPr>
          <w:p>
            <w:pPr>
              <w:spacing w:after="0"/>
              <w:rPr>
                <w:sz w:val="1"/>
                <w:szCs w:val="1"/>
                <w:color w:val="auto"/>
              </w:rPr>
            </w:pPr>
          </w:p>
        </w:tc>
      </w:tr>
      <w:tr>
        <w:trPr>
          <w:trHeight w:val="145"/>
        </w:trPr>
        <w:tc>
          <w:tcPr>
            <w:tcW w:w="2400" w:type="dxa"/>
            <w:vAlign w:val="bottom"/>
          </w:tcPr>
          <w:p>
            <w:pPr>
              <w:jc w:val="center"/>
              <w:ind w:right="232"/>
              <w:spacing w:after="0" w:line="145" w:lineRule="exact"/>
              <w:rPr>
                <w:sz w:val="20"/>
                <w:szCs w:val="20"/>
                <w:color w:val="auto"/>
              </w:rPr>
            </w:pPr>
            <w:r>
              <w:rPr>
                <w:rFonts w:ascii="Arial" w:cs="Arial" w:eastAsia="Arial" w:hAnsi="Arial"/>
                <w:sz w:val="13"/>
                <w:szCs w:val="13"/>
                <w:color w:val="auto"/>
                <w:w w:val="97"/>
              </w:rPr>
              <w:t>(State or other jurisdiction of</w:t>
            </w: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960" w:type="dxa"/>
            <w:vAlign w:val="bottom"/>
          </w:tcPr>
          <w:p>
            <w:pPr>
              <w:jc w:val="center"/>
              <w:ind w:left="1017"/>
              <w:spacing w:after="0" w:line="145" w:lineRule="exact"/>
              <w:rPr>
                <w:sz w:val="20"/>
                <w:szCs w:val="20"/>
                <w:color w:val="auto"/>
              </w:rPr>
            </w:pPr>
            <w:r>
              <w:rPr>
                <w:rFonts w:ascii="Arial" w:cs="Arial" w:eastAsia="Arial" w:hAnsi="Arial"/>
                <w:sz w:val="13"/>
                <w:szCs w:val="13"/>
                <w:color w:val="auto"/>
                <w:w w:val="97"/>
              </w:rPr>
              <w:t>(I.R.S. Employer Identification Number)</w:t>
            </w:r>
          </w:p>
        </w:tc>
        <w:tc>
          <w:tcPr>
            <w:tcW w:w="0" w:type="dxa"/>
            <w:vAlign w:val="bottom"/>
          </w:tcPr>
          <w:p>
            <w:pPr>
              <w:spacing w:after="0"/>
              <w:rPr>
                <w:sz w:val="1"/>
                <w:szCs w:val="1"/>
                <w:color w:val="auto"/>
              </w:rPr>
            </w:pPr>
          </w:p>
        </w:tc>
      </w:tr>
      <w:tr>
        <w:trPr>
          <w:trHeight w:val="152"/>
        </w:trPr>
        <w:tc>
          <w:tcPr>
            <w:tcW w:w="2400" w:type="dxa"/>
            <w:vAlign w:val="bottom"/>
          </w:tcPr>
          <w:p>
            <w:pPr>
              <w:jc w:val="center"/>
              <w:ind w:right="192"/>
              <w:spacing w:after="0"/>
              <w:rPr>
                <w:sz w:val="20"/>
                <w:szCs w:val="20"/>
                <w:color w:val="auto"/>
              </w:rPr>
            </w:pPr>
            <w:r>
              <w:rPr>
                <w:rFonts w:ascii="Arial" w:cs="Arial" w:eastAsia="Arial" w:hAnsi="Arial"/>
                <w:sz w:val="13"/>
                <w:szCs w:val="13"/>
                <w:color w:val="auto"/>
                <w:w w:val="95"/>
              </w:rPr>
              <w:t>incorporation or organization)</w:t>
            </w: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00" w:type="dxa"/>
            <w:vAlign w:val="bottom"/>
          </w:tcPr>
          <w:p>
            <w:pPr>
              <w:jc w:val="center"/>
              <w:ind w:right="212"/>
              <w:spacing w:after="0"/>
              <w:rPr>
                <w:sz w:val="20"/>
                <w:szCs w:val="20"/>
                <w:color w:val="auto"/>
              </w:rPr>
            </w:pPr>
            <w:r>
              <w:rPr>
                <w:rFonts w:ascii="Arial" w:cs="Arial" w:eastAsia="Arial" w:hAnsi="Arial"/>
                <w:sz w:val="13"/>
                <w:szCs w:val="13"/>
                <w:b w:val="1"/>
                <w:bCs w:val="1"/>
                <w:color w:val="auto"/>
                <w:w w:val="96"/>
              </w:rPr>
              <w:t>6 Sylvan Way</w:t>
            </w: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0" w:type="dxa"/>
            <w:vAlign w:val="bottom"/>
          </w:tcPr>
          <w:p>
            <w:pPr>
              <w:jc w:val="center"/>
              <w:ind w:right="192"/>
              <w:spacing w:after="0"/>
              <w:rPr>
                <w:sz w:val="20"/>
                <w:szCs w:val="20"/>
                <w:color w:val="auto"/>
              </w:rPr>
            </w:pPr>
            <w:r>
              <w:rPr>
                <w:rFonts w:ascii="Arial" w:cs="Arial" w:eastAsia="Arial" w:hAnsi="Arial"/>
                <w:sz w:val="13"/>
                <w:szCs w:val="13"/>
                <w:b w:val="1"/>
                <w:bCs w:val="1"/>
                <w:color w:val="auto"/>
                <w:w w:val="95"/>
              </w:rPr>
              <w:t>Parsippany, NJ</w:t>
            </w: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40" w:type="dxa"/>
            <w:vAlign w:val="bottom"/>
            <w:gridSpan w:val="5"/>
          </w:tcPr>
          <w:p>
            <w:pPr>
              <w:jc w:val="right"/>
              <w:ind w:right="1197"/>
              <w:spacing w:after="0"/>
              <w:rPr>
                <w:sz w:val="20"/>
                <w:szCs w:val="20"/>
                <w:color w:val="auto"/>
              </w:rPr>
            </w:pPr>
            <w:r>
              <w:rPr>
                <w:rFonts w:ascii="Arial" w:cs="Arial" w:eastAsia="Arial" w:hAnsi="Arial"/>
                <w:sz w:val="13"/>
                <w:szCs w:val="13"/>
                <w:b w:val="1"/>
                <w:bCs w:val="1"/>
                <w:color w:val="auto"/>
              </w:rPr>
              <w:t>07054</w:t>
            </w:r>
          </w:p>
        </w:tc>
        <w:tc>
          <w:tcPr>
            <w:tcW w:w="0" w:type="dxa"/>
            <w:vAlign w:val="bottom"/>
          </w:tcPr>
          <w:p>
            <w:pPr>
              <w:spacing w:after="0"/>
              <w:rPr>
                <w:sz w:val="1"/>
                <w:szCs w:val="1"/>
                <w:color w:val="auto"/>
              </w:rPr>
            </w:pPr>
          </w:p>
        </w:tc>
      </w:tr>
      <w:tr>
        <w:trPr>
          <w:trHeight w:val="175"/>
        </w:trPr>
        <w:tc>
          <w:tcPr>
            <w:tcW w:w="2400" w:type="dxa"/>
            <w:vAlign w:val="bottom"/>
          </w:tcPr>
          <w:p>
            <w:pPr>
              <w:jc w:val="center"/>
              <w:ind w:right="192"/>
              <w:spacing w:after="0"/>
              <w:rPr>
                <w:sz w:val="20"/>
                <w:szCs w:val="20"/>
                <w:color w:val="auto"/>
              </w:rPr>
            </w:pPr>
            <w:r>
              <w:rPr>
                <w:rFonts w:ascii="Arial" w:cs="Arial" w:eastAsia="Arial" w:hAnsi="Arial"/>
                <w:sz w:val="13"/>
                <w:szCs w:val="13"/>
                <w:color w:val="auto"/>
                <w:w w:val="96"/>
              </w:rPr>
              <w:t>(Address of principal executive offices)</w:t>
            </w: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960" w:type="dxa"/>
            <w:vAlign w:val="bottom"/>
          </w:tcPr>
          <w:p>
            <w:pPr>
              <w:jc w:val="center"/>
              <w:ind w:left="1017"/>
              <w:spacing w:after="0"/>
              <w:rPr>
                <w:sz w:val="20"/>
                <w:szCs w:val="20"/>
                <w:color w:val="auto"/>
              </w:rPr>
            </w:pPr>
            <w:r>
              <w:rPr>
                <w:rFonts w:ascii="Arial" w:cs="Arial" w:eastAsia="Arial" w:hAnsi="Arial"/>
                <w:sz w:val="13"/>
                <w:szCs w:val="13"/>
                <w:color w:val="auto"/>
                <w:w w:val="97"/>
              </w:rPr>
              <w:t>(Zip Code)</w:t>
            </w: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3360" w:type="dxa"/>
            <w:vAlign w:val="bottom"/>
            <w:gridSpan w:val="4"/>
          </w:tcPr>
          <w:p>
            <w:pPr>
              <w:jc w:val="center"/>
              <w:ind w:left="1668"/>
              <w:spacing w:after="0"/>
              <w:rPr>
                <w:sz w:val="20"/>
                <w:szCs w:val="20"/>
                <w:color w:val="auto"/>
              </w:rPr>
            </w:pPr>
            <w:r>
              <w:rPr>
                <w:rFonts w:ascii="Arial" w:cs="Arial" w:eastAsia="Arial" w:hAnsi="Arial"/>
                <w:sz w:val="13"/>
                <w:szCs w:val="13"/>
                <w:b w:val="1"/>
                <w:bCs w:val="1"/>
                <w:color w:val="auto"/>
                <w:w w:val="96"/>
              </w:rPr>
              <w:t>(973) 496-4700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7920" w:type="dxa"/>
            <w:vAlign w:val="bottom"/>
            <w:gridSpan w:val="10"/>
          </w:tcPr>
          <w:p>
            <w:pPr>
              <w:ind w:left="1120"/>
              <w:spacing w:after="0"/>
              <w:rPr>
                <w:sz w:val="20"/>
                <w:szCs w:val="20"/>
                <w:color w:val="auto"/>
              </w:rPr>
            </w:pPr>
            <w:r>
              <w:rPr>
                <w:rFonts w:ascii="Arial" w:cs="Arial" w:eastAsia="Arial" w:hAnsi="Arial"/>
                <w:sz w:val="13"/>
                <w:szCs w:val="13"/>
                <w:color w:val="auto"/>
              </w:rPr>
              <w:t>(Registrant’s telephone number, including area code)</w:t>
            </w:r>
          </w:p>
        </w:tc>
        <w:tc>
          <w:tcPr>
            <w:tcW w:w="0" w:type="dxa"/>
            <w:vAlign w:val="bottom"/>
          </w:tcPr>
          <w:p>
            <w:pPr>
              <w:spacing w:after="0"/>
              <w:rPr>
                <w:sz w:val="1"/>
                <w:szCs w:val="1"/>
                <w:color w:val="auto"/>
              </w:rPr>
            </w:pPr>
          </w:p>
        </w:tc>
      </w:tr>
      <w:tr>
        <w:trPr>
          <w:trHeight w:val="324"/>
        </w:trPr>
        <w:tc>
          <w:tcPr>
            <w:tcW w:w="2400" w:type="dxa"/>
            <w:vAlign w:val="bottom"/>
          </w:tcPr>
          <w:p>
            <w:pPr>
              <w:spacing w:after="0"/>
              <w:rPr>
                <w:sz w:val="24"/>
                <w:szCs w:val="24"/>
                <w:color w:val="auto"/>
              </w:rPr>
            </w:pPr>
          </w:p>
        </w:tc>
        <w:tc>
          <w:tcPr>
            <w:tcW w:w="7920" w:type="dxa"/>
            <w:vAlign w:val="bottom"/>
            <w:gridSpan w:val="10"/>
          </w:tcPr>
          <w:p>
            <w:pPr>
              <w:jc w:val="center"/>
              <w:ind w:right="2757"/>
              <w:spacing w:after="0"/>
              <w:rPr>
                <w:sz w:val="20"/>
                <w:szCs w:val="20"/>
                <w:color w:val="auto"/>
              </w:rPr>
            </w:pPr>
            <w:r>
              <w:rPr>
                <w:rFonts w:ascii="Arial" w:cs="Arial" w:eastAsia="Arial" w:hAnsi="Arial"/>
                <w:sz w:val="13"/>
                <w:szCs w:val="13"/>
                <w:b w:val="1"/>
                <w:bCs w:val="1"/>
                <w:color w:val="auto"/>
                <w:w w:val="96"/>
              </w:rPr>
              <w:t>SECURITIES REGISTERED PURSUANT TO SECTION 12(b) OF THE ACT:</w:t>
            </w:r>
          </w:p>
        </w:tc>
        <w:tc>
          <w:tcPr>
            <w:tcW w:w="0" w:type="dxa"/>
            <w:vAlign w:val="bottom"/>
          </w:tcPr>
          <w:p>
            <w:pPr>
              <w:spacing w:after="0"/>
              <w:rPr>
                <w:sz w:val="1"/>
                <w:szCs w:val="1"/>
                <w:color w:val="auto"/>
              </w:rPr>
            </w:pPr>
          </w:p>
        </w:tc>
      </w:tr>
      <w:tr>
        <w:trPr>
          <w:trHeight w:val="189"/>
        </w:trPr>
        <w:tc>
          <w:tcPr>
            <w:tcW w:w="2400" w:type="dxa"/>
            <w:vAlign w:val="bottom"/>
          </w:tcPr>
          <w:p>
            <w:pPr>
              <w:jc w:val="center"/>
              <w:spacing w:after="0"/>
              <w:rPr>
                <w:sz w:val="20"/>
                <w:szCs w:val="20"/>
                <w:color w:val="auto"/>
              </w:rPr>
            </w:pPr>
            <w:r>
              <w:rPr>
                <w:rFonts w:ascii="Arial" w:cs="Arial" w:eastAsia="Arial" w:hAnsi="Arial"/>
                <w:sz w:val="13"/>
                <w:szCs w:val="13"/>
                <w:b w:val="1"/>
                <w:bCs w:val="1"/>
                <w:color w:val="auto"/>
                <w:w w:val="97"/>
              </w:rPr>
              <w:t>TITLE OF EACH CLASS</w:t>
            </w: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gridSpan w:val="3"/>
          </w:tcPr>
          <w:p>
            <w:pPr>
              <w:jc w:val="center"/>
              <w:ind w:left="207"/>
              <w:spacing w:after="0"/>
              <w:rPr>
                <w:sz w:val="20"/>
                <w:szCs w:val="20"/>
                <w:color w:val="auto"/>
              </w:rPr>
            </w:pPr>
            <w:r>
              <w:rPr>
                <w:rFonts w:ascii="Arial" w:cs="Arial" w:eastAsia="Arial" w:hAnsi="Arial"/>
                <w:sz w:val="13"/>
                <w:szCs w:val="13"/>
                <w:b w:val="1"/>
                <w:bCs w:val="1"/>
                <w:color w:val="auto"/>
                <w:w w:val="95"/>
              </w:rPr>
              <w:t>TRADING SYMBOL(S)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60" w:type="dxa"/>
            <w:vAlign w:val="bottom"/>
          </w:tcPr>
          <w:p>
            <w:pPr>
              <w:jc w:val="center"/>
              <w:ind w:left="637"/>
              <w:spacing w:after="0"/>
              <w:rPr>
                <w:sz w:val="20"/>
                <w:szCs w:val="20"/>
                <w:color w:val="auto"/>
              </w:rPr>
            </w:pPr>
            <w:r>
              <w:rPr>
                <w:rFonts w:ascii="Arial" w:cs="Arial" w:eastAsia="Arial" w:hAnsi="Arial"/>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76"/>
        </w:trPr>
        <w:tc>
          <w:tcPr>
            <w:tcW w:w="2400" w:type="dxa"/>
            <w:vAlign w:val="bottom"/>
          </w:tcPr>
          <w:p>
            <w:pPr>
              <w:jc w:val="center"/>
              <w:spacing w:after="0"/>
              <w:rPr>
                <w:sz w:val="20"/>
                <w:szCs w:val="20"/>
                <w:color w:val="auto"/>
              </w:rPr>
            </w:pPr>
            <w:r>
              <w:rPr>
                <w:rFonts w:ascii="Arial" w:cs="Arial" w:eastAsia="Arial" w:hAnsi="Arial"/>
                <w:sz w:val="13"/>
                <w:szCs w:val="13"/>
                <w:color w:val="auto"/>
                <w:w w:val="95"/>
              </w:rPr>
              <w:t>Common Stock, Par Value $.01</w:t>
            </w: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3"/>
          </w:tcPr>
          <w:p>
            <w:pPr>
              <w:jc w:val="center"/>
              <w:ind w:left="207"/>
              <w:spacing w:after="0"/>
              <w:rPr>
                <w:sz w:val="20"/>
                <w:szCs w:val="20"/>
                <w:color w:val="auto"/>
              </w:rPr>
            </w:pPr>
            <w:r>
              <w:rPr>
                <w:rFonts w:ascii="Arial" w:cs="Arial" w:eastAsia="Arial" w:hAnsi="Arial"/>
                <w:sz w:val="13"/>
                <w:szCs w:val="13"/>
                <w:color w:val="auto"/>
                <w:w w:val="94"/>
              </w:rPr>
              <w:t>CAR</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960" w:type="dxa"/>
            <w:vAlign w:val="bottom"/>
          </w:tcPr>
          <w:p>
            <w:pPr>
              <w:jc w:val="center"/>
              <w:ind w:left="617"/>
              <w:spacing w:after="0"/>
              <w:rPr>
                <w:sz w:val="20"/>
                <w:szCs w:val="20"/>
                <w:color w:val="auto"/>
              </w:rPr>
            </w:pPr>
            <w:r>
              <w:rPr>
                <w:rFonts w:ascii="Arial" w:cs="Arial" w:eastAsia="Arial" w:hAnsi="Arial"/>
                <w:sz w:val="13"/>
                <w:szCs w:val="13"/>
                <w:color w:val="auto"/>
                <w:w w:val="97"/>
              </w:rPr>
              <w:t>The NASDAQ Global Select Market</w:t>
            </w:r>
          </w:p>
        </w:tc>
        <w:tc>
          <w:tcPr>
            <w:tcW w:w="0" w:type="dxa"/>
            <w:vAlign w:val="bottom"/>
          </w:tcPr>
          <w:p>
            <w:pPr>
              <w:spacing w:after="0"/>
              <w:rPr>
                <w:sz w:val="1"/>
                <w:szCs w:val="1"/>
                <w:color w:val="auto"/>
              </w:rPr>
            </w:pPr>
          </w:p>
        </w:tc>
      </w:tr>
    </w:tbl>
    <w:p>
      <w:pPr>
        <w:spacing w:after="0" w:line="170" w:lineRule="exact"/>
        <w:rPr>
          <w:sz w:val="24"/>
          <w:szCs w:val="24"/>
          <w:color w:val="auto"/>
        </w:rPr>
      </w:pPr>
    </w:p>
    <w:p>
      <w:pPr>
        <w:ind w:right="3280" w:firstLine="3298"/>
        <w:spacing w:after="0" w:line="223" w:lineRule="exact"/>
        <w:rPr>
          <w:sz w:val="20"/>
          <w:szCs w:val="20"/>
          <w:color w:val="auto"/>
        </w:rPr>
      </w:pPr>
      <w:r>
        <w:rPr>
          <w:rFonts w:ascii="Arial" w:cs="Arial" w:eastAsia="Arial" w:hAnsi="Arial"/>
          <w:sz w:val="13"/>
          <w:szCs w:val="13"/>
          <w:b w:val="1"/>
          <w:bCs w:val="1"/>
          <w:color w:val="auto"/>
        </w:rPr>
        <w:t xml:space="preserve">SECURITIES REGISTERED PURSUANT TO SECTION 12(g) OF THE ACT: </w:t>
      </w:r>
      <w:r>
        <w:rPr>
          <w:rFonts w:ascii="Arial" w:cs="Arial" w:eastAsia="Arial" w:hAnsi="Arial"/>
          <w:sz w:val="13"/>
          <w:szCs w:val="13"/>
          <w:color w:val="auto"/>
        </w:rPr>
        <w:t>None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 Indicate by check mark if the registrant is not required to file reports pursuant to Section 13 or Section 15(d) of the Act. Yes o No </w:t>
      </w:r>
      <w:r>
        <w:rPr>
          <w:rFonts w:ascii="MS PGothic" w:cs="MS PGothic" w:eastAsia="MS PGothic" w:hAnsi="MS PGothic"/>
          <w:sz w:val="13"/>
          <w:szCs w:val="13"/>
          <w:color w:val="auto"/>
        </w:rPr>
        <w:t>☒</w:t>
      </w:r>
    </w:p>
    <w:p>
      <w:pPr>
        <w:spacing w:after="0" w:line="64" w:lineRule="exact"/>
        <w:rPr>
          <w:sz w:val="24"/>
          <w:szCs w:val="24"/>
          <w:color w:val="auto"/>
        </w:rPr>
      </w:pPr>
    </w:p>
    <w:p>
      <w:pPr>
        <w:ind w:right="360"/>
        <w:spacing w:after="0" w:line="15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78" w:lineRule="exact"/>
        <w:rPr>
          <w:sz w:val="24"/>
          <w:szCs w:val="24"/>
          <w:color w:val="auto"/>
        </w:rPr>
      </w:pPr>
    </w:p>
    <w:p>
      <w:pPr>
        <w:ind w:right="80"/>
        <w:spacing w:after="0" w:line="15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78" w:lineRule="exact"/>
        <w:rPr>
          <w:sz w:val="24"/>
          <w:szCs w:val="24"/>
          <w:color w:val="auto"/>
        </w:rPr>
      </w:pPr>
    </w:p>
    <w:p>
      <w:pPr>
        <w:ind w:right="460"/>
        <w:spacing w:after="0" w:line="24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 of “large accelerated filer,” “accelerated filer,” “smaller reporting company” and “emerging growth company in Rule 12b-2 of the Exchange Act.</w:t>
      </w:r>
    </w:p>
    <w:p>
      <w:pPr>
        <w:sectPr>
          <w:pgSz w:w="11900" w:h="16838" w:orient="portrait"/>
          <w:cols w:equalWidth="0" w:num="1">
            <w:col w:w="11220"/>
          </w:cols>
          <w:pgMar w:left="320" w:top="1039" w:right="359" w:bottom="1440" w:gutter="0" w:footer="0" w:header="0"/>
        </w:sectPr>
      </w:pPr>
    </w:p>
    <w:p>
      <w:pPr>
        <w:spacing w:after="0" w:line="36" w:lineRule="exact"/>
        <w:rPr>
          <w:sz w:val="24"/>
          <w:szCs w:val="24"/>
          <w:color w:val="auto"/>
        </w:rPr>
      </w:pPr>
    </w:p>
    <w:p>
      <w:pPr>
        <w:ind w:left="20"/>
        <w:spacing w:after="0"/>
        <w:rPr>
          <w:sz w:val="20"/>
          <w:szCs w:val="20"/>
          <w:color w:val="auto"/>
        </w:rPr>
      </w:pPr>
      <w:r>
        <w:rPr>
          <w:rFonts w:ascii="Arial" w:cs="Arial" w:eastAsia="Arial" w:hAnsi="Arial"/>
          <w:sz w:val="13"/>
          <w:szCs w:val="13"/>
          <w:color w:val="auto"/>
        </w:rPr>
        <w:t>Large accelerated filer</w:t>
      </w:r>
    </w:p>
    <w:p>
      <w:pPr>
        <w:spacing w:after="0" w:line="26" w:lineRule="exact"/>
        <w:rPr>
          <w:sz w:val="24"/>
          <w:szCs w:val="24"/>
          <w:color w:val="auto"/>
        </w:rPr>
      </w:pPr>
    </w:p>
    <w:p>
      <w:pPr>
        <w:ind w:left="2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4" w:lineRule="exact"/>
        <w:rPr>
          <w:sz w:val="20"/>
          <w:szCs w:val="20"/>
          <w:color w:val="auto"/>
        </w:rPr>
      </w:pPr>
      <w:r>
        <w:rPr>
          <w:rFonts w:ascii="MS PGothic" w:cs="MS PGothic" w:eastAsia="MS PGothic" w:hAnsi="MS PGothic"/>
          <w:sz w:val="12"/>
          <w:szCs w:val="12"/>
          <w:color w:val="auto"/>
        </w:rPr>
        <w:t>☒</w:t>
      </w:r>
    </w:p>
    <w:p>
      <w:pPr>
        <w:spacing w:after="0" w:line="7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6"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84" w:lineRule="exact"/>
        <w:rPr>
          <w:sz w:val="20"/>
          <w:szCs w:val="20"/>
          <w:color w:val="auto"/>
        </w:rPr>
      </w:pPr>
      <w:r>
        <w:rPr>
          <w:rFonts w:ascii="MS PGothic" w:cs="MS PGothic" w:eastAsia="MS PGothic" w:hAnsi="MS PGothic"/>
          <w:sz w:val="10"/>
          <w:szCs w:val="10"/>
          <w:color w:val="auto"/>
        </w:rPr>
        <w:t>☐</w:t>
      </w:r>
    </w:p>
    <w:p>
      <w:pPr>
        <w:spacing w:after="0" w:line="99"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84" w:lineRule="exact"/>
        <w:rPr>
          <w:sz w:val="20"/>
          <w:szCs w:val="20"/>
          <w:color w:val="auto"/>
        </w:rPr>
      </w:pPr>
      <w:r>
        <w:rPr>
          <w:rFonts w:ascii="MS PGothic" w:cs="MS PGothic" w:eastAsia="MS PGothic" w:hAnsi="MS PGothic"/>
          <w:sz w:val="10"/>
          <w:szCs w:val="10"/>
          <w:color w:val="auto"/>
        </w:rPr>
        <w:t>☐</w:t>
      </w:r>
    </w:p>
    <w:p>
      <w:pPr>
        <w:spacing w:after="0" w:line="446" w:lineRule="exact"/>
        <w:rPr>
          <w:sz w:val="24"/>
          <w:szCs w:val="24"/>
          <w:color w:val="auto"/>
        </w:rPr>
      </w:pPr>
    </w:p>
    <w:p>
      <w:pPr>
        <w:sectPr>
          <w:pgSz w:w="11900" w:h="16838" w:orient="portrait"/>
          <w:cols w:equalWidth="0" w:num="6">
            <w:col w:w="2780" w:space="720"/>
            <w:col w:w="120" w:space="140"/>
            <w:col w:w="2780" w:space="720"/>
            <w:col w:w="100" w:space="140"/>
            <w:col w:w="2800" w:space="720"/>
            <w:col w:w="200"/>
          </w:cols>
          <w:pgMar w:left="320" w:top="1039" w:right="359" w:bottom="1440" w:gutter="0" w:footer="0" w:header="0"/>
          <w:type w:val="continuous"/>
        </w:sectPr>
      </w:pPr>
    </w:p>
    <w:p>
      <w:pPr>
        <w:ind w:right="420"/>
        <w:spacing w:after="0" w:line="242"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90" w:lineRule="exact"/>
        <w:rPr>
          <w:sz w:val="24"/>
          <w:szCs w:val="24"/>
          <w:color w:val="auto"/>
        </w:rPr>
      </w:pPr>
    </w:p>
    <w:p>
      <w:pPr>
        <w:spacing w:after="0" w:line="15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3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6" w:lineRule="exact"/>
        <w:rPr>
          <w:sz w:val="24"/>
          <w:szCs w:val="24"/>
          <w:color w:val="auto"/>
        </w:rPr>
      </w:pPr>
    </w:p>
    <w:p>
      <w:pPr>
        <w:ind w:right="340"/>
        <w:spacing w:after="0" w:line="242" w:lineRule="auto"/>
        <w:rPr>
          <w:sz w:val="20"/>
          <w:szCs w:val="20"/>
          <w:color w:val="auto"/>
        </w:rPr>
      </w:pPr>
      <w:r>
        <w:rPr>
          <w:rFonts w:ascii="Arial" w:cs="Arial" w:eastAsia="Arial" w:hAnsi="Arial"/>
          <w:sz w:val="13"/>
          <w:szCs w:val="13"/>
          <w:color w:val="auto"/>
        </w:rPr>
        <w:t>As of June 30, 2021, the aggregate market value of the registrant’s common stock held by non-affiliates of the registrant was $3,950,137,684 based on the closing price of its common stock on the NASDAQ Global Select Market.</w:t>
      </w:r>
    </w:p>
    <w:p>
      <w:pPr>
        <w:spacing w:after="0" w:line="77" w:lineRule="exact"/>
        <w:rPr>
          <w:sz w:val="24"/>
          <w:szCs w:val="24"/>
          <w:color w:val="auto"/>
        </w:rPr>
      </w:pPr>
    </w:p>
    <w:p>
      <w:pPr>
        <w:spacing w:after="0"/>
        <w:rPr>
          <w:sz w:val="20"/>
          <w:szCs w:val="20"/>
          <w:color w:val="auto"/>
        </w:rPr>
      </w:pPr>
      <w:r>
        <w:rPr>
          <w:rFonts w:ascii="Arial" w:cs="Arial" w:eastAsia="Arial" w:hAnsi="Arial"/>
          <w:sz w:val="13"/>
          <w:szCs w:val="13"/>
          <w:color w:val="auto"/>
        </w:rPr>
        <w:t>As of February 11, 2022, the number of shares outstanding of the registrant’s common stock was 53,767,484.</w:t>
      </w:r>
    </w:p>
    <w:p>
      <w:pPr>
        <w:spacing w:after="0" w:line="91" w:lineRule="exact"/>
        <w:rPr>
          <w:sz w:val="24"/>
          <w:szCs w:val="24"/>
          <w:color w:val="auto"/>
        </w:rPr>
      </w:pPr>
    </w:p>
    <w:p>
      <w:pPr>
        <w:ind w:left="41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69" w:lineRule="exact"/>
        <w:rPr>
          <w:sz w:val="24"/>
          <w:szCs w:val="24"/>
          <w:color w:val="auto"/>
        </w:rPr>
      </w:pPr>
    </w:p>
    <w:p>
      <w:pPr>
        <w:ind w:right="700"/>
        <w:spacing w:after="0" w:line="242" w:lineRule="auto"/>
        <w:rPr>
          <w:sz w:val="20"/>
          <w:szCs w:val="20"/>
          <w:color w:val="auto"/>
        </w:rPr>
      </w:pPr>
      <w:r>
        <w:rPr>
          <w:rFonts w:ascii="Arial" w:cs="Arial" w:eastAsia="Arial" w:hAnsi="Arial"/>
          <w:sz w:val="13"/>
          <w:szCs w:val="13"/>
          <w:color w:val="auto"/>
        </w:rPr>
        <w:t>Portions of the registrant’s definitive proxy statement to be mailed to stockholders in connection with the registrant’s 2022 annual meeting of stockholders (the “Annual Proxy Statement”)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571500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1" w:name="page2"/>
    <w:bookmarkEnd w:id="1"/>
    <w:tbl>
      <w:tblPr>
        <w:tblLayout w:type="fixed"/>
        <w:tblInd w:w="14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160" w:type="dxa"/>
            <w:vAlign w:val="bottom"/>
            <w:gridSpan w:val="7"/>
          </w:tcPr>
          <w:p>
            <w:pPr>
              <w:ind w:left="240"/>
              <w:spacing w:after="0"/>
              <w:rPr>
                <w:sz w:val="20"/>
                <w:szCs w:val="20"/>
                <w:color w:val="auto"/>
              </w:rPr>
            </w:pPr>
            <w:r>
              <w:rPr>
                <w:rFonts w:ascii="Arial" w:cs="Arial" w:eastAsia="Arial" w:hAnsi="Arial"/>
                <w:sz w:val="18"/>
                <w:szCs w:val="18"/>
                <w:b w:val="1"/>
                <w:bCs w:val="1"/>
                <w:color w:val="auto"/>
              </w:rPr>
              <w:t>TABLE OF CONTENTS</w:t>
            </w: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702"/>
        </w:trPr>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Item</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8"/>
              </w:rPr>
              <w:t>Description</w:t>
            </w:r>
          </w:p>
        </w:tc>
        <w:tc>
          <w:tcPr>
            <w:tcW w:w="3680" w:type="dxa"/>
            <w:vAlign w:val="bottom"/>
            <w:gridSpan w:val="3"/>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Page</w:t>
            </w:r>
          </w:p>
        </w:tc>
        <w:tc>
          <w:tcPr>
            <w:tcW w:w="320" w:type="dxa"/>
            <w:vAlign w:val="bottom"/>
            <w:gridSpan w:val="3"/>
          </w:tcPr>
          <w:p>
            <w:pPr>
              <w:spacing w:after="0"/>
              <w:rPr>
                <w:sz w:val="24"/>
                <w:szCs w:val="24"/>
                <w:color w:val="auto"/>
              </w:rPr>
            </w:pPr>
          </w:p>
        </w:tc>
      </w:tr>
      <w:tr>
        <w:trPr>
          <w:trHeight w:val="52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80" w:type="dxa"/>
            <w:vAlign w:val="bottom"/>
            <w:gridSpan w:val="17"/>
          </w:tcPr>
          <w:p>
            <w:pPr>
              <w:spacing w:after="0"/>
              <w:rPr>
                <w:sz w:val="20"/>
                <w:szCs w:val="20"/>
                <w:color w:val="auto"/>
              </w:rPr>
            </w:pPr>
            <w:r>
              <w:rPr>
                <w:rFonts w:ascii="Arial" w:cs="Arial" w:eastAsia="Arial" w:hAnsi="Arial"/>
                <w:sz w:val="18"/>
                <w:szCs w:val="18"/>
                <w:b w:val="1"/>
                <w:bCs w:val="1"/>
                <w:color w:val="auto"/>
              </w:rPr>
              <w:t>PART I</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400" w:type="dxa"/>
            <w:vAlign w:val="bottom"/>
            <w:gridSpan w:val="2"/>
          </w:tcPr>
          <w:p>
            <w:pPr>
              <w:spacing w:after="0" w:line="189"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6"/>
                <w:szCs w:val="16"/>
                <w:color w:val="auto"/>
              </w:rPr>
            </w:pPr>
          </w:p>
        </w:tc>
        <w:tc>
          <w:tcPr>
            <w:tcW w:w="740" w:type="dxa"/>
            <w:vAlign w:val="bottom"/>
            <w:tcBorders>
              <w:bottom w:val="single" w:sz="8" w:color="0000FF"/>
            </w:tcBorders>
          </w:tcPr>
          <w:p>
            <w:pPr>
              <w:spacing w:after="0" w:line="189" w:lineRule="exact"/>
              <w:rPr>
                <w:rFonts w:ascii="Arial" w:cs="Arial" w:eastAsia="Arial" w:hAnsi="Arial"/>
                <w:sz w:val="18"/>
                <w:szCs w:val="18"/>
                <w:color w:val="0000FF"/>
                <w:w w:val="98"/>
              </w:rPr>
            </w:pPr>
            <w:hyperlink w:anchor="page6">
              <w:r>
                <w:rPr>
                  <w:rFonts w:ascii="Arial" w:cs="Arial" w:eastAsia="Arial" w:hAnsi="Arial"/>
                  <w:sz w:val="18"/>
                  <w:szCs w:val="18"/>
                  <w:color w:val="0000FF"/>
                  <w:w w:val="98"/>
                </w:rPr>
                <w:t>Business</w:t>
              </w:r>
            </w:hyperlink>
          </w:p>
        </w:tc>
        <w:tc>
          <w:tcPr>
            <w:tcW w:w="8140" w:type="dxa"/>
            <w:vAlign w:val="bottom"/>
            <w:gridSpan w:val="16"/>
          </w:tcPr>
          <w:p>
            <w:pPr>
              <w:spacing w:after="0"/>
              <w:rPr>
                <w:sz w:val="16"/>
                <w:szCs w:val="16"/>
                <w:color w:val="auto"/>
              </w:rPr>
            </w:pPr>
          </w:p>
        </w:tc>
        <w:tc>
          <w:tcPr>
            <w:tcW w:w="1540" w:type="dxa"/>
            <w:vAlign w:val="bottom"/>
            <w:gridSpan w:val="4"/>
          </w:tcPr>
          <w:p>
            <w:pPr>
              <w:spacing w:after="0"/>
              <w:rPr>
                <w:sz w:val="16"/>
                <w:szCs w:val="16"/>
                <w:color w:val="auto"/>
              </w:rPr>
            </w:pPr>
          </w:p>
        </w:tc>
        <w:tc>
          <w:tcPr>
            <w:tcW w:w="100" w:type="dxa"/>
            <w:vAlign w:val="bottom"/>
            <w:tcBorders>
              <w:bottom w:val="single" w:sz="8" w:color="0000FF"/>
            </w:tcBorders>
          </w:tcPr>
          <w:p>
            <w:pPr>
              <w:jc w:val="right"/>
              <w:spacing w:after="0" w:line="189"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r>
      <w:tr>
        <w:trPr>
          <w:trHeight w:val="209"/>
        </w:trPr>
        <w:tc>
          <w:tcPr>
            <w:tcW w:w="560" w:type="dxa"/>
            <w:vAlign w:val="bottom"/>
            <w:gridSpan w:val="3"/>
          </w:tcPr>
          <w:p>
            <w:pPr>
              <w:spacing w:after="0"/>
              <w:rPr>
                <w:sz w:val="20"/>
                <w:szCs w:val="20"/>
                <w:color w:val="auto"/>
              </w:rPr>
            </w:pPr>
            <w:r>
              <w:rPr>
                <w:rFonts w:ascii="Arial" w:cs="Arial" w:eastAsia="Arial" w:hAnsi="Arial"/>
                <w:sz w:val="18"/>
                <w:szCs w:val="18"/>
                <w:color w:val="auto"/>
              </w:rPr>
              <w:t>1A</w:t>
            </w:r>
          </w:p>
        </w:tc>
        <w:tc>
          <w:tcPr>
            <w:tcW w:w="8880" w:type="dxa"/>
            <w:vAlign w:val="bottom"/>
            <w:gridSpan w:val="17"/>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Risk Factors</w:t>
              </w:r>
            </w:hyperlink>
          </w:p>
        </w:tc>
        <w:tc>
          <w:tcPr>
            <w:tcW w:w="1640" w:type="dxa"/>
            <w:vAlign w:val="bottom"/>
            <w:gridSpan w:val="5"/>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19</w:t>
              </w:r>
            </w:hyperlink>
          </w:p>
        </w:tc>
      </w:tr>
      <w:tr>
        <w:trPr>
          <w:trHeight w:val="20"/>
        </w:trPr>
        <w:tc>
          <w:tcPr>
            <w:tcW w:w="560" w:type="dxa"/>
            <w:vAlign w:val="bottom"/>
            <w:gridSpan w:val="3"/>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9"/>
        </w:trPr>
        <w:tc>
          <w:tcPr>
            <w:tcW w:w="560" w:type="dxa"/>
            <w:vAlign w:val="bottom"/>
            <w:gridSpan w:val="3"/>
          </w:tcPr>
          <w:p>
            <w:pPr>
              <w:spacing w:after="0"/>
              <w:rPr>
                <w:sz w:val="20"/>
                <w:szCs w:val="20"/>
                <w:color w:val="auto"/>
              </w:rPr>
            </w:pPr>
            <w:r>
              <w:rPr>
                <w:rFonts w:ascii="Arial" w:cs="Arial" w:eastAsia="Arial" w:hAnsi="Arial"/>
                <w:sz w:val="18"/>
                <w:szCs w:val="18"/>
                <w:color w:val="auto"/>
              </w:rPr>
              <w:t>1B</w:t>
            </w:r>
          </w:p>
        </w:tc>
        <w:tc>
          <w:tcPr>
            <w:tcW w:w="8880" w:type="dxa"/>
            <w:vAlign w:val="bottom"/>
            <w:gridSpan w:val="17"/>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Unresolved Staff Comments</w:t>
              </w:r>
            </w:hyperlink>
          </w:p>
        </w:tc>
        <w:tc>
          <w:tcPr>
            <w:tcW w:w="1640" w:type="dxa"/>
            <w:vAlign w:val="bottom"/>
            <w:gridSpan w:val="5"/>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r>
      <w:tr>
        <w:trPr>
          <w:trHeight w:val="209"/>
        </w:trPr>
        <w:tc>
          <w:tcPr>
            <w:tcW w:w="400" w:type="dxa"/>
            <w:vAlign w:val="bottom"/>
            <w:gridSpan w:val="2"/>
          </w:tcPr>
          <w:p>
            <w:pPr>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2240" w:type="dxa"/>
            <w:vAlign w:val="bottom"/>
            <w:tcBorders>
              <w:top w:val="single" w:sz="8" w:color="0000FF"/>
            </w:tcBorders>
            <w:gridSpan w:val="9"/>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Properties</w:t>
              </w:r>
            </w:hyperlink>
          </w:p>
        </w:tc>
        <w:tc>
          <w:tcPr>
            <w:tcW w:w="6640" w:type="dxa"/>
            <w:vAlign w:val="bottom"/>
            <w:gridSpan w:val="8"/>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top w:val="single" w:sz="8" w:color="0000FF"/>
            </w:tcBorders>
            <w:gridSpan w:val="2"/>
          </w:tcPr>
          <w:p>
            <w:pPr>
              <w:jc w:val="right"/>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32</w:t>
              </w:r>
            </w:hyperlink>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400" w:type="dxa"/>
            <w:vAlign w:val="bottom"/>
            <w:gridSpan w:val="2"/>
          </w:tcPr>
          <w:p>
            <w:pPr>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50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34">
              <w:r>
                <w:rPr>
                  <w:rFonts w:ascii="Arial" w:cs="Arial" w:eastAsia="Arial" w:hAnsi="Arial"/>
                  <w:sz w:val="18"/>
                  <w:szCs w:val="18"/>
                  <w:color w:val="0000FF"/>
                  <w:w w:val="99"/>
                </w:rPr>
                <w:t>Legal Proceedings</w:t>
              </w:r>
            </w:hyperlink>
          </w:p>
        </w:tc>
        <w:tc>
          <w:tcPr>
            <w:tcW w:w="7380" w:type="dxa"/>
            <w:vAlign w:val="bottom"/>
            <w:gridSpan w:val="12"/>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32</w:t>
              </w:r>
            </w:hyperlink>
          </w:p>
        </w:tc>
      </w:tr>
      <w:tr>
        <w:trPr>
          <w:trHeight w:val="210"/>
        </w:trPr>
        <w:tc>
          <w:tcPr>
            <w:tcW w:w="400" w:type="dxa"/>
            <w:vAlign w:val="bottom"/>
            <w:gridSpan w:val="2"/>
          </w:tcPr>
          <w:p>
            <w:pPr>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94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34">
              <w:r>
                <w:rPr>
                  <w:rFonts w:ascii="Arial" w:cs="Arial" w:eastAsia="Arial" w:hAnsi="Arial"/>
                  <w:sz w:val="18"/>
                  <w:szCs w:val="18"/>
                  <w:color w:val="0000FF"/>
                  <w:w w:val="99"/>
                </w:rPr>
                <w:t>Mine Safety Disclosures</w:t>
              </w:r>
            </w:hyperlink>
          </w:p>
        </w:tc>
        <w:tc>
          <w:tcPr>
            <w:tcW w:w="6940" w:type="dxa"/>
            <w:vAlign w:val="bottom"/>
            <w:gridSpan w:val="10"/>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32</w:t>
              </w:r>
            </w:hyperlink>
          </w:p>
        </w:tc>
      </w:tr>
      <w:tr>
        <w:trPr>
          <w:trHeight w:val="52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80" w:type="dxa"/>
            <w:vAlign w:val="bottom"/>
            <w:gridSpan w:val="17"/>
          </w:tcPr>
          <w:p>
            <w:pPr>
              <w:spacing w:after="0"/>
              <w:rPr>
                <w:sz w:val="20"/>
                <w:szCs w:val="20"/>
                <w:color w:val="auto"/>
              </w:rPr>
            </w:pPr>
            <w:r>
              <w:rPr>
                <w:rFonts w:ascii="Arial" w:cs="Arial" w:eastAsia="Arial" w:hAnsi="Arial"/>
                <w:sz w:val="18"/>
                <w:szCs w:val="18"/>
                <w:b w:val="1"/>
                <w:bCs w:val="1"/>
                <w:color w:val="auto"/>
              </w:rPr>
              <w:t>PART II</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0" w:type="dxa"/>
            <w:vAlign w:val="bottom"/>
            <w:gridSpan w:val="2"/>
          </w:tcPr>
          <w:p>
            <w:pPr>
              <w:spacing w:after="0" w:line="169"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8880" w:type="dxa"/>
            <w:vAlign w:val="bottom"/>
            <w:tcBorders>
              <w:bottom w:val="single" w:sz="8" w:color="0000FF"/>
            </w:tcBorders>
            <w:gridSpan w:val="17"/>
          </w:tcPr>
          <w:p>
            <w:pPr>
              <w:spacing w:after="0" w:line="169" w:lineRule="exact"/>
              <w:rPr>
                <w:rFonts w:ascii="Arial" w:cs="Arial" w:eastAsia="Arial" w:hAnsi="Arial"/>
                <w:sz w:val="18"/>
                <w:szCs w:val="18"/>
                <w:color w:val="0000FF"/>
                <w:w w:val="99"/>
              </w:rPr>
            </w:pPr>
            <w:hyperlink w:anchor="page35">
              <w:r>
                <w:rPr>
                  <w:rFonts w:ascii="Arial" w:cs="Arial" w:eastAsia="Arial" w:hAnsi="Arial"/>
                  <w:sz w:val="18"/>
                  <w:szCs w:val="18"/>
                  <w:color w:val="0000FF"/>
                  <w:w w:val="99"/>
                </w:rPr>
                <w:t>Market for Registrant’s Common Equity, Related Stockholder Matters and Issuer Purchases of Equity Securities</w:t>
              </w:r>
            </w:hyperlink>
          </w:p>
        </w:tc>
        <w:tc>
          <w:tcPr>
            <w:tcW w:w="1640" w:type="dxa"/>
            <w:vAlign w:val="bottom"/>
            <w:gridSpan w:val="5"/>
          </w:tcPr>
          <w:p>
            <w:pPr>
              <w:jc w:val="right"/>
              <w:spacing w:after="0" w:line="169" w:lineRule="exact"/>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43"/>
        </w:trPr>
        <w:tc>
          <w:tcPr>
            <w:tcW w:w="400" w:type="dxa"/>
            <w:vAlign w:val="bottom"/>
            <w:gridSpan w:val="2"/>
          </w:tcPr>
          <w:p>
            <w:pPr>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1"/>
                <w:szCs w:val="21"/>
                <w:color w:val="auto"/>
              </w:rPr>
            </w:pPr>
          </w:p>
        </w:tc>
        <w:tc>
          <w:tcPr>
            <w:tcW w:w="8880" w:type="dxa"/>
            <w:vAlign w:val="bottom"/>
            <w:gridSpan w:val="17"/>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Selected Financial Data</w:t>
              </w:r>
            </w:hyperlink>
          </w:p>
        </w:tc>
        <w:tc>
          <w:tcPr>
            <w:tcW w:w="1640" w:type="dxa"/>
            <w:vAlign w:val="bottom"/>
            <w:gridSpan w:val="5"/>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20"/>
        </w:trPr>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9"/>
        </w:trPr>
        <w:tc>
          <w:tcPr>
            <w:tcW w:w="400" w:type="dxa"/>
            <w:vAlign w:val="bottom"/>
            <w:gridSpan w:val="2"/>
          </w:tcPr>
          <w:p>
            <w:pPr>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7080" w:type="dxa"/>
            <w:vAlign w:val="bottom"/>
            <w:tcBorders>
              <w:bottom w:val="single" w:sz="8" w:color="0000FF"/>
            </w:tcBorders>
            <w:gridSpan w:val="15"/>
          </w:tcPr>
          <w:p>
            <w:pPr>
              <w:spacing w:after="0"/>
              <w:rPr>
                <w:rFonts w:ascii="Arial" w:cs="Arial" w:eastAsia="Arial" w:hAnsi="Arial"/>
                <w:sz w:val="18"/>
                <w:szCs w:val="18"/>
                <w:color w:val="0000FF"/>
                <w:w w:val="99"/>
              </w:rPr>
            </w:pPr>
            <w:hyperlink w:anchor="page36">
              <w:r>
                <w:rPr>
                  <w:rFonts w:ascii="Arial" w:cs="Arial" w:eastAsia="Arial" w:hAnsi="Arial"/>
                  <w:sz w:val="18"/>
                  <w:szCs w:val="18"/>
                  <w:color w:val="0000FF"/>
                  <w:w w:val="99"/>
                </w:rPr>
                <w:t>Management’s Discussion and Analysis of Financial Condition and Results of Operations</w:t>
              </w:r>
            </w:hyperlink>
          </w:p>
        </w:tc>
        <w:tc>
          <w:tcPr>
            <w:tcW w:w="1800" w:type="dxa"/>
            <w:vAlign w:val="bottom"/>
            <w:gridSpan w:val="2"/>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35</w:t>
              </w:r>
            </w:hyperlink>
          </w:p>
        </w:tc>
      </w:tr>
      <w:tr>
        <w:trPr>
          <w:trHeight w:val="209"/>
        </w:trPr>
        <w:tc>
          <w:tcPr>
            <w:tcW w:w="560" w:type="dxa"/>
            <w:vAlign w:val="bottom"/>
            <w:gridSpan w:val="3"/>
          </w:tcPr>
          <w:p>
            <w:pPr>
              <w:spacing w:after="0"/>
              <w:rPr>
                <w:sz w:val="20"/>
                <w:szCs w:val="20"/>
                <w:color w:val="auto"/>
              </w:rPr>
            </w:pPr>
            <w:r>
              <w:rPr>
                <w:rFonts w:ascii="Arial" w:cs="Arial" w:eastAsia="Arial" w:hAnsi="Arial"/>
                <w:sz w:val="18"/>
                <w:szCs w:val="18"/>
                <w:color w:val="auto"/>
              </w:rPr>
              <w:t>7A</w:t>
            </w:r>
          </w:p>
        </w:tc>
        <w:tc>
          <w:tcPr>
            <w:tcW w:w="4700" w:type="dxa"/>
            <w:vAlign w:val="bottom"/>
            <w:tcBorders>
              <w:bottom w:val="single" w:sz="8" w:color="0000FF"/>
            </w:tcBorders>
            <w:gridSpan w:val="13"/>
          </w:tcPr>
          <w:p>
            <w:pPr>
              <w:spacing w:after="0"/>
              <w:rPr>
                <w:rFonts w:ascii="Arial" w:cs="Arial" w:eastAsia="Arial" w:hAnsi="Arial"/>
                <w:sz w:val="18"/>
                <w:szCs w:val="18"/>
                <w:color w:val="0000FF"/>
                <w:w w:val="99"/>
              </w:rPr>
            </w:pPr>
            <w:hyperlink w:anchor="page45">
              <w:r>
                <w:rPr>
                  <w:rFonts w:ascii="Arial" w:cs="Arial" w:eastAsia="Arial" w:hAnsi="Arial"/>
                  <w:sz w:val="18"/>
                  <w:szCs w:val="18"/>
                  <w:color w:val="0000FF"/>
                  <w:w w:val="99"/>
                </w:rPr>
                <w:t>Quantitative and Qualitative Disclosures about Market Risk</w:t>
              </w:r>
            </w:hyperlink>
          </w:p>
        </w:tc>
        <w:tc>
          <w:tcPr>
            <w:tcW w:w="4180" w:type="dxa"/>
            <w:vAlign w:val="bottom"/>
            <w:gridSpan w:val="4"/>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43</w:t>
              </w:r>
            </w:hyperlink>
          </w:p>
        </w:tc>
      </w:tr>
      <w:tr>
        <w:trPr>
          <w:trHeight w:val="209"/>
        </w:trPr>
        <w:tc>
          <w:tcPr>
            <w:tcW w:w="400" w:type="dxa"/>
            <w:vAlign w:val="bottom"/>
            <w:gridSpan w:val="2"/>
          </w:tcPr>
          <w:p>
            <w:pPr>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8880" w:type="dxa"/>
            <w:vAlign w:val="bottom"/>
            <w:gridSpan w:val="17"/>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Financial Statements and Supplementary Data</w:t>
              </w:r>
            </w:hyperlink>
          </w:p>
        </w:tc>
        <w:tc>
          <w:tcPr>
            <w:tcW w:w="1640" w:type="dxa"/>
            <w:vAlign w:val="bottom"/>
            <w:gridSpan w:val="5"/>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400" w:type="dxa"/>
            <w:vAlign w:val="bottom"/>
            <w:gridSpan w:val="2"/>
          </w:tcPr>
          <w:p>
            <w:pPr>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7140" w:type="dxa"/>
            <w:vAlign w:val="bottom"/>
            <w:tcBorders>
              <w:bottom w:val="single" w:sz="8" w:color="0000FF"/>
            </w:tcBorders>
            <w:gridSpan w:val="16"/>
          </w:tcPr>
          <w:p>
            <w:pPr>
              <w:spacing w:after="0"/>
              <w:rPr>
                <w:rFonts w:ascii="Arial" w:cs="Arial" w:eastAsia="Arial" w:hAnsi="Arial"/>
                <w:sz w:val="18"/>
                <w:szCs w:val="18"/>
                <w:color w:val="0000FF"/>
                <w:w w:val="99"/>
              </w:rPr>
            </w:pPr>
            <w:hyperlink w:anchor="page47">
              <w:r>
                <w:rPr>
                  <w:rFonts w:ascii="Arial" w:cs="Arial" w:eastAsia="Arial" w:hAnsi="Arial"/>
                  <w:sz w:val="18"/>
                  <w:szCs w:val="18"/>
                  <w:color w:val="0000FF"/>
                  <w:w w:val="99"/>
                </w:rPr>
                <w:t>Changes in and Disagreements with Accountants on Accounting and Financial Disclosure</w:t>
              </w:r>
            </w:hyperlink>
          </w:p>
        </w:tc>
        <w:tc>
          <w:tcPr>
            <w:tcW w:w="1740" w:type="dxa"/>
            <w:vAlign w:val="bottom"/>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45</w:t>
              </w:r>
            </w:hyperlink>
          </w:p>
        </w:tc>
      </w:tr>
      <w:tr>
        <w:trPr>
          <w:trHeight w:val="209"/>
        </w:trPr>
        <w:tc>
          <w:tcPr>
            <w:tcW w:w="560" w:type="dxa"/>
            <w:vAlign w:val="bottom"/>
            <w:gridSpan w:val="3"/>
          </w:tcPr>
          <w:p>
            <w:pPr>
              <w:spacing w:after="0"/>
              <w:rPr>
                <w:sz w:val="20"/>
                <w:szCs w:val="20"/>
                <w:color w:val="auto"/>
              </w:rPr>
            </w:pPr>
            <w:r>
              <w:rPr>
                <w:rFonts w:ascii="Arial" w:cs="Arial" w:eastAsia="Arial" w:hAnsi="Arial"/>
                <w:sz w:val="18"/>
                <w:szCs w:val="18"/>
                <w:color w:val="auto"/>
              </w:rPr>
              <w:t>9A</w:t>
            </w:r>
          </w:p>
        </w:tc>
        <w:tc>
          <w:tcPr>
            <w:tcW w:w="2000" w:type="dxa"/>
            <w:vAlign w:val="bottom"/>
            <w:tcBorders>
              <w:bottom w:val="single" w:sz="8" w:color="0000FF"/>
            </w:tcBorders>
            <w:gridSpan w:val="8"/>
          </w:tcPr>
          <w:p>
            <w:pPr>
              <w:spacing w:after="0"/>
              <w:rPr>
                <w:rFonts w:ascii="Arial" w:cs="Arial" w:eastAsia="Arial" w:hAnsi="Arial"/>
                <w:sz w:val="18"/>
                <w:szCs w:val="18"/>
                <w:color w:val="0000FF"/>
                <w:w w:val="99"/>
              </w:rPr>
            </w:pPr>
            <w:hyperlink w:anchor="page47">
              <w:r>
                <w:rPr>
                  <w:rFonts w:ascii="Arial" w:cs="Arial" w:eastAsia="Arial" w:hAnsi="Arial"/>
                  <w:sz w:val="18"/>
                  <w:szCs w:val="18"/>
                  <w:color w:val="0000FF"/>
                  <w:w w:val="99"/>
                </w:rPr>
                <w:t>Controls and Procedures</w:t>
              </w:r>
            </w:hyperlink>
          </w:p>
        </w:tc>
        <w:tc>
          <w:tcPr>
            <w:tcW w:w="6880" w:type="dxa"/>
            <w:vAlign w:val="bottom"/>
            <w:gridSpan w:val="9"/>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45</w:t>
              </w:r>
            </w:hyperlink>
          </w:p>
        </w:tc>
      </w:tr>
      <w:tr>
        <w:trPr>
          <w:trHeight w:val="209"/>
        </w:trPr>
        <w:tc>
          <w:tcPr>
            <w:tcW w:w="560" w:type="dxa"/>
            <w:vAlign w:val="bottom"/>
            <w:gridSpan w:val="3"/>
          </w:tcPr>
          <w:p>
            <w:pPr>
              <w:spacing w:after="0"/>
              <w:rPr>
                <w:sz w:val="20"/>
                <w:szCs w:val="20"/>
                <w:color w:val="auto"/>
              </w:rPr>
            </w:pPr>
            <w:r>
              <w:rPr>
                <w:rFonts w:ascii="Arial" w:cs="Arial" w:eastAsia="Arial" w:hAnsi="Arial"/>
                <w:sz w:val="18"/>
                <w:szCs w:val="18"/>
                <w:color w:val="auto"/>
              </w:rPr>
              <w:t>9B</w:t>
            </w:r>
          </w:p>
        </w:tc>
        <w:tc>
          <w:tcPr>
            <w:tcW w:w="8880" w:type="dxa"/>
            <w:vAlign w:val="bottom"/>
            <w:gridSpan w:val="17"/>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Other Information</w:t>
              </w:r>
            </w:hyperlink>
          </w:p>
        </w:tc>
        <w:tc>
          <w:tcPr>
            <w:tcW w:w="1640" w:type="dxa"/>
            <w:vAlign w:val="bottom"/>
            <w:gridSpan w:val="5"/>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r>
      <w:tr>
        <w:trPr>
          <w:trHeight w:val="52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Borders>
              <w:top w:val="single" w:sz="8" w:color="0000FF"/>
            </w:tcBorders>
            <w:gridSpan w:val="4"/>
          </w:tcPr>
          <w:p>
            <w:pPr>
              <w:spacing w:after="0"/>
              <w:rPr>
                <w:sz w:val="20"/>
                <w:szCs w:val="20"/>
                <w:color w:val="auto"/>
              </w:rPr>
            </w:pPr>
            <w:r>
              <w:rPr>
                <w:rFonts w:ascii="Arial" w:cs="Arial" w:eastAsia="Arial" w:hAnsi="Arial"/>
                <w:sz w:val="18"/>
                <w:szCs w:val="18"/>
                <w:b w:val="1"/>
                <w:bCs w:val="1"/>
                <w:color w:val="auto"/>
              </w:rPr>
              <w:t>PART III</w:t>
            </w:r>
          </w:p>
        </w:tc>
        <w:tc>
          <w:tcPr>
            <w:tcW w:w="7480" w:type="dxa"/>
            <w:vAlign w:val="bottom"/>
            <w:gridSpan w:val="13"/>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189"/>
        </w:trPr>
        <w:tc>
          <w:tcPr>
            <w:tcW w:w="400" w:type="dxa"/>
            <w:vAlign w:val="bottom"/>
            <w:gridSpan w:val="2"/>
          </w:tcPr>
          <w:p>
            <w:pPr>
              <w:spacing w:after="0" w:line="189" w:lineRule="exact"/>
              <w:rPr>
                <w:sz w:val="20"/>
                <w:szCs w:val="20"/>
                <w:color w:val="auto"/>
              </w:rPr>
            </w:pPr>
            <w:r>
              <w:rPr>
                <w:rFonts w:ascii="Arial" w:cs="Arial" w:eastAsia="Arial" w:hAnsi="Arial"/>
                <w:sz w:val="18"/>
                <w:szCs w:val="18"/>
                <w:color w:val="auto"/>
              </w:rPr>
              <w:t>10</w:t>
            </w:r>
          </w:p>
        </w:tc>
        <w:tc>
          <w:tcPr>
            <w:tcW w:w="160" w:type="dxa"/>
            <w:vAlign w:val="bottom"/>
          </w:tcPr>
          <w:p>
            <w:pPr>
              <w:spacing w:after="0"/>
              <w:rPr>
                <w:sz w:val="16"/>
                <w:szCs w:val="16"/>
                <w:color w:val="auto"/>
              </w:rPr>
            </w:pPr>
          </w:p>
        </w:tc>
        <w:tc>
          <w:tcPr>
            <w:tcW w:w="4500" w:type="dxa"/>
            <w:vAlign w:val="bottom"/>
            <w:tcBorders>
              <w:bottom w:val="single" w:sz="8" w:color="0000FF"/>
            </w:tcBorders>
            <w:gridSpan w:val="12"/>
          </w:tcPr>
          <w:p>
            <w:pPr>
              <w:spacing w:after="0" w:line="189" w:lineRule="exact"/>
              <w:rPr>
                <w:rFonts w:ascii="Arial" w:cs="Arial" w:eastAsia="Arial" w:hAnsi="Arial"/>
                <w:sz w:val="18"/>
                <w:szCs w:val="18"/>
                <w:color w:val="0000FF"/>
                <w:w w:val="99"/>
              </w:rPr>
            </w:pPr>
            <w:hyperlink w:anchor="page50">
              <w:r>
                <w:rPr>
                  <w:rFonts w:ascii="Arial" w:cs="Arial" w:eastAsia="Arial" w:hAnsi="Arial"/>
                  <w:sz w:val="18"/>
                  <w:szCs w:val="18"/>
                  <w:color w:val="0000FF"/>
                  <w:w w:val="99"/>
                </w:rPr>
                <w:t>Directors, Executive Officers and Corporate Governance</w:t>
              </w:r>
            </w:hyperlink>
          </w:p>
        </w:tc>
        <w:tc>
          <w:tcPr>
            <w:tcW w:w="4380" w:type="dxa"/>
            <w:vAlign w:val="bottom"/>
            <w:gridSpan w:val="5"/>
          </w:tcPr>
          <w:p>
            <w:pPr>
              <w:spacing w:after="0"/>
              <w:rPr>
                <w:sz w:val="16"/>
                <w:szCs w:val="16"/>
                <w:color w:val="auto"/>
              </w:rPr>
            </w:pPr>
          </w:p>
        </w:tc>
        <w:tc>
          <w:tcPr>
            <w:tcW w:w="1440" w:type="dxa"/>
            <w:vAlign w:val="bottom"/>
            <w:gridSpan w:val="3"/>
          </w:tcPr>
          <w:p>
            <w:pPr>
              <w:spacing w:after="0"/>
              <w:rPr>
                <w:sz w:val="16"/>
                <w:szCs w:val="16"/>
                <w:color w:val="auto"/>
              </w:rPr>
            </w:pPr>
          </w:p>
        </w:tc>
        <w:tc>
          <w:tcPr>
            <w:tcW w:w="200" w:type="dxa"/>
            <w:vAlign w:val="bottom"/>
            <w:tcBorders>
              <w:bottom w:val="single" w:sz="8" w:color="0000FF"/>
            </w:tcBorders>
            <w:gridSpan w:val="2"/>
          </w:tcPr>
          <w:p>
            <w:pPr>
              <w:jc w:val="right"/>
              <w:spacing w:after="0" w:line="189"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48</w:t>
              </w:r>
            </w:hyperlink>
          </w:p>
        </w:tc>
      </w:tr>
      <w:tr>
        <w:trPr>
          <w:trHeight w:val="210"/>
        </w:trPr>
        <w:tc>
          <w:tcPr>
            <w:tcW w:w="400" w:type="dxa"/>
            <w:vAlign w:val="bottom"/>
            <w:gridSpan w:val="2"/>
          </w:tcPr>
          <w:p>
            <w:pPr>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2000" w:type="dxa"/>
            <w:vAlign w:val="bottom"/>
            <w:tcBorders>
              <w:bottom w:val="single" w:sz="8" w:color="0000FF"/>
            </w:tcBorders>
            <w:gridSpan w:val="8"/>
          </w:tcPr>
          <w:p>
            <w:pPr>
              <w:spacing w:after="0"/>
              <w:rPr>
                <w:rFonts w:ascii="Arial" w:cs="Arial" w:eastAsia="Arial" w:hAnsi="Arial"/>
                <w:sz w:val="18"/>
                <w:szCs w:val="18"/>
                <w:color w:val="0000FF"/>
                <w:w w:val="99"/>
              </w:rPr>
            </w:pPr>
            <w:hyperlink w:anchor="page50">
              <w:r>
                <w:rPr>
                  <w:rFonts w:ascii="Arial" w:cs="Arial" w:eastAsia="Arial" w:hAnsi="Arial"/>
                  <w:sz w:val="18"/>
                  <w:szCs w:val="18"/>
                  <w:color w:val="0000FF"/>
                  <w:w w:val="99"/>
                </w:rPr>
                <w:t>Executive Compensation</w:t>
              </w:r>
            </w:hyperlink>
          </w:p>
        </w:tc>
        <w:tc>
          <w:tcPr>
            <w:tcW w:w="6880" w:type="dxa"/>
            <w:vAlign w:val="bottom"/>
            <w:gridSpan w:val="9"/>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50">
              <w:r>
                <w:rPr>
                  <w:rFonts w:ascii="Arial" w:cs="Arial" w:eastAsia="Arial" w:hAnsi="Arial"/>
                  <w:sz w:val="18"/>
                  <w:szCs w:val="18"/>
                  <w:color w:val="0000FF"/>
                  <w:w w:val="89"/>
                </w:rPr>
                <w:t>48</w:t>
              </w:r>
            </w:hyperlink>
          </w:p>
        </w:tc>
      </w:tr>
    </w:tbl>
    <w:p>
      <w:pPr>
        <w:spacing w:after="0" w:line="23" w:lineRule="exact"/>
        <w:rPr>
          <w:sz w:val="20"/>
          <w:szCs w:val="20"/>
          <w:color w:val="auto"/>
        </w:rPr>
      </w:pPr>
    </w:p>
    <w:p>
      <w:pPr>
        <w:ind w:left="700" w:hanging="553"/>
        <w:spacing w:after="0"/>
        <w:tabs>
          <w:tab w:leader="none" w:pos="700" w:val="left"/>
        </w:tabs>
        <w:numPr>
          <w:ilvl w:val="0"/>
          <w:numId w:val="1"/>
        </w:numPr>
        <w:rPr>
          <w:rFonts w:ascii="Arial" w:cs="Arial" w:eastAsia="Arial" w:hAnsi="Arial"/>
          <w:sz w:val="18"/>
          <w:szCs w:val="18"/>
          <w:color w:val="0000FF"/>
        </w:rPr>
      </w:pPr>
      <w:hyperlink w:anchor="page50">
        <w:r>
          <w:rPr>
            <w:rFonts w:ascii="Arial" w:cs="Arial" w:eastAsia="Arial" w:hAnsi="Arial"/>
            <w:sz w:val="18"/>
            <w:szCs w:val="18"/>
            <w:color w:val="0000FF"/>
          </w:rPr>
          <w:t>Security Ownership of Certain Beneficial Owners and Management and</w:t>
        </w:r>
      </w:hyperlink>
    </w:p>
    <w:tbl>
      <w:tblPr>
        <w:tblLayout w:type="fixed"/>
        <w:tblInd w:w="0" w:type="dxa"/>
        <w:tblCellMar>
          <w:top w:w="0" w:type="dxa"/>
          <w:left w:w="0" w:type="dxa"/>
          <w:bottom w:w="0" w:type="dxa"/>
          <w:right w:w="0" w:type="dxa"/>
        </w:tblCellMar>
      </w:tblPr>
      <w:tr>
        <w:trPr>
          <w:trHeight w:val="183"/>
        </w:trPr>
        <w:tc>
          <w:tcPr>
            <w:tcW w:w="700" w:type="dxa"/>
            <w:vAlign w:val="bottom"/>
          </w:tcPr>
          <w:p>
            <w:pPr>
              <w:spacing w:after="0"/>
              <w:rPr>
                <w:sz w:val="15"/>
                <w:szCs w:val="15"/>
                <w:color w:val="auto"/>
              </w:rPr>
            </w:pPr>
          </w:p>
        </w:tc>
        <w:tc>
          <w:tcPr>
            <w:tcW w:w="2280" w:type="dxa"/>
            <w:vAlign w:val="bottom"/>
            <w:tcBorders>
              <w:top w:val="single" w:sz="8" w:color="0000FF"/>
            </w:tcBorders>
            <w:gridSpan w:val="2"/>
          </w:tcPr>
          <w:p>
            <w:pPr>
              <w:spacing w:after="0" w:line="182" w:lineRule="exact"/>
              <w:rPr>
                <w:rFonts w:ascii="Arial" w:cs="Arial" w:eastAsia="Arial" w:hAnsi="Arial"/>
                <w:sz w:val="18"/>
                <w:szCs w:val="18"/>
                <w:color w:val="0000FF"/>
                <w:w w:val="99"/>
              </w:rPr>
            </w:pPr>
            <w:hyperlink w:anchor="page50">
              <w:r>
                <w:rPr>
                  <w:rFonts w:ascii="Arial" w:cs="Arial" w:eastAsia="Arial" w:hAnsi="Arial"/>
                  <w:sz w:val="18"/>
                  <w:szCs w:val="18"/>
                  <w:color w:val="0000FF"/>
                  <w:w w:val="99"/>
                </w:rPr>
                <w:t>Related Stockholder Matters</w:t>
              </w:r>
            </w:hyperlink>
          </w:p>
        </w:tc>
        <w:tc>
          <w:tcPr>
            <w:tcW w:w="3420" w:type="dxa"/>
            <w:vAlign w:val="bottom"/>
            <w:tcBorders>
              <w:top w:val="single" w:sz="8" w:color="0000FF"/>
            </w:tcBorders>
            <w:gridSpan w:val="3"/>
          </w:tcPr>
          <w:p>
            <w:pPr>
              <w:spacing w:after="0"/>
              <w:rPr>
                <w:sz w:val="15"/>
                <w:szCs w:val="15"/>
                <w:color w:val="auto"/>
              </w:rPr>
            </w:pPr>
          </w:p>
        </w:tc>
        <w:tc>
          <w:tcPr>
            <w:tcW w:w="4620" w:type="dxa"/>
            <w:vAlign w:val="bottom"/>
            <w:gridSpan w:val="2"/>
          </w:tcPr>
          <w:p>
            <w:pPr>
              <w:spacing w:after="0"/>
              <w:rPr>
                <w:sz w:val="15"/>
                <w:szCs w:val="15"/>
                <w:color w:val="auto"/>
              </w:rPr>
            </w:pPr>
          </w:p>
        </w:tc>
        <w:tc>
          <w:tcPr>
            <w:tcW w:w="220" w:type="dxa"/>
            <w:vAlign w:val="bottom"/>
            <w:gridSpan w:val="2"/>
          </w:tcPr>
          <w:p>
            <w:pPr>
              <w:jc w:val="right"/>
              <w:ind w:right="20"/>
              <w:spacing w:after="0" w:line="182"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48</w:t>
              </w:r>
            </w:hyperlink>
          </w:p>
        </w:tc>
      </w:tr>
      <w:tr>
        <w:trPr>
          <w:trHeight w:val="20"/>
        </w:trPr>
        <w:tc>
          <w:tcPr>
            <w:tcW w:w="7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00" w:type="dxa"/>
            <w:vAlign w:val="bottom"/>
          </w:tcPr>
          <w:p>
            <w:pPr>
              <w:jc w:val="right"/>
              <w:ind w:right="270"/>
              <w:spacing w:after="0"/>
              <w:rPr>
                <w:sz w:val="20"/>
                <w:szCs w:val="20"/>
                <w:color w:val="auto"/>
              </w:rPr>
            </w:pPr>
            <w:r>
              <w:rPr>
                <w:rFonts w:ascii="Arial" w:cs="Arial" w:eastAsia="Arial" w:hAnsi="Arial"/>
                <w:sz w:val="18"/>
                <w:szCs w:val="18"/>
                <w:color w:val="auto"/>
              </w:rPr>
              <w:t>13</w:t>
            </w:r>
          </w:p>
        </w:tc>
        <w:tc>
          <w:tcPr>
            <w:tcW w:w="6080" w:type="dxa"/>
            <w:vAlign w:val="bottom"/>
            <w:gridSpan w:val="6"/>
          </w:tcPr>
          <w:p>
            <w:pPr>
              <w:spacing w:after="0"/>
              <w:rPr>
                <w:rFonts w:ascii="Arial" w:cs="Arial" w:eastAsia="Arial" w:hAnsi="Arial"/>
                <w:sz w:val="18"/>
                <w:szCs w:val="18"/>
                <w:color w:val="0000FF"/>
                <w:w w:val="99"/>
              </w:rPr>
            </w:pPr>
            <w:hyperlink w:anchor="page50">
              <w:r>
                <w:rPr>
                  <w:rFonts w:ascii="Arial" w:cs="Arial" w:eastAsia="Arial" w:hAnsi="Arial"/>
                  <w:sz w:val="18"/>
                  <w:szCs w:val="18"/>
                  <w:color w:val="0000FF"/>
                  <w:w w:val="99"/>
                </w:rPr>
                <w:t>Certain Relationships and Related Transactions, and Director Independence</w:t>
              </w:r>
            </w:hyperlink>
          </w:p>
        </w:tc>
        <w:tc>
          <w:tcPr>
            <w:tcW w:w="4240" w:type="dxa"/>
            <w:vAlign w:val="bottom"/>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50">
              <w:r>
                <w:rPr>
                  <w:rFonts w:ascii="Arial" w:cs="Arial" w:eastAsia="Arial" w:hAnsi="Arial"/>
                  <w:sz w:val="18"/>
                  <w:szCs w:val="18"/>
                  <w:color w:val="0000FF"/>
                  <w:w w:val="89"/>
                </w:rPr>
                <w:t>48</w:t>
              </w:r>
            </w:hyperlink>
          </w:p>
        </w:tc>
      </w:tr>
      <w:tr>
        <w:trPr>
          <w:trHeight w:val="20"/>
        </w:trPr>
        <w:tc>
          <w:tcPr>
            <w:tcW w:w="7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00" w:type="dxa"/>
            <w:vAlign w:val="bottom"/>
          </w:tcPr>
          <w:p>
            <w:pPr>
              <w:jc w:val="right"/>
              <w:ind w:right="270"/>
              <w:spacing w:after="0"/>
              <w:rPr>
                <w:sz w:val="20"/>
                <w:szCs w:val="20"/>
                <w:color w:val="auto"/>
              </w:rPr>
            </w:pPr>
            <w:r>
              <w:rPr>
                <w:rFonts w:ascii="Arial" w:cs="Arial" w:eastAsia="Arial" w:hAnsi="Arial"/>
                <w:sz w:val="18"/>
                <w:szCs w:val="18"/>
                <w:color w:val="auto"/>
              </w:rPr>
              <w:t>14</w:t>
            </w:r>
          </w:p>
        </w:tc>
        <w:tc>
          <w:tcPr>
            <w:tcW w:w="6080" w:type="dxa"/>
            <w:vAlign w:val="bottom"/>
            <w:gridSpan w:val="6"/>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Principal Accountant Fees and Services</w:t>
              </w:r>
            </w:hyperlink>
          </w:p>
        </w:tc>
        <w:tc>
          <w:tcPr>
            <w:tcW w:w="4240" w:type="dxa"/>
            <w:vAlign w:val="bottom"/>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50">
              <w:r>
                <w:rPr>
                  <w:rFonts w:ascii="Arial" w:cs="Arial" w:eastAsia="Arial" w:hAnsi="Arial"/>
                  <w:sz w:val="18"/>
                  <w:szCs w:val="18"/>
                  <w:color w:val="0000FF"/>
                  <w:w w:val="89"/>
                </w:rPr>
                <w:t>48</w:t>
              </w:r>
            </w:hyperlink>
          </w:p>
        </w:tc>
      </w:tr>
      <w:tr>
        <w:trPr>
          <w:trHeight w:val="520"/>
        </w:trPr>
        <w:tc>
          <w:tcPr>
            <w:tcW w:w="700" w:type="dxa"/>
            <w:vAlign w:val="bottom"/>
          </w:tcPr>
          <w:p>
            <w:pPr>
              <w:spacing w:after="0"/>
              <w:rPr>
                <w:sz w:val="24"/>
                <w:szCs w:val="24"/>
                <w:color w:val="auto"/>
              </w:rPr>
            </w:pPr>
          </w:p>
        </w:tc>
        <w:tc>
          <w:tcPr>
            <w:tcW w:w="3180" w:type="dxa"/>
            <w:vAlign w:val="bottom"/>
            <w:tcBorders>
              <w:top w:val="single" w:sz="8" w:color="0000FF"/>
            </w:tcBorders>
            <w:gridSpan w:val="3"/>
          </w:tcPr>
          <w:p>
            <w:pPr>
              <w:spacing w:after="0"/>
              <w:rPr>
                <w:sz w:val="20"/>
                <w:szCs w:val="20"/>
                <w:color w:val="auto"/>
              </w:rPr>
            </w:pPr>
            <w:r>
              <w:rPr>
                <w:rFonts w:ascii="Arial" w:cs="Arial" w:eastAsia="Arial" w:hAnsi="Arial"/>
                <w:sz w:val="18"/>
                <w:szCs w:val="18"/>
                <w:b w:val="1"/>
                <w:bCs w:val="1"/>
                <w:color w:val="auto"/>
              </w:rPr>
              <w:t>PART IV</w:t>
            </w:r>
          </w:p>
        </w:tc>
        <w:tc>
          <w:tcPr>
            <w:tcW w:w="7140" w:type="dxa"/>
            <w:vAlign w:val="bottom"/>
            <w:gridSpan w:val="4"/>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70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15</w:t>
            </w:r>
          </w:p>
        </w:tc>
        <w:tc>
          <w:tcPr>
            <w:tcW w:w="3520" w:type="dxa"/>
            <w:vAlign w:val="bottom"/>
            <w:gridSpan w:val="4"/>
          </w:tcPr>
          <w:p>
            <w:pPr>
              <w:spacing w:after="0" w:line="189" w:lineRule="exact"/>
              <w:rPr>
                <w:rFonts w:ascii="Arial" w:cs="Arial" w:eastAsia="Arial" w:hAnsi="Arial"/>
                <w:sz w:val="18"/>
                <w:szCs w:val="18"/>
                <w:color w:val="0000FF"/>
                <w:w w:val="99"/>
              </w:rPr>
            </w:pPr>
            <w:hyperlink w:anchor="page51">
              <w:r>
                <w:rPr>
                  <w:rFonts w:ascii="Arial" w:cs="Arial" w:eastAsia="Arial" w:hAnsi="Arial"/>
                  <w:sz w:val="18"/>
                  <w:szCs w:val="18"/>
                  <w:color w:val="0000FF"/>
                  <w:w w:val="99"/>
                </w:rPr>
                <w:t>Exhibits and Financial Statement Schedules</w:t>
              </w:r>
            </w:hyperlink>
          </w:p>
        </w:tc>
        <w:tc>
          <w:tcPr>
            <w:tcW w:w="6800" w:type="dxa"/>
            <w:vAlign w:val="bottom"/>
            <w:gridSpan w:val="3"/>
          </w:tcPr>
          <w:p>
            <w:pPr>
              <w:spacing w:after="0"/>
              <w:rPr>
                <w:sz w:val="16"/>
                <w:szCs w:val="16"/>
                <w:color w:val="auto"/>
              </w:rPr>
            </w:pPr>
          </w:p>
        </w:tc>
        <w:tc>
          <w:tcPr>
            <w:tcW w:w="220" w:type="dxa"/>
            <w:vAlign w:val="bottom"/>
            <w:gridSpan w:val="2"/>
          </w:tcPr>
          <w:p>
            <w:pPr>
              <w:jc w:val="right"/>
              <w:ind w:right="20"/>
              <w:spacing w:after="0" w:line="189"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49</w:t>
              </w:r>
            </w:hyperlink>
          </w:p>
        </w:tc>
      </w:tr>
      <w:tr>
        <w:trPr>
          <w:trHeight w:val="20"/>
        </w:trPr>
        <w:tc>
          <w:tcPr>
            <w:tcW w:w="7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680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3520" w:type="dxa"/>
            <w:vAlign w:val="bottom"/>
            <w:gridSpan w:val="4"/>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Signatures</w:t>
              </w:r>
            </w:hyperlink>
          </w:p>
        </w:tc>
        <w:tc>
          <w:tcPr>
            <w:tcW w:w="6800" w:type="dxa"/>
            <w:vAlign w:val="bottom"/>
            <w:gridSpan w:val="3"/>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50</w:t>
              </w:r>
            </w:hyperlink>
          </w:p>
        </w:tc>
      </w:tr>
      <w:tr>
        <w:trPr>
          <w:trHeight w:val="1283"/>
        </w:trPr>
        <w:tc>
          <w:tcPr>
            <w:tcW w:w="700" w:type="dxa"/>
            <w:vAlign w:val="bottom"/>
            <w:tcBorders>
              <w:bottom w:val="single" w:sz="8" w:color="9A9A9A"/>
            </w:tcBorders>
          </w:tcPr>
          <w:p>
            <w:pPr>
              <w:spacing w:after="0"/>
              <w:rPr>
                <w:sz w:val="24"/>
                <w:szCs w:val="24"/>
                <w:color w:val="auto"/>
              </w:rPr>
            </w:pPr>
          </w:p>
        </w:tc>
        <w:tc>
          <w:tcPr>
            <w:tcW w:w="860" w:type="dxa"/>
            <w:vAlign w:val="bottom"/>
            <w:tcBorders>
              <w:top w:val="single" w:sz="8" w:color="0000FF"/>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statements contained in this Annual Report on Form 10-K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 Additionally, many of these risks and uncertainties are currently amplified by and will continue to be amplified by, or in the future may be amplified by, the coronavirus (“COVID-19”) pandemic, and the continued restrictions that have been placed on travel in many countries and the resulting adverse impact on the global economy. These factors include, but are not limited to:</w:t>
      </w:r>
    </w:p>
    <w:p>
      <w:pPr>
        <w:spacing w:after="0" w:line="232" w:lineRule="exact"/>
        <w:rPr>
          <w:sz w:val="20"/>
          <w:szCs w:val="20"/>
          <w:color w:val="auto"/>
        </w:rPr>
      </w:pPr>
    </w:p>
    <w:p>
      <w:pPr>
        <w:jc w:val="both"/>
        <w:ind w:left="660" w:hanging="328"/>
        <w:spacing w:after="0" w:line="25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COVID-19 and its resulting impact on the global economy, which has had, and is expected to continue to have, a significant impact on our operations, including unprecedented volatility in demand levels, as well as its current, and uncertain future impact, including, but not limited to, its effect on the ability or desire of people to travel, including due to travel restrictions, and other restrictions and orders, which may continue to impact our results, operations, outlooks, plans, goals, growth, cash flows, liquidity, and stock price;</w:t>
      </w:r>
    </w:p>
    <w:p>
      <w:pPr>
        <w:spacing w:after="0" w:line="23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high level of competition in the mobility industry, including from new companies or technology, and the impact such competition may have on pricing and rental volume;</w:t>
      </w:r>
    </w:p>
    <w:p>
      <w:pPr>
        <w:spacing w:after="0" w:line="224"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change in our fleet costs, including as a result of a change in the cost of new vehicles, resulting from inflation or otherwise, manufacturer recalls, disruption in the supply of new vehicles, shortages in semiconductors used in new vehicle production, and/or a change in the price at which we dispose of used vehicles either in the used vehicle market or under repurchase or guaranteed depreciation programs;</w:t>
      </w:r>
    </w:p>
    <w:p>
      <w:pPr>
        <w:spacing w:after="0" w:line="230"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vehicles, which could impact their ability to perform their payment obligations under our agreements with them, including repurchase and/or guaranteed depreciation arrangements, and/or their willingness or ability to make vehicles available to us or the mobility industry as a whole on commercially reasonable terms or at all, particularly as COVID-19 related restrictions are lifted and travel demand increases;</w:t>
      </w:r>
    </w:p>
    <w:p>
      <w:pPr>
        <w:spacing w:after="0" w:line="23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significant volatility in travel demand as a result of COVID-19, including the current and any future disruptions in airline passenger traffic;</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deterioration in economic conditions, particularly during our peak season or in key market segments;</w:t>
      </w:r>
    </w:p>
    <w:p>
      <w:pPr>
        <w:spacing w:after="0" w:line="252"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occurrence or threat of terrorism, the current and any future pandemic diseases, natural disasters, military conflict or civil unrest in the locations in which we operate;</w:t>
      </w:r>
    </w:p>
    <w:p>
      <w:pPr>
        <w:spacing w:after="0" w:line="22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 including the current and any future impacts as a result of COVID-19, inflation or otherwise;</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continue to successfully implement our business strategies, achieve and maintain cost savings and adapt our business to changes in mobility;</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political, economic or commercial instability in the countries in which we operate, and our ability to conform to multiple and conflicting laws or regulations in those countries;</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66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spacing w:after="0" w:line="228"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 and our ability to obtain insurance at desired levels and the cost of that insurance;</w:t>
      </w:r>
    </w:p>
    <w:p>
      <w:pPr>
        <w:spacing w:after="0" w:line="224"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litigation,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spacing w:after="0" w:line="228"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protecting the integrity of, and preventing unauthorized access to, our information technology systems or those of our third-party vendors, licensees, dealers, independent operators and independent contractors, and protecting the confidential information of our employees and customers against security breaches, including physical or cybersecurity breaches, attacks, or other disruptions, and compliance with privacy and data protection regulation;</w:t>
      </w:r>
    </w:p>
    <w:p>
      <w:pPr>
        <w:spacing w:after="0" w:line="230"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impact on us from the actions of our third-party vendors, licensees, dealers, independent operators and independent contractors and/or disputes that may arise out of our agreements with such parties;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tax laws and accounting standards;</w:t>
      </w:r>
    </w:p>
    <w:p>
      <w:pPr>
        <w:spacing w:after="0" w:line="252"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potential interest rate increases, recent and potential further downgrades by rating agencies and our ability to incur substantially more debt;</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 or to obtain a waiver or amendment of such covenants should we be unable to meet such covenants;</w:t>
      </w:r>
    </w:p>
    <w:p>
      <w:pPr>
        <w:spacing w:after="0" w:line="224"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achieve our business plans, deterioration in general economic conditions of the countries in which we operate, or significant changes in the assumptions and estimates that are used in our impairment testing for goodwill or intangible assets, which could result in a significant impairment of our goodwill or intangible assets; and</w:t>
      </w:r>
    </w:p>
    <w:p>
      <w:pPr>
        <w:spacing w:after="0" w:line="228"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for the accuracy and completeness of those statements. Other factors and assumptions not identified above, including those discussed in “Management’s Discussion and Analysis of Financial Condition and Results of Operations” set forth in Item 7, in “Risk Factors” set forth in Item 1A and in other portions of this Annual Report on Form 10-K, may contain forward-looking statements and involve uncertainties that could cause actual results to differ materially from those projected in such statements.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40575"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4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 BUSINESS</w:t>
      </w:r>
    </w:p>
    <w:p>
      <w:pPr>
        <w:spacing w:after="0" w:line="3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Except as expressly indicated or unless the context otherwise requires, the “Company,” “Avis Budget,” “we,” “our” or “us” means Avis Budget Group, Inc. and its subsidiaries. “Avis,” “Budget,” “Budget Truck,” “Zipcar,” “Payless,” “Apex,” “Maggiore,” “Morini Rent,” “Turiscar,” “FranceCars” and “ACL Hire” refer to our Avis Rent A Car System, LLC, Budget Rent A Car System, Inc., Budget Truck Rental, LLC, Zipcar, Inc., Payless Car Rental, Inc., Apex Car Rentals, Avis Budget Italia S.P.A., Morini S.p.A., Turiscar Rent A Car, S.A., AAA France Cars SAS and ACL Hire Ltd. operations, respectively, and, unless the context otherwise requires, do not include the operations of our licensees, as further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0575"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OVERVIEW</w:t>
      </w:r>
    </w:p>
    <w:p>
      <w:pPr>
        <w:spacing w:after="0" w:line="200" w:lineRule="exact"/>
        <w:rPr>
          <w:sz w:val="20"/>
          <w:szCs w:val="20"/>
          <w:color w:val="auto"/>
        </w:rPr>
      </w:pPr>
    </w:p>
    <w:p>
      <w:pPr>
        <w:spacing w:after="0" w:line="27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 leading global provider of mobility solutions through our three most recognized brands, Avis, Budget and Zipcar, together with several other brands, well recognized in their respective markets. Our brands offer a range of options, from car and truck rental to car sharing. We license the use of the Avis, Budget, Zipcar and other brands’ trademarks to licensees in areas in which we do not operate directly. We and our licensees operate our brands in approximately 180 countries throughout the world. We generally maintain a leading share of airport car rental revenues in North America, Europe and Australasia, and we operate a leading car sharing network, as well as one of the leading commercial truck rental businesses in the United States. We believe the range of options from our diversified brands enjoy complementary demand patterns with mid-week commercial demand balanced by weekend leisure demand.</w:t>
      </w:r>
    </w:p>
    <w:p>
      <w:pPr>
        <w:spacing w:after="0" w:line="216"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impact to our business from the COVID-19 pandemic subsided during 2021, as global travel demand improved. On average, our global rental fleet totaled over 590,000 vehicles in fourth quarter 2021. We completed more than 28 million vehicle rental transactions worldwide and generated total revenues of $9.3 billion during 2021. Our brands and mobility solutions have an extended global reach with nearly 10,400 rental locations throughout the world, including approximately 4,000 locations operated by our licensees.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categorize our operations into two reportable business segments:</w:t>
      </w:r>
    </w:p>
    <w:p>
      <w:pPr>
        <w:spacing w:after="0" w:line="234" w:lineRule="exact"/>
        <w:rPr>
          <w:sz w:val="20"/>
          <w:szCs w:val="20"/>
          <w:color w:val="auto"/>
        </w:rPr>
      </w:pPr>
    </w:p>
    <w:p>
      <w:pPr>
        <w:jc w:val="both"/>
        <w:ind w:left="660" w:hanging="328"/>
        <w:spacing w:after="0" w:line="26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Americas</w:t>
      </w:r>
      <w:r>
        <w:rPr>
          <w:rFonts w:ascii="Arial" w:cs="Arial" w:eastAsia="Arial" w:hAnsi="Arial"/>
          <w:sz w:val="18"/>
          <w:szCs w:val="18"/>
          <w:color w:val="auto"/>
        </w:rPr>
        <w:t>, which provides and licenses the Company’s brands to third parties for vehicle rentals and ancillary products and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in North America, South America, Central America and the Caribbean, and operates the Company’s car sharing business in certain of these markets; and</w:t>
      </w:r>
    </w:p>
    <w:p>
      <w:pPr>
        <w:spacing w:after="0" w:line="202"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International</w:t>
      </w:r>
      <w:r>
        <w:rPr>
          <w:rFonts w:ascii="Arial" w:cs="Arial" w:eastAsia="Arial" w:hAnsi="Arial"/>
          <w:sz w:val="18"/>
          <w:szCs w:val="18"/>
          <w:color w:val="auto"/>
        </w:rPr>
        <w:t>, which provides and licenses the Company’s brands to third parties for vehicle rentals and ancillary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in Europe, the Middle East, Africa, Asia and Australasia, and operates the Company’s car sharing business in certain of these markets.</w:t>
      </w:r>
    </w:p>
    <w:p>
      <w:pPr>
        <w:spacing w:after="0" w:line="2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Additional discussion of our reportable segments is included in the Item 7. “Management’s Discussion and Analysis of Financial Condition and Results of Operations” and in Note 21 to the Consolidated Financial Statements included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40575" cy="162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STRATEGY</w:t>
      </w:r>
    </w:p>
    <w:p>
      <w:pPr>
        <w:spacing w:after="0" w:line="38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2022, we expect our strategy to drive a lower cost structure over the longer-term while maximizing revenue opportunities through continued focus on cost, revenue growth and investment.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Optimization</w:t>
      </w:r>
    </w:p>
    <w:p>
      <w:pPr>
        <w:spacing w:after="0" w:line="24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By designing new processes and implementing new systems, we seek to provide enhanced visibility and accountability for fixed and variable costs in our operations, with particular focus on a number of cost categories, including, among others, fleet.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Core Revenue Growth</w:t>
      </w:r>
    </w:p>
    <w:p>
      <w:pPr>
        <w:spacing w:after="0" w:line="24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By focusing on fleet acquisition, the customer experience, contract signings with corporate accounts and partnerships, we seek to increase our revenue. Our customer experience strategy is expected to focus on omni-</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channel service and sales, and a personalized experience utilizing QUICKPASS, the Company’s branded customer experience, which includes, for the locations in which it is offered, an enhanced booking experience, vehicle choice, express exit and a self-service on rent experience, among other features.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Investments</w:t>
      </w:r>
    </w:p>
    <w:p>
      <w:pPr>
        <w:spacing w:after="0" w:line="24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Investments in 2022 are expected to allow us to maximize our infrastructure to further revenue growth and cost efficiencies. Investments for 2022 are expected to include investments in our systems, operations, customer experience and electric vehicle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40575"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BRANDS AND OPERATIONS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BRANDS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Avis, Budget and Zipcar brands are three of the most recognized brands in our industry. We believe that each of our brands are positioned to be embraced by different target customers, and we see benefits and savings from our brands sharing some of the same maintenance facilities, fleet management systems, technology and administrative infrastructure. In addition, we are able to recognize benefits and savings by combining our car rental and car sharing maintenance activities and fleets at times to increase our fleet utilization efficiency and to meet demand peaks. These benefits have historically been further enhanced by complementary demand patterns balancing our business customers’ utilization during weekdays and our leisure and urban customers’ utilization on evenings and weekends. We also operate the Payless and Apex brands, which operate in the value segment of the car rental industry, augmenting our Avis, Budget and Zipcar brands. In addition, our Maggiore and Morini Rent brands in Italy, FranceCars brand in France and Turiscar brand in Portugal further extend the range of vehicle use occasions we are able to serve.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graphs present the approximate composition of our revenues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6350</wp:posOffset>
            </wp:positionV>
            <wp:extent cx="5760720" cy="14573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60720"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Budget Truck.</w:t>
      </w:r>
    </w:p>
    <w:p>
      <w:pPr>
        <w:spacing w:after="0" w:line="1"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Zipcar and other operating brands.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Budget Truck and Zipcar.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454025"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402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Avis brand provides high-quality vehicle rental and other mobility solutions at price points generally above non-branded and value-branded vehicle rental companies and serves the premium commercial and leisure segments of the travel industry. We operate or license Avis vehicle rental locations at virtually all of the largest commercial airports and cities in the world.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approximate number of Avis locations as of December 31,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8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rPr>
              <w:t>Avis Locations</w:t>
            </w:r>
            <w:r>
              <w:rPr>
                <w:rFonts w:ascii="Arial" w:cs="Arial" w:eastAsia="Arial" w:hAnsi="Arial"/>
                <w:sz w:val="14"/>
                <w:szCs w:val="14"/>
                <w:b w:val="1"/>
                <w:bCs w:val="1"/>
                <w:color w:val="auto"/>
              </w:rPr>
              <w:t>*</w:t>
            </w:r>
          </w:p>
        </w:tc>
        <w:tc>
          <w:tcPr>
            <w:tcW w:w="1680" w:type="dxa"/>
            <w:vAlign w:val="bottom"/>
            <w:tcBorders>
              <w:bottom w:val="single" w:sz="8" w:color="auto"/>
            </w:tcBorders>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780" w:type="dxa"/>
            <w:vAlign w:val="bottom"/>
            <w:gridSpan w:val="2"/>
          </w:tcPr>
          <w:p>
            <w:pPr>
              <w:ind w:left="420"/>
              <w:spacing w:after="0"/>
              <w:rPr>
                <w:sz w:val="20"/>
                <w:szCs w:val="20"/>
                <w:color w:val="auto"/>
              </w:rPr>
            </w:pPr>
            <w:r>
              <w:rPr>
                <w:rFonts w:ascii="Arial" w:cs="Arial" w:eastAsia="Arial" w:hAnsi="Arial"/>
                <w:sz w:val="18"/>
                <w:szCs w:val="18"/>
                <w:b w:val="1"/>
                <w:bCs w:val="1"/>
                <w:color w:val="auto"/>
              </w:rPr>
              <w:t>Americas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International</w:t>
            </w: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23"/>
        </w:trPr>
        <w:tc>
          <w:tcPr>
            <w:tcW w:w="5980" w:type="dxa"/>
            <w:vAlign w:val="bottom"/>
            <w:tcBorders>
              <w:top w:val="single" w:sz="8" w:color="C6D9F1"/>
            </w:tcBorders>
            <w:shd w:val="clear" w:color="auto" w:fill="C6D9F1"/>
          </w:tcPr>
          <w:p>
            <w:pPr>
              <w:ind w:left="20"/>
              <w:spacing w:after="0"/>
              <w:rPr>
                <w:sz w:val="20"/>
                <w:szCs w:val="20"/>
                <w:color w:val="auto"/>
              </w:rPr>
            </w:pPr>
            <w:r>
              <w:rPr>
                <w:rFonts w:ascii="Arial" w:cs="Arial" w:eastAsia="Arial" w:hAnsi="Arial"/>
                <w:sz w:val="18"/>
                <w:szCs w:val="18"/>
                <w:color w:val="auto"/>
              </w:rPr>
              <w:t>Company-operated locations</w:t>
            </w:r>
          </w:p>
        </w:tc>
        <w:tc>
          <w:tcPr>
            <w:tcW w:w="166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1,850</w:t>
            </w:r>
          </w:p>
        </w:tc>
        <w:tc>
          <w:tcPr>
            <w:tcW w:w="120" w:type="dxa"/>
            <w:vAlign w:val="bottom"/>
            <w:tcBorders>
              <w:top w:val="single" w:sz="8" w:color="C6D9F1"/>
            </w:tcBorders>
            <w:shd w:val="clear" w:color="auto" w:fill="C6D9F1"/>
          </w:tcPr>
          <w:p>
            <w:pPr>
              <w:spacing w:after="0"/>
              <w:rPr>
                <w:sz w:val="19"/>
                <w:szCs w:val="19"/>
                <w:color w:val="auto"/>
              </w:rPr>
            </w:pPr>
          </w:p>
        </w:tc>
        <w:tc>
          <w:tcPr>
            <w:tcW w:w="168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Borders>
              <w:top w:val="single" w:sz="8" w:color="C6D9F1"/>
            </w:tcBorders>
            <w:shd w:val="clear" w:color="auto" w:fill="C6D9F1"/>
          </w:tcPr>
          <w:p>
            <w:pPr>
              <w:spacing w:after="0"/>
              <w:rPr>
                <w:sz w:val="19"/>
                <w:szCs w:val="19"/>
                <w:color w:val="auto"/>
              </w:rPr>
            </w:pPr>
          </w:p>
        </w:tc>
        <w:tc>
          <w:tcPr>
            <w:tcW w:w="168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2,950</w:t>
            </w:r>
          </w:p>
        </w:tc>
      </w:tr>
      <w:tr>
        <w:trPr>
          <w:trHeight w:val="230"/>
        </w:trPr>
        <w:tc>
          <w:tcPr>
            <w:tcW w:w="5980" w:type="dxa"/>
            <w:vAlign w:val="bottom"/>
            <w:tcBorders>
              <w:bottom w:val="single" w:sz="8" w:color="C6D9F1"/>
            </w:tcBorders>
          </w:tcPr>
          <w:p>
            <w:pPr>
              <w:ind w:left="20"/>
              <w:spacing w:after="0"/>
              <w:rPr>
                <w:sz w:val="20"/>
                <w:szCs w:val="20"/>
                <w:color w:val="auto"/>
              </w:rPr>
            </w:pPr>
            <w:r>
              <w:rPr>
                <w:rFonts w:ascii="Arial" w:cs="Arial" w:eastAsia="Arial" w:hAnsi="Arial"/>
                <w:sz w:val="18"/>
                <w:szCs w:val="18"/>
                <w:color w:val="auto"/>
              </w:rPr>
              <w:t>Licensee locations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6D9F1"/>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6D9F1"/>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w:t>
            </w:r>
          </w:p>
        </w:tc>
      </w:tr>
      <w:tr>
        <w:trPr>
          <w:trHeight w:val="248"/>
        </w:trPr>
        <w:tc>
          <w:tcPr>
            <w:tcW w:w="5980" w:type="dxa"/>
            <w:vAlign w:val="bottom"/>
            <w:tcBorders>
              <w:bottom w:val="single" w:sz="8" w:color="C6D9F1"/>
            </w:tcBorders>
            <w:shd w:val="clear" w:color="auto" w:fill="C6D9F1"/>
          </w:tcPr>
          <w:p>
            <w:pPr>
              <w:ind w:left="20"/>
              <w:spacing w:after="0"/>
              <w:rPr>
                <w:sz w:val="20"/>
                <w:szCs w:val="20"/>
                <w:color w:val="auto"/>
              </w:rPr>
            </w:pPr>
            <w:r>
              <w:rPr>
                <w:rFonts w:ascii="Arial" w:cs="Arial" w:eastAsia="Arial" w:hAnsi="Arial"/>
                <w:sz w:val="18"/>
                <w:szCs w:val="18"/>
                <w:b w:val="1"/>
                <w:bCs w:val="1"/>
                <w:color w:val="auto"/>
              </w:rPr>
              <w:t>Total Avis Locations</w:t>
            </w:r>
          </w:p>
        </w:tc>
        <w:tc>
          <w:tcPr>
            <w:tcW w:w="1660" w:type="dxa"/>
            <w:vAlign w:val="bottom"/>
            <w:tcBorders>
              <w:bottom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Borders>
              <w:bottom w:val="single" w:sz="8" w:color="C6D9F1"/>
            </w:tcBorders>
            <w:shd w:val="clear" w:color="auto" w:fill="C6D9F1"/>
          </w:tcPr>
          <w:p>
            <w:pPr>
              <w:spacing w:after="0"/>
              <w:rPr>
                <w:sz w:val="21"/>
                <w:szCs w:val="21"/>
                <w:color w:val="auto"/>
              </w:rPr>
            </w:pPr>
          </w:p>
        </w:tc>
        <w:tc>
          <w:tcPr>
            <w:tcW w:w="1680" w:type="dxa"/>
            <w:vAlign w:val="bottom"/>
            <w:tcBorders>
              <w:bottom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2,900</w:t>
            </w:r>
          </w:p>
        </w:tc>
        <w:tc>
          <w:tcPr>
            <w:tcW w:w="100" w:type="dxa"/>
            <w:vAlign w:val="bottom"/>
            <w:tcBorders>
              <w:bottom w:val="single" w:sz="8" w:color="C6D9F1"/>
            </w:tcBorders>
            <w:shd w:val="clear" w:color="auto" w:fill="C6D9F1"/>
          </w:tcPr>
          <w:p>
            <w:pPr>
              <w:spacing w:after="0"/>
              <w:rPr>
                <w:sz w:val="21"/>
                <w:szCs w:val="21"/>
                <w:color w:val="auto"/>
              </w:rPr>
            </w:pPr>
          </w:p>
        </w:tc>
        <w:tc>
          <w:tcPr>
            <w:tcW w:w="1680" w:type="dxa"/>
            <w:vAlign w:val="bottom"/>
            <w:tcBorders>
              <w:bottom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5,200</w:t>
            </w:r>
          </w:p>
        </w:tc>
      </w:tr>
      <w:tr>
        <w:trPr>
          <w:trHeight w:val="20"/>
        </w:trPr>
        <w:tc>
          <w:tcPr>
            <w:tcW w:w="5980" w:type="dxa"/>
            <w:vAlign w:val="bottom"/>
            <w:tcBorders>
              <w:top w:val="single" w:sz="8" w:color="C6D9F1"/>
            </w:tcBorders>
          </w:tcPr>
          <w:p>
            <w:pPr>
              <w:spacing w:after="0" w:line="20" w:lineRule="exact"/>
              <w:rPr>
                <w:sz w:val="1"/>
                <w:szCs w:val="1"/>
                <w:color w:val="auto"/>
              </w:rPr>
            </w:pPr>
          </w:p>
        </w:tc>
        <w:tc>
          <w:tcPr>
            <w:tcW w:w="1660" w:type="dxa"/>
            <w:vAlign w:val="bottom"/>
            <w:tcBorders>
              <w:top w:val="single" w:sz="8" w:color="C6D9F1"/>
              <w:bottom w:val="single" w:sz="8" w:color="auto"/>
            </w:tcBorders>
          </w:tcPr>
          <w:p>
            <w:pPr>
              <w:spacing w:after="0" w:line="20" w:lineRule="exact"/>
              <w:rPr>
                <w:sz w:val="1"/>
                <w:szCs w:val="1"/>
                <w:color w:val="auto"/>
              </w:rPr>
            </w:pPr>
          </w:p>
        </w:tc>
        <w:tc>
          <w:tcPr>
            <w:tcW w:w="120" w:type="dxa"/>
            <w:vAlign w:val="bottom"/>
            <w:tcBorders>
              <w:top w:val="single" w:sz="8" w:color="C6D9F1"/>
            </w:tcBorders>
          </w:tcPr>
          <w:p>
            <w:pPr>
              <w:spacing w:after="0" w:line="20" w:lineRule="exact"/>
              <w:rPr>
                <w:sz w:val="1"/>
                <w:szCs w:val="1"/>
                <w:color w:val="auto"/>
              </w:rPr>
            </w:pPr>
          </w:p>
        </w:tc>
        <w:tc>
          <w:tcPr>
            <w:tcW w:w="1680" w:type="dxa"/>
            <w:vAlign w:val="bottom"/>
            <w:tcBorders>
              <w:top w:val="single" w:sz="8" w:color="C6D9F1"/>
              <w:bottom w:val="single" w:sz="8" w:color="auto"/>
            </w:tcBorders>
          </w:tcPr>
          <w:p>
            <w:pPr>
              <w:spacing w:after="0" w:line="20" w:lineRule="exact"/>
              <w:rPr>
                <w:sz w:val="1"/>
                <w:szCs w:val="1"/>
                <w:color w:val="auto"/>
              </w:rPr>
            </w:pPr>
          </w:p>
        </w:tc>
        <w:tc>
          <w:tcPr>
            <w:tcW w:w="100" w:type="dxa"/>
            <w:vAlign w:val="bottom"/>
            <w:tcBorders>
              <w:top w:val="single" w:sz="8" w:color="C6D9F1"/>
            </w:tcBorders>
          </w:tcPr>
          <w:p>
            <w:pPr>
              <w:spacing w:after="0" w:line="20" w:lineRule="exact"/>
              <w:rPr>
                <w:sz w:val="1"/>
                <w:szCs w:val="1"/>
                <w:color w:val="auto"/>
              </w:rPr>
            </w:pPr>
          </w:p>
        </w:tc>
        <w:tc>
          <w:tcPr>
            <w:tcW w:w="1680" w:type="dxa"/>
            <w:vAlign w:val="bottom"/>
            <w:tcBorders>
              <w:top w:val="single" w:sz="8" w:color="C6D9F1"/>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Certain locations support multiple brands.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2021, our Company-operated Avis locations generated total revenues of approximately $4.9 billion, of which approximately $2.2 billion was derived from commercial customers and approximately $ 3.3 billion was derived from customers renting at airports. The following graphs present the approximate composition of our Avis revenues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-7620</wp:posOffset>
            </wp:positionV>
            <wp:extent cx="5734685" cy="14573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3468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license the Avis brand to independent commercial owners who operate approximately half of our locations worldwide and generally pay royalty fees to us based on a percentage of applicable revenues. In 2021, these royalty fees totaled approximately 1% of our Avis 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offer Avis customers a variety of premium services, including:</w:t>
      </w:r>
    </w:p>
    <w:p>
      <w:pPr>
        <w:spacing w:after="0" w:line="252" w:lineRule="exact"/>
        <w:rPr>
          <w:sz w:val="20"/>
          <w:szCs w:val="20"/>
          <w:color w:val="auto"/>
        </w:rPr>
      </w:pPr>
    </w:p>
    <w:p>
      <w:pPr>
        <w:jc w:val="both"/>
        <w:ind w:left="660" w:hanging="328"/>
        <w:spacing w:after="0" w:line="25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Avis mobile application, which allows customers a unique and innovative way to control many elements of their rental experience via their mobile devices without the need to visit the rental counter. The Avis mobile application also allows customers to track Avis shuttle buses to rental locations, find their vehicle, and locate nearby gas stations and parking facilities;</w:t>
      </w:r>
    </w:p>
    <w:p>
      <w:pPr>
        <w:spacing w:after="0" w:line="210" w:lineRule="exact"/>
        <w:rPr>
          <w:rFonts w:ascii="Arial" w:cs="Arial" w:eastAsia="Arial" w:hAnsi="Arial"/>
          <w:sz w:val="18"/>
          <w:szCs w:val="18"/>
          <w:color w:val="auto"/>
        </w:rPr>
      </w:pPr>
    </w:p>
    <w:p>
      <w:pPr>
        <w:jc w:val="both"/>
        <w:ind w:left="660" w:hanging="328"/>
        <w:spacing w:after="0" w:line="245"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Avis Preferred</w:t>
      </w:r>
      <w:r>
        <w:rPr>
          <w:rFonts w:ascii="Arial" w:cs="Arial" w:eastAsia="Arial" w:hAnsi="Arial"/>
          <w:sz w:val="18"/>
          <w:szCs w:val="18"/>
          <w:color w:val="auto"/>
        </w:rPr>
        <w:t>, an award-winning frequent renter rewards program that offers counter-bypass at major airport locations and reward</w:t>
      </w:r>
      <w:r>
        <w:rPr>
          <w:rFonts w:ascii="Arial" w:cs="Arial" w:eastAsia="Arial" w:hAnsi="Arial"/>
          <w:sz w:val="18"/>
          <w:szCs w:val="18"/>
          <w:i w:val="1"/>
          <w:iCs w:val="1"/>
          <w:color w:val="auto"/>
        </w:rPr>
        <w:t xml:space="preserve"> </w:t>
      </w:r>
      <w:r>
        <w:rPr>
          <w:rFonts w:ascii="Arial" w:cs="Arial" w:eastAsia="Arial" w:hAnsi="Arial"/>
          <w:sz w:val="18"/>
          <w:szCs w:val="18"/>
          <w:color w:val="auto"/>
        </w:rPr>
        <w:t>points for every dollar spent on vehicle rentals and related products. Avis QuickPass, the newest feature on the Avis mobile application, allows Avis Preferred customers to select their specific car via their mobile device upon arrival, proceed directly to the vehicle, and utilize a unique code to exit via our automated Express Exit for a completely contactless rental experience;</w:t>
      </w:r>
    </w:p>
    <w:p>
      <w:pPr>
        <w:spacing w:after="0" w:line="20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Avis Signature Series</w:t>
      </w:r>
      <w:r>
        <w:rPr>
          <w:rFonts w:ascii="Arial" w:cs="Arial" w:eastAsia="Arial" w:hAnsi="Arial"/>
          <w:sz w:val="18"/>
          <w:szCs w:val="18"/>
          <w:color w:val="auto"/>
        </w:rPr>
        <w:t>, a selection of luxury vehicles including Mercedes, Jaguars, Corvettes, and others;</w:t>
      </w:r>
    </w:p>
    <w:p>
      <w:pPr>
        <w:spacing w:after="0" w:line="2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invited or earned customer status levels allowing for upgrades and counter bypass;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premium, sport and performance vehicles as well as eco-friendly vehicles, including gasoline/electric hybrids;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access to portable navigation units, tablets and satellite radio service;</w:t>
      </w:r>
    </w:p>
    <w:p>
      <w:pPr>
        <w:spacing w:after="0" w:line="252"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Avis rental services such as roadside assistance, fuel service options, e-receipts, electronic toll collection services that allow customers to pay highway tolls without waiting in toll booth lines, and amenities such as </w:t>
      </w:r>
      <w:r>
        <w:rPr>
          <w:rFonts w:ascii="Arial" w:cs="Arial" w:eastAsia="Arial" w:hAnsi="Arial"/>
          <w:sz w:val="18"/>
          <w:szCs w:val="18"/>
          <w:i w:val="1"/>
          <w:iCs w:val="1"/>
          <w:color w:val="auto"/>
        </w:rPr>
        <w:t>Avis Access</w:t>
      </w:r>
      <w:r>
        <w:rPr>
          <w:rFonts w:ascii="Arial" w:cs="Arial" w:eastAsia="Arial" w:hAnsi="Arial"/>
          <w:sz w:val="18"/>
          <w:szCs w:val="18"/>
          <w:color w:val="auto"/>
        </w:rPr>
        <w:t>, a full range of special products and services for drivers and passengers with disabilities;</w:t>
      </w:r>
    </w:p>
    <w:p>
      <w:pPr>
        <w:spacing w:after="0" w:line="210"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Curbside Delivery</w:t>
      </w:r>
      <w:r>
        <w:rPr>
          <w:rFonts w:ascii="Arial" w:cs="Arial" w:eastAsia="Arial" w:hAnsi="Arial"/>
          <w:sz w:val="18"/>
          <w:szCs w:val="18"/>
          <w:color w:val="auto"/>
        </w:rPr>
        <w:t>, a service that provides customers at select airport locations in the United States with the added convenience of</w:t>
      </w:r>
      <w:r>
        <w:rPr>
          <w:rFonts w:ascii="Arial" w:cs="Arial" w:eastAsia="Arial" w:hAnsi="Arial"/>
          <w:sz w:val="18"/>
          <w:szCs w:val="18"/>
          <w:i w:val="1"/>
          <w:iCs w:val="1"/>
          <w:color w:val="auto"/>
        </w:rPr>
        <w:t xml:space="preserve"> </w:t>
      </w:r>
      <w:r>
        <w:rPr>
          <w:rFonts w:ascii="Arial" w:cs="Arial" w:eastAsia="Arial" w:hAnsi="Arial"/>
          <w:sz w:val="18"/>
          <w:szCs w:val="18"/>
          <w:color w:val="auto"/>
        </w:rPr>
        <w:t>being dropped off at the airport terminal in the same car that they rented; and</w:t>
      </w:r>
    </w:p>
    <w:p>
      <w:pPr>
        <w:spacing w:after="0" w:line="188"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for our corporate customers, </w:t>
      </w:r>
      <w:r>
        <w:rPr>
          <w:rFonts w:ascii="Arial" w:cs="Arial" w:eastAsia="Arial" w:hAnsi="Arial"/>
          <w:sz w:val="18"/>
          <w:szCs w:val="18"/>
          <w:i w:val="1"/>
          <w:iCs w:val="1"/>
          <w:color w:val="auto"/>
        </w:rPr>
        <w:t>Avis Budget Group Business Intelligence</w:t>
      </w:r>
      <w:r>
        <w:rPr>
          <w:rFonts w:ascii="Arial" w:cs="Arial" w:eastAsia="Arial" w:hAnsi="Arial"/>
          <w:sz w:val="18"/>
          <w:szCs w:val="18"/>
          <w:color w:val="auto"/>
        </w:rPr>
        <w:t>, a proprietary customer reporting solution that provides a centralized reporting tool and customer reporting portal for all corporate clients around the globe, enabling them to easily view and analyze their rental activity, permitting them to better manage their travel budgets and monitor employee compliance with applicable travel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685800" cy="316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Car Rental</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Budget brand is a leading supplier of vehicle rental and other mobility solutions focused primarily on more value-conscious customers.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operate or license Budget car rental locations at most of the largest airports and cities in the world.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approximate number of Budget locations as of December 31,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8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rPr>
              <w:t>Budget Locations</w:t>
            </w:r>
            <w:r>
              <w:rPr>
                <w:rFonts w:ascii="Arial" w:cs="Arial" w:eastAsia="Arial" w:hAnsi="Arial"/>
                <w:sz w:val="14"/>
                <w:szCs w:val="14"/>
                <w:b w:val="1"/>
                <w:bCs w:val="1"/>
                <w:color w:val="auto"/>
              </w:rPr>
              <w:t>*</w:t>
            </w:r>
          </w:p>
        </w:tc>
        <w:tc>
          <w:tcPr>
            <w:tcW w:w="1680" w:type="dxa"/>
            <w:vAlign w:val="bottom"/>
            <w:tcBorders>
              <w:bottom w:val="single" w:sz="8" w:color="auto"/>
            </w:tcBorders>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780" w:type="dxa"/>
            <w:vAlign w:val="bottom"/>
            <w:gridSpan w:val="2"/>
          </w:tcPr>
          <w:p>
            <w:pPr>
              <w:ind w:left="420"/>
              <w:spacing w:after="0"/>
              <w:rPr>
                <w:sz w:val="20"/>
                <w:szCs w:val="20"/>
                <w:color w:val="auto"/>
              </w:rPr>
            </w:pPr>
            <w:r>
              <w:rPr>
                <w:rFonts w:ascii="Arial" w:cs="Arial" w:eastAsia="Arial" w:hAnsi="Arial"/>
                <w:sz w:val="18"/>
                <w:szCs w:val="18"/>
                <w:b w:val="1"/>
                <w:bCs w:val="1"/>
                <w:color w:val="auto"/>
              </w:rPr>
              <w:t>Americas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International</w:t>
            </w: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23"/>
        </w:trPr>
        <w:tc>
          <w:tcPr>
            <w:tcW w:w="5980" w:type="dxa"/>
            <w:vAlign w:val="bottom"/>
            <w:tcBorders>
              <w:top w:val="single" w:sz="8" w:color="C6D9F1"/>
            </w:tcBorders>
            <w:shd w:val="clear" w:color="auto" w:fill="C6D9F1"/>
          </w:tcPr>
          <w:p>
            <w:pPr>
              <w:ind w:left="20"/>
              <w:spacing w:after="0"/>
              <w:rPr>
                <w:sz w:val="20"/>
                <w:szCs w:val="20"/>
                <w:color w:val="auto"/>
              </w:rPr>
            </w:pPr>
            <w:r>
              <w:rPr>
                <w:rFonts w:ascii="Arial" w:cs="Arial" w:eastAsia="Arial" w:hAnsi="Arial"/>
                <w:sz w:val="18"/>
                <w:szCs w:val="18"/>
                <w:color w:val="auto"/>
              </w:rPr>
              <w:t>Company-operated locations</w:t>
            </w:r>
          </w:p>
        </w:tc>
        <w:tc>
          <w:tcPr>
            <w:tcW w:w="166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Borders>
              <w:top w:val="single" w:sz="8" w:color="C6D9F1"/>
            </w:tcBorders>
            <w:shd w:val="clear" w:color="auto" w:fill="C6D9F1"/>
          </w:tcPr>
          <w:p>
            <w:pPr>
              <w:spacing w:after="0"/>
              <w:rPr>
                <w:sz w:val="19"/>
                <w:szCs w:val="19"/>
                <w:color w:val="auto"/>
              </w:rPr>
            </w:pPr>
          </w:p>
        </w:tc>
        <w:tc>
          <w:tcPr>
            <w:tcW w:w="168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top w:val="single" w:sz="8" w:color="C6D9F1"/>
            </w:tcBorders>
            <w:shd w:val="clear" w:color="auto" w:fill="C6D9F1"/>
          </w:tcPr>
          <w:p>
            <w:pPr>
              <w:spacing w:after="0"/>
              <w:rPr>
                <w:sz w:val="19"/>
                <w:szCs w:val="19"/>
                <w:color w:val="auto"/>
              </w:rPr>
            </w:pPr>
          </w:p>
        </w:tc>
        <w:tc>
          <w:tcPr>
            <w:tcW w:w="168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2,200</w:t>
            </w:r>
          </w:p>
        </w:tc>
      </w:tr>
      <w:tr>
        <w:trPr>
          <w:trHeight w:val="229"/>
        </w:trPr>
        <w:tc>
          <w:tcPr>
            <w:tcW w:w="5980" w:type="dxa"/>
            <w:vAlign w:val="bottom"/>
            <w:tcBorders>
              <w:bottom w:val="single" w:sz="8" w:color="C6D9F1"/>
            </w:tcBorders>
          </w:tcPr>
          <w:p>
            <w:pPr>
              <w:ind w:left="20"/>
              <w:spacing w:after="0"/>
              <w:rPr>
                <w:sz w:val="20"/>
                <w:szCs w:val="20"/>
                <w:color w:val="auto"/>
              </w:rPr>
            </w:pPr>
            <w:r>
              <w:rPr>
                <w:rFonts w:ascii="Arial" w:cs="Arial" w:eastAsia="Arial" w:hAnsi="Arial"/>
                <w:sz w:val="18"/>
                <w:szCs w:val="18"/>
                <w:color w:val="auto"/>
              </w:rPr>
              <w:t>Licensee locations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6D9F1"/>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6D9F1"/>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w:t>
            </w:r>
          </w:p>
        </w:tc>
      </w:tr>
      <w:tr>
        <w:trPr>
          <w:trHeight w:val="248"/>
        </w:trPr>
        <w:tc>
          <w:tcPr>
            <w:tcW w:w="5980" w:type="dxa"/>
            <w:vAlign w:val="bottom"/>
            <w:tcBorders>
              <w:bottom w:val="single" w:sz="8" w:color="C6D9F1"/>
            </w:tcBorders>
            <w:shd w:val="clear" w:color="auto" w:fill="C6D9F1"/>
          </w:tcPr>
          <w:p>
            <w:pPr>
              <w:ind w:left="20"/>
              <w:spacing w:after="0"/>
              <w:rPr>
                <w:sz w:val="20"/>
                <w:szCs w:val="20"/>
                <w:color w:val="auto"/>
              </w:rPr>
            </w:pPr>
            <w:r>
              <w:rPr>
                <w:rFonts w:ascii="Arial" w:cs="Arial" w:eastAsia="Arial" w:hAnsi="Arial"/>
                <w:sz w:val="18"/>
                <w:szCs w:val="18"/>
                <w:b w:val="1"/>
                <w:bCs w:val="1"/>
                <w:color w:val="auto"/>
              </w:rPr>
              <w:t>Total Budget Locations</w:t>
            </w:r>
          </w:p>
        </w:tc>
        <w:tc>
          <w:tcPr>
            <w:tcW w:w="1660" w:type="dxa"/>
            <w:vAlign w:val="bottom"/>
            <w:tcBorders>
              <w:bottom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1,850</w:t>
            </w:r>
          </w:p>
        </w:tc>
        <w:tc>
          <w:tcPr>
            <w:tcW w:w="120" w:type="dxa"/>
            <w:vAlign w:val="bottom"/>
            <w:tcBorders>
              <w:bottom w:val="single" w:sz="8" w:color="C6D9F1"/>
            </w:tcBorders>
            <w:shd w:val="clear" w:color="auto" w:fill="C6D9F1"/>
          </w:tcPr>
          <w:p>
            <w:pPr>
              <w:spacing w:after="0"/>
              <w:rPr>
                <w:sz w:val="21"/>
                <w:szCs w:val="21"/>
                <w:color w:val="auto"/>
              </w:rPr>
            </w:pPr>
          </w:p>
        </w:tc>
        <w:tc>
          <w:tcPr>
            <w:tcW w:w="1680" w:type="dxa"/>
            <w:vAlign w:val="bottom"/>
            <w:tcBorders>
              <w:bottom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6D9F1"/>
            </w:tcBorders>
            <w:shd w:val="clear" w:color="auto" w:fill="C6D9F1"/>
          </w:tcPr>
          <w:p>
            <w:pPr>
              <w:spacing w:after="0"/>
              <w:rPr>
                <w:sz w:val="21"/>
                <w:szCs w:val="21"/>
                <w:color w:val="auto"/>
              </w:rPr>
            </w:pPr>
          </w:p>
        </w:tc>
        <w:tc>
          <w:tcPr>
            <w:tcW w:w="1680" w:type="dxa"/>
            <w:vAlign w:val="bottom"/>
            <w:tcBorders>
              <w:bottom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3,750</w:t>
            </w:r>
          </w:p>
        </w:tc>
      </w:tr>
      <w:tr>
        <w:trPr>
          <w:trHeight w:val="20"/>
        </w:trPr>
        <w:tc>
          <w:tcPr>
            <w:tcW w:w="5980" w:type="dxa"/>
            <w:vAlign w:val="bottom"/>
            <w:tcBorders>
              <w:top w:val="single" w:sz="8" w:color="C6D9F1"/>
            </w:tcBorders>
          </w:tcPr>
          <w:p>
            <w:pPr>
              <w:spacing w:after="0" w:line="20" w:lineRule="exact"/>
              <w:rPr>
                <w:sz w:val="1"/>
                <w:szCs w:val="1"/>
                <w:color w:val="auto"/>
              </w:rPr>
            </w:pPr>
          </w:p>
        </w:tc>
        <w:tc>
          <w:tcPr>
            <w:tcW w:w="1660" w:type="dxa"/>
            <w:vAlign w:val="bottom"/>
            <w:tcBorders>
              <w:top w:val="single" w:sz="8" w:color="C6D9F1"/>
              <w:bottom w:val="single" w:sz="8" w:color="auto"/>
            </w:tcBorders>
          </w:tcPr>
          <w:p>
            <w:pPr>
              <w:spacing w:after="0" w:line="20" w:lineRule="exact"/>
              <w:rPr>
                <w:sz w:val="1"/>
                <w:szCs w:val="1"/>
                <w:color w:val="auto"/>
              </w:rPr>
            </w:pPr>
          </w:p>
        </w:tc>
        <w:tc>
          <w:tcPr>
            <w:tcW w:w="120" w:type="dxa"/>
            <w:vAlign w:val="bottom"/>
            <w:tcBorders>
              <w:top w:val="single" w:sz="8" w:color="C6D9F1"/>
            </w:tcBorders>
          </w:tcPr>
          <w:p>
            <w:pPr>
              <w:spacing w:after="0" w:line="20" w:lineRule="exact"/>
              <w:rPr>
                <w:sz w:val="1"/>
                <w:szCs w:val="1"/>
                <w:color w:val="auto"/>
              </w:rPr>
            </w:pPr>
          </w:p>
        </w:tc>
        <w:tc>
          <w:tcPr>
            <w:tcW w:w="1680" w:type="dxa"/>
            <w:vAlign w:val="bottom"/>
            <w:tcBorders>
              <w:top w:val="single" w:sz="8" w:color="C6D9F1"/>
              <w:bottom w:val="single" w:sz="8" w:color="auto"/>
            </w:tcBorders>
          </w:tcPr>
          <w:p>
            <w:pPr>
              <w:spacing w:after="0" w:line="20" w:lineRule="exact"/>
              <w:rPr>
                <w:sz w:val="1"/>
                <w:szCs w:val="1"/>
                <w:color w:val="auto"/>
              </w:rPr>
            </w:pPr>
          </w:p>
        </w:tc>
        <w:tc>
          <w:tcPr>
            <w:tcW w:w="100" w:type="dxa"/>
            <w:vAlign w:val="bottom"/>
            <w:tcBorders>
              <w:top w:val="single" w:sz="8" w:color="C6D9F1"/>
            </w:tcBorders>
          </w:tcPr>
          <w:p>
            <w:pPr>
              <w:spacing w:after="0" w:line="20" w:lineRule="exact"/>
              <w:rPr>
                <w:sz w:val="1"/>
                <w:szCs w:val="1"/>
                <w:color w:val="auto"/>
              </w:rPr>
            </w:pPr>
          </w:p>
        </w:tc>
        <w:tc>
          <w:tcPr>
            <w:tcW w:w="1680" w:type="dxa"/>
            <w:vAlign w:val="bottom"/>
            <w:tcBorders>
              <w:top w:val="single" w:sz="8" w:color="C6D9F1"/>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Certain locations support multiple brands.</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license the Budget brand to independent commercial owners who operate approximately half of our locations worldwide and generally pay royalty fees to us based on a percentage of applicable revenues. In 2021, these royalty fees totaled approximately 1% of our Budget revenues.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Budget offers its customers several products and services similar to Avis, such as refueling options, roadside assistance, electronic toll collection, curbside delivery and other supplemental rental products, emailed receipts and special rental rates for frequent renters. In addition, Budget’s mobile application allows customers to reserve, modify and cancel reservations on their mobile device, and its Fastbreak service expedites rental service for frequent travelers.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Budget Truck</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Budget Truck rental business is one of the largest local and one-way truck and cargo van rental businesses in the United States. As of December 31, 2021, our Budget Truck fleet is comprised of approximately 20,000 vehicles that are rented through a network of approximately 465 dealer-operated and 385 Company-operated locations throughout the continental United States. These dealers are independently-owned businesses that generally operate other retail service businesses. In addition to their principal businesses, the dealers rent our light- and medium-duty trucks and commercial cargo vans to customers and are responsible for collecting payments on our behalf. The dealers receive a commission on all truck, van and ancillary equipment rentals. The Budget Truck rental business serves both the light commercial and consumer sectors. The light commercial sector consists of a wide range of businesses that rent light- to medium-duty trucks, which we define as trucks having a gross vehicle weight of less than 26,000 pounds, for a variety of commercial applications. The consumer sector consists primarily of individuals who rent trucks to move household goods on either a one-way or local basis.</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2021, our Company-operated Budget vehicle rental operations generated total revenues of approximately $3.7 billion, of which approximately $2.9 billion was derived from leisure customers and $ 2.4 billion was derived from customers renting at airports. The following graphs present the approximate composition of our Budget revenues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-7620</wp:posOffset>
            </wp:positionV>
            <wp:extent cx="5734685" cy="14573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3468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685800"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Zipcar is a leading car sharing network, driven by a mission to enable simple and responsible urban living. With its wide variety of self-service vehicles available by the hour or day, Zipcar offers comprehensive, convenient and flexible car sharing options in urban areas and college campuses in hundreds of cities and towns. Zipcar provides its members on-demand, self-service vehicles in reserved parking spaces located in neighborhoods, business districts, office complexes and college campuses, as an alternative to car ownership. Members can reserve vehicles online or on a mobile device, by the minute, hour or by the day, at rates that include gasoline, secondary insurance and other costs associated with vehicle ownership. We continue to offer our Zipcar Flex product in London providing for one-way rentals, including to and from Heathrow airport, which can be parked in public on-street spots in designated areas of the city.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Brands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other brands include the following:</w:t>
      </w:r>
    </w:p>
    <w:p>
      <w:pPr>
        <w:spacing w:after="0" w:line="252" w:lineRule="exact"/>
        <w:rPr>
          <w:sz w:val="20"/>
          <w:szCs w:val="20"/>
          <w:color w:val="auto"/>
        </w:rPr>
      </w:pPr>
    </w:p>
    <w:p>
      <w:pPr>
        <w:jc w:val="both"/>
        <w:ind w:left="660" w:hanging="328"/>
        <w:spacing w:after="0" w:line="25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Payless, a leading rental car supplier serving the deep-value segment of the industry, which we license or operate in approximately 265 locations worldwide, including more than 175 locations operated by licensees and approximately 90 Company-operated locations.</w:t>
      </w:r>
    </w:p>
    <w:p>
      <w:pPr>
        <w:spacing w:after="0" w:line="228" w:lineRule="exact"/>
        <w:rPr>
          <w:rFonts w:ascii="Arial" w:cs="Arial" w:eastAsia="Arial" w:hAnsi="Arial"/>
          <w:sz w:val="18"/>
          <w:szCs w:val="18"/>
          <w:color w:val="auto"/>
        </w:rPr>
      </w:pPr>
    </w:p>
    <w:p>
      <w:pPr>
        <w:ind w:left="1300" w:hanging="320"/>
        <w:spacing w:after="0" w:line="261" w:lineRule="auto"/>
        <w:tabs>
          <w:tab w:leader="none" w:pos="1323"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Company-operated Payless locations are primarily located in North America, the majority of which are at or near major airports. Payless’ rental fees are often lower than those of larger, more established vehicle rental brands.</w:t>
      </w:r>
    </w:p>
    <w:p>
      <w:pPr>
        <w:spacing w:after="0" w:line="224" w:lineRule="exact"/>
        <w:rPr>
          <w:rFonts w:ascii="Arial" w:cs="Arial" w:eastAsia="Arial" w:hAnsi="Arial"/>
          <w:sz w:val="18"/>
          <w:szCs w:val="18"/>
          <w:color w:val="auto"/>
        </w:rPr>
      </w:pPr>
    </w:p>
    <w:p>
      <w:pPr>
        <w:ind w:left="1300" w:hanging="320"/>
        <w:spacing w:after="0" w:line="261" w:lineRule="auto"/>
        <w:tabs>
          <w:tab w:leader="none" w:pos="131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Payless business model allows the Company to extend the life-cycle of a portion of our rental fleet, as we “cascade” certain vehicles that exceed certain Avis and Budget age or mileage thresholds to be used by Payless.</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Apex, which operates in approximately 30 rental locations at, or near, major airports and in several metropolitan cities in New Zealand and Australia.</w:t>
      </w:r>
    </w:p>
    <w:p>
      <w:pPr>
        <w:spacing w:after="0" w:line="224" w:lineRule="exact"/>
        <w:rPr>
          <w:rFonts w:ascii="Arial" w:cs="Arial" w:eastAsia="Arial" w:hAnsi="Arial"/>
          <w:sz w:val="18"/>
          <w:szCs w:val="18"/>
          <w:color w:val="auto"/>
        </w:rPr>
      </w:pPr>
    </w:p>
    <w:p>
      <w:pPr>
        <w:ind w:left="1300" w:hanging="320"/>
        <w:spacing w:after="0" w:line="261" w:lineRule="auto"/>
        <w:tabs>
          <w:tab w:leader="none" w:pos="131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Apex generates reservations through proprietary websites as well as a contact center and online travel agencies and has typically had a greater-than-average length of rental.</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Maggiore, a leading vehicle rental brand in Italy, where we operate or license in approximately 150 rental locations throughout the country.</w:t>
      </w:r>
    </w:p>
    <w:p>
      <w:pPr>
        <w:spacing w:after="0" w:line="224" w:lineRule="exact"/>
        <w:rPr>
          <w:rFonts w:ascii="Arial" w:cs="Arial" w:eastAsia="Arial" w:hAnsi="Arial"/>
          <w:sz w:val="18"/>
          <w:szCs w:val="18"/>
          <w:color w:val="auto"/>
        </w:rPr>
      </w:pPr>
    </w:p>
    <w:p>
      <w:pPr>
        <w:ind w:left="1300" w:hanging="320"/>
        <w:spacing w:after="0" w:line="261" w:lineRule="auto"/>
        <w:tabs>
          <w:tab w:leader="none" w:pos="1296" w:val="left"/>
        </w:tabs>
        <w:numPr>
          <w:ilvl w:val="1"/>
          <w:numId w:val="11"/>
        </w:numPr>
        <w:rPr>
          <w:rFonts w:ascii="Arial" w:cs="Arial" w:eastAsia="Arial" w:hAnsi="Arial"/>
          <w:sz w:val="18"/>
          <w:szCs w:val="18"/>
          <w:color w:val="auto"/>
        </w:rPr>
      </w:pPr>
      <w:r>
        <w:rPr>
          <w:rFonts w:ascii="Arial" w:cs="Arial" w:eastAsia="Arial" w:hAnsi="Arial"/>
          <w:sz w:val="18"/>
          <w:szCs w:val="18"/>
          <w:color w:val="auto"/>
        </w:rPr>
        <w:t>Maggiore has a strong local reputation and benefits from a strong presence at airport, off-airport and railway locations and from the integration of our existing operations and rental fleet management expertise.</w:t>
      </w:r>
    </w:p>
    <w:p>
      <w:pPr>
        <w:spacing w:after="0" w:line="22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Morini Rent, a leading vehicle rental brand in Italy, which offers rental of cars, vans and refrigerated vehicles and which we operate in approximately 50 rental locations throughout the country.</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FranceCars, which operates one of the largest light commercial vehicle rental fleets in France in approximately 75 rental locations and leverages our existing operational processes and local customer base.</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Turiscar, a leading vehicle rental brand in Portugal, which operates primarily in the corporate market, including light commercial vehicles, at approximately 25 rental locations throughout the country.</w:t>
      </w:r>
    </w:p>
    <w:p>
      <w:pPr>
        <w:spacing w:after="0" w:line="25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ACL Hire, a provider of quality vehicle rental and maintenance services in the UK, with a strong focus on light commercial vehicles.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RESERVATIONS, MARKETING AND SALES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Reservations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customers can make vehicle rental reservations through our brand-specific websites and toll-free reservation centers, by calling a specific location directly, through our brand-specific mobile applications, online travel agencies, travel agents or through selected partners, including many major airlines, associations and retailers. Travel agents can access our reservation systems through all major global distribution systems, which provide information with respect to rental locations, vehicle availability and applicable rate structures.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Zipcar members may reserve cars by the minute, hour or by the day through Zipcar’s reservation system, which is accessible through the Zipcar website or through the Zipcar application on their smartphone. We also use two-way SMS texting, enabling us to proactively reach out to members during their reservation via their mobile device to manage their reservation, including reservation extension.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Marketing and Sales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support our brands through a range of marketing channels and campaigns, including traditional media as well as Internet and email marketing, social media and mobile device applications. We market through sponsorships of major sports entities such as the PGA Tour and the New York Yankees. We also market through sponsorships of charitable organizations. We utilize a customer relationship management system that enables us to deliver more targeted and relevant offers to customers across online and offline channels and allows our customers to benefit through better and more relevant marketing, improved service delivery, including an expedited and contactless rental process, and loyalty programs that reward frequent renters with free rental days and car class upgrades.</w:t>
      </w:r>
    </w:p>
    <w:p>
      <w:pPr>
        <w:spacing w:after="0" w:line="23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maintain strong links to the travel industry including marketing alliances with numerous marketing partners, such as airlines and major hotel companies. In addition, we have developed relationships that provide brand exposure and access to new customers, including deals to provide vehicles to ride-hail drivers in cities across North America.</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2021, approximately 60% of vehicle rental transactions originating from our Company-operated Avis locations were generated by travelers who rented from Avis under contracts between Avis and their employers or through membership in an organization with which Avis has a contractual affiliation (such as AARP and Costco Wholesale). The Company offers Business Intelligence, an online portal complete with rental summary dashboards, visualizations and detailed reports that provides our corporate customers with insight into their program’s performance, giving them direct access to more data in a customer-facing portal offering useful data insights, including options to customize and schedule reports. Avis also maintains marketing relationships with other organizations such as Amazon, American Express, MasterCard International and others, through which we are able to provide their customers with incentives to rent from Avis. Generally, Avis licensees also have the option to participate in these affiliations.</w:t>
      </w:r>
    </w:p>
    <w:p>
      <w:pPr>
        <w:spacing w:after="0" w:line="222"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Additionally, we offer “Unlimited Rewards</w:t>
      </w:r>
      <w:r>
        <w:rPr>
          <w:rFonts w:ascii="Arial" w:cs="Arial" w:eastAsia="Arial" w:hAnsi="Arial"/>
          <w:sz w:val="23"/>
          <w:szCs w:val="23"/>
          <w:color w:val="auto"/>
          <w:vertAlign w:val="superscript"/>
        </w:rPr>
        <w:t>®</w:t>
      </w:r>
      <w:r>
        <w:rPr>
          <w:rFonts w:ascii="Arial" w:cs="Arial" w:eastAsia="Arial" w:hAnsi="Arial"/>
          <w:sz w:val="18"/>
          <w:szCs w:val="18"/>
          <w:color w:val="auto"/>
        </w:rPr>
        <w:t>,” an award-winning loyalty incentive program for travel agents, and Avis and Budget programs for small businesses that offer discounted rates, central billing options and rental credits to members. We have contractual arrangements with American Express, MasterCard International and other organizations, which offer members incentives to rent.</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Zipcar brand utilizes a diverse set of marketing and sales strategies to acquire and engage members, including digital marketing, email and in-app messaging, and social media engagement. Zipcar maintains close relationships with universities that provide access to campuses and various marketing channels to attract students who, upon graduation, may continue their relationship with us. Through our Zipcar for Business program, we also offer direct-bill accounts and employee benefit programs to companies, federal agencies and local governments that support the use of Zipcars.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LICENSING</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licensees in approximately 175 countries throughout the world. Royalty fee revenues derived from our vehicle rental licensees in 2021 totaled $105 million, with approximately $ 72 million in our International segment and $33 million in our Americas segment. Licensed locations are independently operated by our licensees and range from large operations at major airport locations and territories encompassing entire countries to relatively small operations in suburban or rural locations. Our licensees generally maintain separate independently owned and operated fleets. Royalties generated from licensing provide us with a source of high-margin revenue because there are relatively limited additional costs associated with fees paid by licensees to us. In some geographies we facilitate one-way vehicle rentals between Company-operated and licensed locations, which enables us to offer an integrated network of locations to our customers.</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generally enjoy good relationships with our licensees and meet regularly with them at regional, national and international meetings. Our relationships with our licensees are governed by license agreements that grant the licensee the right to operate independently operated vehicle rental businesses in certain territories. Our license agreements generally provide our licensees with the exclusive right to operate under one or more of our brands in their assigned territory. These agreements impose obligations on the licensee regarding its operations, and most agreements restrict the licensee’s ability to sell, transfer or assign its rights granted under the license agreement or to change the control of its ownership without our consent.</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terms of our license agreements, including duration, royalty fees and termination provisions, vary based upon brand, territory, and original signing date. Royalty fees are generally structured to be a percentage of the licensee’s gross rental income. We maintain the right to monitor the operations of licensees and, when applicable, can declare a licensee to be in default under its license agreement. We perform audits as part of our program to assure licensee compliance with brand quality standards and contract provisions. Generally, we can terminate license agreements for certain defaults, including failure to pay royalties or to adhere to our operational standards. Upon termination of a license agreement, the licensee is prohibited from using our brand names and related marks in any business. In the United States, these license relationships constitute “franchises” under most federal and state laws regulating the offer and sale of franchises and the relationship of the parties to a franchise agreement.</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continue to optimize the Avis and Budget brands by issuing new license agreements and periodically acquiring licensees to grow our revenues and expand our global presence. Discussion of our recent acquisitions is included in Note 6 to the Consolidated Financial Statements included in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REVENUES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revenues derived from time and mileage fees from our vehicle rentals and licensee royalties, we generate revenues from our customers through the sale and/or rental of optional ancillary products and services. We offer products to customers that will enhance their rental experience, including:</w:t>
      </w:r>
    </w:p>
    <w:p>
      <w:pPr>
        <w:spacing w:after="0" w:line="229" w:lineRule="exact"/>
        <w:rPr>
          <w:sz w:val="20"/>
          <w:szCs w:val="20"/>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collision and loss damage waivers, under which we agree to relieve a customer from financial responsibility arising from vehicle damage incurred during the rental;</w:t>
      </w:r>
    </w:p>
    <w:p>
      <w:pPr>
        <w:spacing w:after="0" w:line="22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additional/supplemental liability insurance or personal accident/effects insurance products which provide customers with additional protections for personal or third-party losses incurred;</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products for driving convenience such as fuel service options, roadside assistance services, electronic toll collection services, curbside delivery, tablet rentals, access to satellite radio, portable navigation units and child safety seat rentals; and</w:t>
      </w:r>
    </w:p>
    <w:p>
      <w:pPr>
        <w:spacing w:after="0" w:line="22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products that supplement truck rental including automobile towing equipment and other moving accessories such as hand trucks, furniture pads and moving supplies.</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offer customized bundling of certain of these ancillary products and services, allowing our customers to benefit from discounted pricing and providing customers the flexibility to add multiple products or services that suit their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receive payment from our customers for certain operating expenses that we incur, including vehicle licensing fees, as well as airport concession fees that we pay in exchange for the right to operate at airports and other locations. In addition, we collect membership fees in connection with our car sharing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FLEET</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offer a wide variety of vehicles in our rental fleet, including luxury cars, specialty-use vehicles and light commercial vehicles. Our fleet consists primarily of vehicles from the current and immediately preceding model year. We maintain a single fleet of vehicles for Avis and Budget in countries where we operate both brands. The substantial majority of Zipcar’s fleet is dedicated to use by Zipcar.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Fleet Purchases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a diverse rental fleet, in which no vehicle manufacturer represented more than 21% of our 2021 fleet purchases, and we regularly adjust our fleet levels to be consistent with demand. We participate in a variety of vehicle purchase programs with major vehicle manufacturers. In 2021, we purchased vehicles from Toyota Motor Corporation, Stellantis N.V., Kia Motor Corporation, Volkswagen Group, Ford Motor Company, Nissan Motor Company and General Motors Company.</w:t>
      </w:r>
    </w:p>
    <w:p>
      <w:pPr>
        <w:spacing w:after="0" w:line="23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Fleet costs represented approximately 16% of our aggregate expenses in 2021. Fleet costs can vary from year to year based on the prices at which we are able to purchase and dispose of rental vehicles, the mix of risk and program vehicles, holding periods, and overall fleet mix.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2021, approximately 22% of our average rental fleet was comprised of the following:</w:t>
      </w:r>
    </w:p>
    <w:p>
      <w:pPr>
        <w:spacing w:after="0" w:line="252" w:lineRule="exact"/>
        <w:rPr>
          <w:sz w:val="20"/>
          <w:szCs w:val="20"/>
          <w:color w:val="auto"/>
        </w:rPr>
      </w:pPr>
    </w:p>
    <w:p>
      <w:pPr>
        <w:ind w:left="660" w:right="2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vehicles subject to agreements requiring automobile manufacturers to repurchase vehicles at a specified price during a specified time period or guarantee our rate of depreciation on the vehicles during a specified period of time; or</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vehicles subject to operating leases, which are subject to a fixed lease period and interest rate.</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refer to vehicles subject to these agreements as “program” vehicles and vehicles not subject to these agreements as “risk” vehicles because we retain the risk associated with such vehicles’ residual values at the time of their disposition. The following graphs present the approximate percentage of program vehicles in both our average rental fleet and purchases within each of our reporting segments in the last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-6350</wp:posOffset>
            </wp:positionV>
            <wp:extent cx="5520690" cy="3086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20690" cy="308610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agreements with automobile manufacturers typically require that we pay more for program vehicles and maintain them in our fleet for a minimum number of months and impose certain return conditions, including vehicle condition and mileage requirements. When we return program vehicles to the manufacturer, we receive the price guaranteed at the time of purchase and are therefore protected from fluctuations in the price of previously-owned vehicles in the wholesale market. In 2021, approximately 37% of the vehicles we disposed of were sold pursuant to repurchase or guaranteed depreciation programs. The future percentages of program and risk vehicles in our fleet will depend on several factors, including our expectations for future used vehicle prices, our seasonal needs and the availability and attractiveness of manufacturers’ repurchase and guaranteed depreciation programs.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Fleet Dispositions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dispose of our risk vehicles largely through alternative disposition channels, including direct-to-consumer, online auctions, and direct-to-dealer sales, as well as through more traditional automobile auctions. Alternative disposition channels provide the opportunity to increase vehicle sales prices and reduce relevant fleet costs compared to selling vehicles at auctions. We have continued to expand the scope of our direct-to-consumer vehicle sales program, growing sales of our risk vehicles directly to consumers through our Ultimate Test Drive (UTD) online program and our 16 physical retail locations. Both our UTD program and retail locations offer customers the ability to purchase well-maintained, late-model rental vehicles from our fleet. We dispose of our program vehicles in accordance with repurchase or guaranteed depreciation programs with major vehicle manufacturers.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Fleet Utilization</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2021, our average quarterly vehicle rental fleet size ranged from a low of approximately 412,000 vehicles in first quarter to a high of approximately 600,000 vehicles in third quarter. Average fleet utilization for 2021, which is based on the number of rental days (or portion thereof) that vehicles are rented compared to the total amount of time that vehicles are available for rent, ranged from approximately 67% in first quarter to approximately 72% in third quarter. Our average car rental fleet size and utilization are typically highest during the third quarter of each year. Our calculation of utilization may not be comparable to other companies’ calculation of similarly titled metrics.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Fleet Maintenance</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place a strong emphasis on the quality of our vehicle maintenance for customer safety and customer satisfaction reasons, and because quick and proper repairs are critical to fleet utilization. To accomplish this task, we developed specialized training programs for our technicians. Our Supply Chain Department prepares technical service bulletins that can be retrieved electronically at our repair locations. In addition, we have implemented policies and procedures to promptly address manufacturer recalls as part of our ongoing maintenance and repair efforts.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CUSTOMER SERVICE</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Our commitment to delivering a consistently high level of customer service across all of our brands is a critical element of our success and business strategy. Our </w:t>
      </w:r>
      <w:r>
        <w:rPr>
          <w:rFonts w:ascii="Arial" w:cs="Arial" w:eastAsia="Arial" w:hAnsi="Arial"/>
          <w:sz w:val="18"/>
          <w:szCs w:val="18"/>
          <w:i w:val="1"/>
          <w:iCs w:val="1"/>
          <w:color w:val="auto"/>
        </w:rPr>
        <w:t>Customer Led, Service Driven</w:t>
      </w:r>
      <w:r>
        <w:rPr>
          <w:rFonts w:ascii="Arial" w:cs="Arial" w:eastAsia="Arial" w:hAnsi="Arial"/>
          <w:sz w:val="18"/>
          <w:szCs w:val="18"/>
          <w:color w:val="auto"/>
        </w:rPr>
        <w:t>™ program focuses on continually improving the overall customer experience based on our research of customer service practices, improved customer insights, executing our customer relationship management strategy, delivering customer-centric employee training and leverage our mobile applications technology and the enriched experience it provides our customers. In addition, our social media platform allows us to engage with our customers in their preferred channel, which enables us to meet the needs of our customers while promoting our brands to gain more market share and drive customer loyalty.</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employees at our Company-operated locations are trained and empowered to resolve most customer issues at the location level. We also continuously track customer-satisfaction levels by sending location-specific surveys to recent customers and utilize detailed reports and tracking to assess and identify ways that we can improve our customer service delivery and the overall customer experience. Our location-specific surveys ask customers to evaluate their overall satisfaction with their rental experience and the likelihood that they will recommend our</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brands, as well as key elements of the rental experience. Results are analyzed in aggregate and by location to help further enhance our service levels to our customers.</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2020, as a response to COVID-19, we launched the “Avis Safety Pledge” and “Budget Worry-Free Promise,” designed to keep our customers and employees safe through a partnership with RB, the maker of Lysol, to enhance the cleanliness and disinfection of our rental facilities and vehicles. RB is also part of a coalition we formed with Hip Hop Public Health, a national nonprofit organization that creates engaging content to drive behavioral change and supplements our employee training for consistent, responsible habits and to optimize the effectiveness of our cleaning protocols. Our facilities are also utilizing plexiglass shields along with signage and floor markings to encourage safety habits and social distancing, and we have provided our staff with masks, hand sanitizer and gloves and we make this protective equipment available to our customers.</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offer rental options that provide greater control, self-service and contactless capabilities. While our mobile applications provide a fast customer experience, a company representative is available to meet customers’ needs. Our survey platform includes specific questions to learn more about individual preferences and find innovative ways to better serve and anticipate our customers’ needs.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AIRPORT CONCESSION AGREEMENTS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generally operate our vehicle rental and car sharing services at airports under concession agreements with airport authorities, pursuant to which we typically make airport concession payments and/or lease payments. In general, concession fees for on-airport locations are based on a percentage of total commissionable revenues (as defined by each airport authority), often subject to minimum annual guaranteed amounts. Concessions are typically awarded by airport authorities every three to ten years based upon competitive bids. Our concession agreements with the various airport authorities generally impose certain minimum operating requirements, provide for relocation in the event of future construction and provide for abatement of the minimum annual guarantee in the event of extended low passenger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4057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BUSINESS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operating results are subject to variability due to seasonality, macroeconomic conditions and other factors. Car rental volumes tend to be associated with the travel industry, particularly airline passenger volumes, or enplanements, which in turn tend to reflect general economic conditions. Our operations are also seasonal, with the third quarter of the year historically having been our strongest due to the increased level of leisure travel during the quarter. We have a partially variable cost structure and routinely adjust the size, and therefore the cost, of our rental fleet in response to fluctuations in demand.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presents our quarterly revenues for the years ended December 31, 2019, 2020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6350</wp:posOffset>
            </wp:positionV>
            <wp:extent cx="5709285" cy="22802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928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competitive environment for our industry is generally characterized by intense price and service competition among global, local and regional competitors. Competition in our vehicle rental operations is based primarily upon price, customer service quality, including usability of booking systems and ease of rental and return, vehicle availability, reliability, rental locations, product innovation and national or international distribution. In addition, competition is also influenced strongly by advertising, marketing, loyalty programs and brand reputation. We believe the prominence and service reputation of our brands, extensive worldwide ownership of mobility solutions and commitment to innovation provides us with a competitive advantage.</w:t>
      </w:r>
    </w:p>
    <w:p>
      <w:pPr>
        <w:spacing w:after="0" w:line="23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use of technology has increased pricing transparency among vehicle rental companies and other mobility solutions providers enabling cost-conscious customers to more easily compare on the Internet and their mobile devices the rates available for the mobility solutions that fit their needs. This transparency has further increased the prevalence and intensity of price competition in the industry.</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vehicle rental operations compete primarily with Enterprise Holdings, Inc., which operates the Enterprise, National and Alamo car rental brands; Hertz Global Holdings, Inc., which operates the Hertz, Dollar and Thrifty brands; Europcar Mobility Group, which operates the Europcar, Goldcar, InterRent, Buchbinder, Fox Rent A Car and Ubeeqo brands; and Sixt AG. We also compete with smaller local and regional vehicle rental companies for vehicle rental market share, and with ride-hailing companies largely for short length trips in urban areas. Our Zipcar brand also competes with various local and regional mobility companies, including mobility services sponsored by several auto manufacturers, ride-hailing and car sharing companies and other technology players in the mobility industry. Our Budget Truck operations in the United States competes with several other local, regional and nationwide truck rental companies including U-Haul International, Inc., Penske Truck Leasing Corporation, Ryder Systems, Inc. and Enterprise Truck Rental.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INSURANCE AND RISK MANAGEMENT</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vehicle rental and corporate operations expose us to various types of claims for bodily injury, death and property damage related to the use of our vehicles and/or properties, as well as general employment-related matters stemming from our operations. In addition, we currently purchase insurance coverage to limit our exposure to legal fees and expenses resulting from cybersecurity breaches. We generally retain economic exposure for liability to third parties arising from vehicle rental and car sharing services in the United States, Canada, Puerto Rico and the U.S. Virgin Islands, in accordance with the minimum financial responsibility requirements (“MFRs”) and primacy of coverage laws of the relevant jurisdiction. In certain cases, we assume liability above applicable MFRs, up to $5 million per occurrence, other than in cases involving a negligent act on the part of the Company, for which we purchase insurance coverage for exposures beyond retained amounts from a combination of unaffiliated excess insurers.</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Europe, we insure the risk of liability to third parties arising from vehicle rental and car sharing services in accordance with local regulatory requirements primarily through insurance policies provided by unaffiliated insurers. We retain a portion of the insured risk of liability through local deductibles, and by reinsuring certain risks through our captive insurance subsidiary AEGIS Motor Insurance Limited. In Australasia, motor vehicle bodily injury insurance coverage is compulsory and provided upon vehicle registration. In addition, we provide our customers with third-party property damage insurance through an unaffiliated third-party insurer. We retain a share of property damage risk through local deductibles. AEGIS Motor Insurance Limited reinsures certain risks through an unaffiliated company, which limits its liabilities.</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offer our U.S. customers a range of optional insurance products and coverages such as supplemental liability insurance, personal accident insurance, personal effects protection, emergency sickness protection, automobile towing protection and cargo insurance, which create additional risk exposure for us. When a customer elects to purchase supplemental liability insurance or other optional insurance related products, we typically retain economic exposure to loss, since the insurance is provided by an unaffiliated insurer that is reinsuring its exposure through our captive insurance subsidiary, Constellation Reinsurance Co., Ltd. Additional personal accident insurance offered to our customers in Europe is provided by a third-party insurer, and primarily reinsured by our Avis Budget Europe International Reinsurance Limited subsidiary. We also maintain excess insurance coverage through unaffiliated carriers to help mitigate our potential exposure to large liability losses. We otherwise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bear these and other risks, except to the extent that the risks are transferred through insurance or contractual arrangements.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INTELLECTUAL PROPERTY</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rely primarily on a combination of trademark, trade secret and copyright laws, as well as contractual provisions with employees and third parties, to establish and protect our intellectual property rights. The service marks “Avis,” “Budget” and “Zipcar” and related marks or designs incorporating such terms and related logos and marks such as “We Try Harder,” “We Know The Road” and “Own The Trip, Not The Car” are material to our vehicle rental and car sharing businesses. Our subsidiaries and licensees actively use these marks. All of the material marks used by Avis, Budget and Zipcar are registered (or have applications pending for registration) with the U.S. Patent and Trademark Office as well as in foreign jurisdictions. Our subsidiaries own the marks and other intellectual property, including the Wizard system, used in our business. We also own trademarks and logos related to the “Apex Car Rentals” brand in Australia and New Zealand, the “Payless Car Rental” brand in the United States and several other countries, the “Maggiore” and “Morini Rent” brands in Italy, the “FranceCars” brand in France and the “Turiscar” brand in Portugal. Our subsidiaries have also filed patent applications pertaining to fleet and connected car technology in the U.S. and other countries.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SOCIAL &amp; GOVERNANCE (“ESG”)</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recognize our role as one of the world’s leading mobility solutions providers. As a result, we are focused on supporting the transition to a low-carbon economy and employ practices designed to promote a more fair, just and equal workplace and community.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The Environment: </w:t>
      </w:r>
      <w:r>
        <w:rPr>
          <w:rFonts w:ascii="Arial" w:cs="Arial" w:eastAsia="Arial" w:hAnsi="Arial"/>
          <w:sz w:val="18"/>
          <w:szCs w:val="18"/>
          <w:color w:val="auto"/>
        </w:rPr>
        <w:t>We are committed to offering safe and low-carbon transportation solutions:</w:t>
      </w:r>
    </w:p>
    <w:p>
      <w:pPr>
        <w:spacing w:after="0" w:line="270" w:lineRule="exact"/>
        <w:rPr>
          <w:sz w:val="20"/>
          <w:szCs w:val="20"/>
          <w:color w:val="auto"/>
        </w:rPr>
      </w:pPr>
    </w:p>
    <w:p>
      <w:pPr>
        <w:jc w:val="both"/>
        <w:ind w:left="660" w:hanging="328"/>
        <w:spacing w:after="0" w:line="25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Greenhouse Gas Emissions: As our corporate and leisure customers become increasingly aware and concerned about pollution and congestion caused by vehicles, we aim to provide sustainable transportation solutions by leveraging connected vehicle technology and introducing more fuel efficient and low emission vehicles.</w:t>
      </w:r>
    </w:p>
    <w:p>
      <w:pPr>
        <w:spacing w:after="0" w:line="228"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Sustainable Operations: We are driving the efficiencies needed to reduce our environmental impact and enhance the sustainability of our operations. These are mainly driven by improvements in vehicle preventive maintenance, the incorporation of green building practices and by complying with all environmental regulations.</w:t>
      </w:r>
    </w:p>
    <w:p>
      <w:pPr>
        <w:spacing w:after="0" w:line="22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Carbon Offset Program: We work closely with our corporate customers to help them achieve their environmental impact reduction targets through our carbon offset program.</w:t>
      </w:r>
    </w:p>
    <w:p>
      <w:pPr>
        <w:spacing w:after="0" w:line="224"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Sustainable Fleet: We are actively anticipating and driving changes in mobility. Connected and autonomous vehicles are likely to become a common feature worldwide, along with an increase use of electric and shared vehicles, which is why we are building on our core experience, data intelligence and technology to develop entirely new lines of business and extend our offering and capabilities for our customers, businesses and cities. Our efforts include:</w:t>
      </w:r>
    </w:p>
    <w:p>
      <w:pPr>
        <w:spacing w:after="0" w:line="217" w:lineRule="exact"/>
        <w:rPr>
          <w:rFonts w:ascii="Arial" w:cs="Arial" w:eastAsia="Arial" w:hAnsi="Arial"/>
          <w:sz w:val="18"/>
          <w:szCs w:val="18"/>
          <w:color w:val="auto"/>
        </w:rPr>
      </w:pPr>
    </w:p>
    <w:p>
      <w:pPr>
        <w:jc w:val="both"/>
        <w:ind w:left="1620" w:hanging="316"/>
        <w:spacing w:after="0" w:line="245" w:lineRule="auto"/>
        <w:tabs>
          <w:tab w:leader="none" w:pos="163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Car Sharing: Zipcar continually improves its car sharing technology, which includes its mobile member app, in-vehicle telematics hardware, and reservation, fleet management and community management systems. Zipcar’s technology platform is key to providing a successful self-service experience for its members and effectively managing a distributed fleet of vehicles and associated parking locations. With more than one million members worldwide, Zipcar is helping reduce traffic and congestion.</w:t>
      </w:r>
    </w:p>
    <w:p>
      <w:pPr>
        <w:spacing w:after="0" w:line="226" w:lineRule="exact"/>
        <w:rPr>
          <w:rFonts w:ascii="Arial" w:cs="Arial" w:eastAsia="Arial" w:hAnsi="Arial"/>
          <w:sz w:val="18"/>
          <w:szCs w:val="18"/>
          <w:color w:val="auto"/>
        </w:rPr>
      </w:pPr>
    </w:p>
    <w:p>
      <w:pPr>
        <w:ind w:left="1620" w:right="20" w:hanging="316"/>
        <w:spacing w:after="0" w:line="261" w:lineRule="auto"/>
        <w:tabs>
          <w:tab w:leader="none" w:pos="1643"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Connected Vehicles: Connected vehicles support our ability to reduce emissions through a steadfast focus on fleet maintenance and optimization.</w:t>
      </w:r>
    </w:p>
    <w:p>
      <w:pPr>
        <w:spacing w:after="0" w:line="224" w:lineRule="exact"/>
        <w:rPr>
          <w:rFonts w:ascii="Arial" w:cs="Arial" w:eastAsia="Arial" w:hAnsi="Arial"/>
          <w:sz w:val="18"/>
          <w:szCs w:val="18"/>
          <w:color w:val="auto"/>
        </w:rPr>
      </w:pPr>
    </w:p>
    <w:p>
      <w:pPr>
        <w:ind w:left="1620" w:hanging="316"/>
        <w:spacing w:after="0" w:line="261" w:lineRule="auto"/>
        <w:tabs>
          <w:tab w:leader="none" w:pos="163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Fleet Efficiency: We offer our customers the opportunity to choose from a wide variety of vehicles, including hybrids, electric or fuel-efficient vehicles at almost all of our locations. Our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620"/>
        <w:spacing w:after="0" w:line="261" w:lineRule="auto"/>
        <w:rPr>
          <w:sz w:val="20"/>
          <w:szCs w:val="20"/>
          <w:color w:val="auto"/>
        </w:rPr>
      </w:pPr>
      <w:r>
        <w:rPr>
          <w:rFonts w:ascii="Arial" w:cs="Arial" w:eastAsia="Arial" w:hAnsi="Arial"/>
          <w:sz w:val="18"/>
          <w:szCs w:val="18"/>
          <w:color w:val="auto"/>
        </w:rPr>
        <w:t>fleet consists primarily of vehicles from the current and immediately preceding model year - this ensures the highest possible standards of air emissions control.</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Social: </w:t>
      </w:r>
      <w:r>
        <w:rPr>
          <w:rFonts w:ascii="Arial" w:cs="Arial" w:eastAsia="Arial" w:hAnsi="Arial"/>
          <w:sz w:val="18"/>
          <w:szCs w:val="18"/>
          <w:color w:val="auto"/>
        </w:rPr>
        <w:t>We believe that our success has its foundation in how we treat our employees. We seek to foster an environment where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 among our employees is open, honest, and respectful; performance is recognized; growth is encouraged; and accomplishments - individual and collective - are celebrated. We also seek to support the well-being and development of the people we employ and the communities in which they work.</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Giving Back</w:t>
      </w:r>
      <w:r>
        <w:rPr>
          <w:rFonts w:ascii="Arial" w:cs="Arial" w:eastAsia="Arial" w:hAnsi="Arial"/>
          <w:sz w:val="18"/>
          <w:szCs w:val="18"/>
          <w:color w:val="auto"/>
        </w:rPr>
        <w:t>: We are a global company with local reach in numerous communities around the world. Whether we work individually or as a</w:t>
      </w:r>
      <w:r>
        <w:rPr>
          <w:rFonts w:ascii="Arial" w:cs="Arial" w:eastAsia="Arial" w:hAnsi="Arial"/>
          <w:sz w:val="18"/>
          <w:szCs w:val="18"/>
          <w:i w:val="1"/>
          <w:iCs w:val="1"/>
          <w:color w:val="auto"/>
        </w:rPr>
        <w:t xml:space="preserve"> </w:t>
      </w:r>
      <w:r>
        <w:rPr>
          <w:rFonts w:ascii="Arial" w:cs="Arial" w:eastAsia="Arial" w:hAnsi="Arial"/>
          <w:sz w:val="18"/>
          <w:szCs w:val="18"/>
          <w:color w:val="auto"/>
        </w:rPr>
        <w:t>team, doing the right thing and supporting our communities helps employees feel their work is more than just a job, and makes them feel proud to be part of the Avis Budget Group family. As well as encouraging our employees to volunteer in their local communities, we are committed to supporting a variety of causes and charities that aid people in crisis situations.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Supporting Community Resilience</w:t>
      </w:r>
      <w:r>
        <w:rPr>
          <w:rFonts w:ascii="Arial" w:cs="Arial" w:eastAsia="Arial" w:hAnsi="Arial"/>
          <w:sz w:val="18"/>
          <w:szCs w:val="18"/>
          <w:color w:val="auto"/>
        </w:rPr>
        <w:t>: Over the past 70 years, we have developed strong competencies in responding to business disruptions.</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the disruption is man-made, an extreme weather event or a global health crisis, our business continuity programs are central to how we respond in times of crisis. Our program’s focus is on preparing and protecting our people, property and infrastructure. We utilize an “all hands on deck” approach within our incident management and command structure to ensure that we respond as rapidly and effectively as possible. We have also developed longstanding partnerships with leading national disaster response agencies, which strengthen our ability to provide support to affected customers, employees and communities.</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most recent ESG Report is available on the Company’s website. The information contained on the Company’s website is not included in, or incorporated by reference into, this Annual Report on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HUMAN CAPITAL RESOURCES AND MANAGEMENT</w:t>
      </w:r>
    </w:p>
    <w:p>
      <w:pPr>
        <w:spacing w:after="0" w:line="27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human capital objectives include identifying, recruiting, retaining, incentivizing and integrating our existing and future or prospective employees. Our compensation program is designed to attract, retain and motivate highly qualified employees and executives.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December 31, 2021, we employed approximately 21,000 people worldwide, of whom approximately 5,000 were employed on a part-time basis. Of our approximately 21,000 employees, approximately 7,400 were employed in our International segment. In our Americas segment, the majority of our employees are at-will employees and, therefore, not subject to any type of employment contract or agreement. In our International segment, we enter into employment contracts and agreements in those countries in which such relationships are mandatory or customary. The provisions of these agreements correspond in each case with the required or customary terms in the subject jurisdiction. Many of our employees are covered by a variety of union contracts and governmental regulations affecting, among other things, compensation, job retention rights and pensions.</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strive to maintain satisfactory relationships with all of our employees, including the unions and work councils representing these employees. As of December 31, 2021, approximately 27% of our employees were covered by collective bargaining or similar agreements with various labor unions. We believe our employee relations are satisfactory. We have never experienced a large-scale work stoppage.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Benefits</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Supporting our employees with the right benefits is one of the most important things we do. We understand benefits are a key element to a total reward package, so ensuring we provide meaningful benefit programs and resources across the globe is an integral part of how we reward employees, including with respect to healthcare and retirement. As a global company, benefits will vary by country to reflect local practices and cultures, but our commitment to providing comprehensive and meaningful benefits and resources is consistent across the world. We continuously review and, when necessary, update our programs to ensure they remain flexible, competitive, and aligned to what is important for our employees and their families.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Gender Pay Equity</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 ensure we are compensating both men and women employees fairly and equitably, we transitioned to a global Center of Excellence total rewards function five years ago with the aim to standardize and harmonize our rewards programs across all countries. As a result, we have established pay programs that provide for equal incentive pay opportunity for all employees in same or similar positions across the globe. Additionally, we utilize global guidelines and standards to inform compensation decisions for all new hires and promotions. To monitor our performance for our management employees, we evaluate base salary placement relative to our internal salary ranges for men and women. For our hourly field workforce (non-management employees), we maintain pay equity through our standardized compensation practices in which all employees begin at the same start rate, based on their location and position, and annual pay increases are applied consistently to all employees based on tenure.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Recruitment and Development</w:t>
      </w: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talent strategy is solidly rooted in attracting and retaining a diverse workforce. We run numerous recruitment programs that aim to give back to our local communities. Our Talent Acquisition teams have strong relationships with organizations that help us reach a diverse pool of candidates including LGBTQ+ and those with disabilities. We believe that our employees possess a wealth of knowledge that could and should be shared with others. We have a wealth of established learning and talent programs that we make available to our employees, including a digital learning platform that has transformed the way we produce, manage and share learning resources.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Inclusion and Belonging</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embrace diversity and inclusion. We value each employee around the world, whose talent, skill and personality have helped establish us as a leading global mobility provider. We believe that embracing and promoting diversity is a critical component of our success and we have committed to creating a safe, supportive and inclusive environment. As an equal-opportunity employer, we are proud to provide an inclusive workplace that embraces and celebrates demographic, cultural and lifestyle differences. We strive to have a diverse and inclusive work environment where employees feel valued for their uniqueness, recognized for their diverse talents, and where they can bring their whole selves to work. We have created employee resource groups (“ERGs”) to advocate for equality, provide opportunities for advancement, and facilitate discussion around best practices and resources to advance more targeted cultural and racial understanding and diversity. These ERGs provide a space where employees can foster connections and develop in a supportive environment. As of the end of 2021, we had three ERGs: Power of Women; Power of Veterans; and Power of Color.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health and safety of our employees is our highest priority because our people are our most valuable asset. Consistent with our operating philosophy, we are committed to safety and our core belief is that health and safety is every employee’s responsibility, not only for our employees but for our customers, vendors, and all stakeholders. We currently collect incident rates to track safety performance for our United States operations, which represents our largest employee population. Our focus is also evident in our response to the COVID-19 pandemic, including the launch of the Avis Safety Pledge and the Budget Worry-Free Promise to help provide a safe and convenient rental experience by enhancing our cleaning protocols and training on safety procedures related to the pandemic. We have also added work-from-home flexibility for employees who can work remotely; implemented temperature screening of employees at the majority of our locations in the United States; established new physical distancing procedures; provided additional personal protective equipment and cleaning supplies; modified certain work spaces with plexiglass dividers; implemented protocols to address actual and suspected COVID-19 cases and potential exposure; and required masks to be worn in all locations where allowed by local law. We will continue to provide our staff with hand sanitizer, gloves and masks and conduct daily health self-assessments before shifts where we are permitted to do so.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Well-being</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take a holistic approach to well-being. We understand that to deliver our best performance, our employees need to be healthy and happy in all areas of their lives. Our Live Well program focuses on helping our people achieve all aspects of well-being through habits and activities that promote physical, financial and emotional well-being.</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REGULATION</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a wide variety of laws and regulations in the countries in which we operate, including those relating to, among others, consumer protection, insurance products and rates, franchising, customer privacy and data protection, securities and public disclosure, competition and antitrust, environmental matters, taxes, automobile-related liability, corruption and anti-bribery, labor and employment matters, health and safety, claims management, automotive retail sales, currency-exchange and other various banking and financial industry regulations, cost and fee recovery, the protection of our trademarks and other intellectual property, and local ownership or investment requirements. Additional information about the regulations that we are subject to can be found in Item 1A. “Risk Factors” in this Annual Report on Form 10-K.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INFORMATION</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principal executive office is located at 6 Sylvan Way, Parsippany, New Jersey 07054 (our telephone number is 973-496-4700). The Company files electronically with the Securities and Exchange Commission (the “SEC”) required reports on Form 8-K, Form 10-Q, Form 10-K and Form 11-K; proxy materials; registration statements and other forms or reports as required. Certain of the Company’s officers, directors and stockholders also file statements of beneficial ownership and of changes in beneficial ownership on Forms 3, 4 and 5 with the SEC. Such materials may be accessed electronically on the SEC’s Internet site (sec.gov). The Company maintains a website (avisbudgetgroup.com) and copies of our annual report on Form 10-K, quarterly reports on Form 10-Q, current reports on Form 8-K, Section 16 reports, proxy materials and any amendments to these reports filed or furnished with the SEC are available free of charge in the Investor Relations section of our website, as soon as reasonably practicable after filing with the SEC. Copies of our board committee charters, Codes of Conduct and Ethics, Corporate Governance Guidelines and other corporate governance information are also available on our website. If the Company should decide to amend any of its board committee charters, Codes of Conduct and Ethics or other corporate governance documents, copies of such amendments will be made available to the public through the Company’s website. The information contained on the Company’s website is not included in, or incorporated by reference into, this Annual Report on Form 10-K.</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ind w:left="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40575"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0575" cy="163195"/>
                    </a:xfrm>
                    <a:prstGeom prst="rect">
                      <a:avLst/>
                    </a:prstGeom>
                    <a:noFill/>
                  </pic:spPr>
                </pic:pic>
              </a:graphicData>
            </a:graphic>
          </wp:anchor>
        </w:drawing>
        <w:t>ITEM 1A. RISK FACTORS</w:t>
      </w:r>
    </w:p>
    <w:p>
      <w:pPr>
        <w:sectPr>
          <w:pgSz w:w="11900" w:h="16838" w:orient="portrait"/>
          <w:cols w:equalWidth="0" w:num="1">
            <w:col w:w="11240"/>
          </w:cols>
          <w:pgMar w:left="320" w:top="981" w:right="339" w:bottom="1440" w:gutter="0" w:footer="0" w:header="0"/>
        </w:sectPr>
      </w:pPr>
    </w:p>
    <w:p>
      <w:pPr>
        <w:spacing w:after="0" w:line="3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The following is a discussion of the risks, uncertainties and assumptions that we believe are material to our business and should be considered carefully in conjunction with all of the other information set forth in this Annual Report on Form 10-K. Although the risks are organized by headings, and each risk is discussed separately, many are interrelated. In addition to the factors discussed elsewhere in this Annual Report on Form 10-K, the factors described in this item could, individually or in the aggregate, cause our actual results to differ materially from those described in any forward-looking statements. Should unknown risks or uncertainties materialize or underlying assumptions prove inaccurate, actual results could materially differ from past results and/or those anticipated, estimated or projected.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COVID-19 PANDEMIC</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COVID-19 is continuing to impact our industry, operations, strategies and financial position, and the duration of the pandemic and its implications on our business are still uncertain.</w:t>
      </w:r>
    </w:p>
    <w:p>
      <w:pPr>
        <w:spacing w:after="0" w:line="189"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COVID-19 pandemic has affected, and is expected to continue to affect, our business, financial condition, results of operations and/or cash flows for an extended period. Governmental authorities have taken, and continue to take, measures to address the pandemic, including restrictions on travel and other measures, such as lockdowns. The pandemic is highly fluid and rapidly evolving and we cannot anticipate with any certainty the length, scope or severity of its impact in each of the jurisdictions that we operate, including due to new variants</w:t>
      </w:r>
    </w:p>
    <w:p>
      <w:pPr>
        <w:spacing w:after="0" w:line="1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emerging such as the Omicron variant. If the pandemic continues, there could be adverse impacts to our revenues, customer demand and expenses, the used car market, our workforce, our indebtedness and adequacy of cash flow, earnings and liquidity, consumer sentiment and discretionary spending patterns, and our overall financial condition, any of which could be material.</w:t>
      </w:r>
    </w:p>
    <w:p>
      <w:pPr>
        <w:spacing w:after="0" w:line="218"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Due to the pandemic, we have faced, among other impacts to our business, reductions in travel volumes, impacts to staffing levels, and delays in receiving delivery of new vehicles from vehicle manufacturers, including, but not limited to, due to a global semiconductor supply shortage, as further described below. As a result of delays in receiving new vehicle deliveries, the average mileage of a portion of the vehicles in our fleet has increased, and we could face challenges meeting consumer demand and customer expectations should such delays continue.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INDUSTRY AND THE BROADER ECONOMY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high level of competition in the mobility industry.</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mobility industry is highly competitive, with price being one of the primary competitive factors. To the extent that our competitors reduce their pricing and we do not provide competitive pricing, or if price increases we implement make us less competitive, we risk losing rental volume from existing customers, and reducing the chances of success for future bids for new customer accounts. If competitive pressures lead us to lose rental volume or match any downward pricing and we are unable to reduce our operating costs, then our financial condition or results of operations could be materially adversely impacted.</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pricing in the vehicle rental industry is impacted by the size of rental fleets and the supply of vehicles available for rent. Any significant fluctuations in the supply of rental vehicles available in the market due to an unexpected decrease in demand, or actions taken by our competitors that increases fleet significantly above market demand, could negatively affect our pricing, operating plans or results of operations.</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competitive environment for our mobility services has become more intense as additional companies, including automobile manufacturers, ride-hailing companies, car sharing companies and other technology players in the mobility industry enter our existing markets or expand their operations, which may affect demand for rental vehicles. Some of these companies may have access to substantial capital, innovative technologies or have the ability to provide services at a relatively low cost. To the extent these companies can improve transportation efficiency, alter driving patterns or attitudes toward vehicle rental, offer more competitive prices or fleet management services, more effectively utilize mobile platforms, undertake more aggressive marketing campaigns, price their competing services below market or otherwise disrupt the mobility industry, we risk heightened pricing competition and/or loss of rental volume, which could adversely impact our business and results of operations.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risk of competition on the basis of pricing in the truck rental industry can be even more impactful than in the car rental industry as it can be more difficult to reduce the size of our truck rental fleet in response to significantly reduced demand.</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face risks related to fleet costs and availability, including as a result of disruptions in the production and delivery of new vehicles due to the lack of availability of parts and key components, such as semiconductor chips.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Fleet costs typically represent our single largest expense and can vary from year to year based on the prices that we are able to purchase and dispose of our vehicles. We purchase program vehicles, which are guaranteed a rate of depreciation through agreements with auto manufacturers, and non-program, or “risk” vehicles. In 2021, on average approximately 78% of our rental fleet was comprised of risk vehicles.</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costs of our risk vehicles may be adversely impacted by the relative strength of the used car market, particularly the market for one- to two-year old used vehicles, or potentially by the insolvency or bankruptcy of an auto manufacturer from whom we purchase vehicles. We currently sell risk vehicles through various sales channels in the used vehicle marketplace, including traditional auctions, on-line auctions, direct-to-dealer sales and directly to consumers through either retail lots or our Ultimate Test Drive on-line consumer car sales program. These channels may not produce stable vehicle prices in the future, as the market for used vehicles is subject to changes in demand for such vehicles, consumer interests, inventory levels, new car pricing, interest rates, fuel costs, tariffs and general economic conditions. A reduction in residual values for risk vehicles in our rental fleet could cause us to sustain a substantial loss on the ultimate sale of such vehicles or require us to depreciate those vehicles at a more accelerated rate than previously anticipated while we own them.</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the market value of the vehicles in our fleet is reduced or our ability to sell vehicles in the used vehicle marketplace were to become severely limited, we may have difficulty meeting collateral requirements due under our asset-backed financing facilities, which could lead to decreased capacity in such facilities and effectively increase our fleet costs or adversely impact our profitability. In addition, if we are unable to meet our collateral requirements under such facilities, the outstanding principal amount due may be required to be repaid earlier than anticipated. If that were to occur, the holders of our asset-backed debt may have the ability to exercise their right to instruct the trustee to direct the return of program vehicles and/or the sale of risk vehicles to generate proceeds sufficient to repay such debt.</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Program and leased vehicles enable us to determine our depreciation expense in advance of purchase. Our program and leased vehicles also generally provide us with flexibility to reduce the size of our fleet rapidly. This flexibility is affected as the percentage of program vehicles in our fleet is reduced, or if the features of the programs provided by auto manufacturers are less favorable. Our inability to reduce the size of our fleet in response to seasonal demand fluctuations, economic constraints or other changes in demand could have an adverse impact on our fleet costs and results of operations.</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Failure by a manufacturer to fulfill its obligations under any program agreement or incentive payment obligation, due to insolvency, bankruptcy or other reasons, could leave us with a material expense if we are unable to dispose of program vehicles at prices estimated at the time of purchase or with a substantial unpaid claim against the manufacturer, particularly with respect to program vehicles that were either (i) resold for an amount less than the amount guaranteed under the applicable program and therefore subject to a “true-up” payment obligation from the manufacturer; or (ii) returned to the manufacturer, but for which we were not yet paid, and therefore we could incur a substantial loss as a result of such failure to perform.</w:t>
      </w:r>
    </w:p>
    <w:p>
      <w:pPr>
        <w:spacing w:after="0" w:line="22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While we source our fleet purchases from a wide range of auto manufacturers, we are exposed to risk to the extent that any auto manufacturer significantly curtails production. Such production may be curtailed as a result of a wide range of factors, including impacts of the COVID-19 pandemic and supply chain impacts, including shortages of semiconductors, which have caused and may continue to cause</w:t>
      </w:r>
    </w:p>
    <w:p>
      <w:pPr>
        <w:spacing w:after="0" w:line="15"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certain auto manufacturers to suspend or slow production of new vehicles. We are also exposed to risk to the extent that any auto manufacturer increases the cost of vehicles, including as a result of inflation, or declines to sell vehicles to us on terms or at prices consistent with past practice. Should any of these risks occur, we may be unable to obtain a sufficient number of vehicles to operate our business without significantly increasing our fleet costs or reducing our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safety recalls affecting our vehicles.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vehicles may be subject to safety recalls by their manufacturers, which could have an adverse impact on our business when we remove recalled vehicles from our rentable fleet. We cannot control nor predict the number of vehicles that will be subject to manufacturer recalls in the future. Recalls often require us to retrieve vehicles from customers and/or hold vehicles until we can arrange for the repairs described in the recalls to be completed. As such, recalls can increase our costs, negatively impact our revenues and/or reduce our fleet utilization. If a large number of vehicles were to be the subject of one or more recalls, or if needed replacement parts were not in adequate supply, we may be unable to utilize recalled vehicles for a significant period of time. We could also face liability claims related to vehicles subject to a safety recall. Depending on the nature and severity of the recall, it could create customer service problems, reduce the residual value of the vehicles involved, harm our general reputation and/or have an adverse impact on our financial condition or results of operations.</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Weakness in travel demand or general economic conditions, or a significant increase in fuel costs, can adversely impact our business.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Demand for vehicle rentals is generally subject to and impacted by international, national and local economic conditions and travel demand, which can be impacted by many factors, including inflation. When travel demand or economic conditions in the United States, Europe and/or worldwide weakens, our financial condition and results of operations are often adversely impacted.</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significant airline capacity reductions, airfare or related fee increases, reduced flight schedules, or any events that disrupt or reduce business or leisure air travel or weaken travel demand and tourism, such as work stoppages, military conflicts, terrorist incidents, natural disasters, disease epidemics, or the response of governments to any such events, could have an adverse impact on our results of operations. In addition, any significant increases in fuel prices, a severe protracted disruption in fuel supplies or rationing of fuel could discourage our customers from renting vehicles or reduce or disrupt air travel, which could also adversely impact our results of operations.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truck rental business can be impacted by the housing market. If conditions in the housing market were to weaken, we may see a reduction in truck rental transactions, which could have an adverse impact on our business. Our truck rental business can also be impacted by changes in the light commercial business sector. If the light commercial business develops their own package delivery service with a fleet of trucks and vans to use for their business, or other large competitors enter the package delivery service industry, in particular around the holiday season, we may see a reduction in truck rental transactions, which could have an adverse impact on our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political, economic and commercial instability or uncertainty in the countries in which we operate.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global operations expose us to risks related to international, national and local economic and political conditions and instability.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Operating our business in a number of different regions and countries exposes us to a number of other risks, including:</w:t>
      </w:r>
    </w:p>
    <w:p>
      <w:pPr>
        <w:spacing w:after="0" w:line="25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multiple and potentially conflicting laws, regulations, trade policies and agreements that are subject to change;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varying tax regimes, including consequences from changes in applicable tax laws;</w:t>
      </w:r>
    </w:p>
    <w:p>
      <w:pPr>
        <w:spacing w:after="0" w:line="252"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imposition of currency restrictions, restrictions on repatriation of earnings or other restraints, as well as difficulties in obtaining financing in foreign countries for local operations;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changes to import-export laws, trade treaties or tariffs in the countries where we purchase vehicles;</w:t>
      </w:r>
    </w:p>
    <w:p>
      <w:pPr>
        <w:spacing w:after="0" w:line="252"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international trade disruptions or disputes, including in connection with the ongoing trade negotiations between the United States and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local ownership or investment requirements, or compliance with local laws, regulations or business practices;</w:t>
      </w:r>
    </w:p>
    <w:p>
      <w:pPr>
        <w:spacing w:after="0" w:line="252"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uncertainty and changes to </w:t>
      </w:r>
      <w:r>
        <w:rPr>
          <w:rFonts w:ascii="Arial" w:cs="Arial" w:eastAsia="Arial" w:hAnsi="Arial"/>
          <w:sz w:val="18"/>
          <w:szCs w:val="18"/>
          <w:color w:val="333333"/>
        </w:rPr>
        <w:t>political and regulatory regimes as a result of changing social, political, regulatory and economic</w:t>
      </w:r>
      <w:r>
        <w:rPr>
          <w:rFonts w:ascii="Arial" w:cs="Arial" w:eastAsia="Arial" w:hAnsi="Arial"/>
          <w:sz w:val="18"/>
          <w:szCs w:val="18"/>
          <w:color w:val="auto"/>
        </w:rPr>
        <w:t xml:space="preserve"> </w:t>
      </w:r>
      <w:r>
        <w:rPr>
          <w:rFonts w:ascii="Arial" w:cs="Arial" w:eastAsia="Arial" w:hAnsi="Arial"/>
          <w:sz w:val="18"/>
          <w:szCs w:val="18"/>
          <w:color w:val="333333"/>
        </w:rPr>
        <w:t>environments in the United States and internationally;</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national and international conflict, including terrorist acts;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and economic instability or civil unrest that may severely disrupt economic activity in affected countries.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Exposure to these risks may adversely impact our financial condition or results of operations. Our licensees’ vehicle rental operations may also be impacted by political, economic and commercial instability, which in turn could impact the amount of royalty payments they make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NATURE OF OUR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or brands may negatively impact our business.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reputation and global brands are integral to the success of our business. Maintenance of our Company’s reputation and brands depends on many factors, including the quality of our products and services and the trust we maintain with our customers. Negative claims or publicity regarding our Company or our operations, offerings, practices, among many other things, may damage our brands or reputation, even if such claims are untrue. Damage to our reputation or brands could adversely impact our revenue and profitability.</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failure to adapt to changes in the mobility industry, provide a high-quality rental experience for our customers and members, adopt new technologies, capitalize on cost saving initiatives or meet customer needs could substantially harm our reputation and competitiveness and could adversely impact our financial condition or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third-party distribution channels that we rely upon.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We rely upon third-party distribution channels to generate a significant portion of our vehicle rental reservations, including:</w:t>
      </w:r>
    </w:p>
    <w:p>
      <w:pPr>
        <w:spacing w:after="0" w:line="252" w:lineRule="exact"/>
        <w:rPr>
          <w:sz w:val="20"/>
          <w:szCs w:val="20"/>
          <w:color w:val="auto"/>
        </w:rPr>
      </w:pPr>
    </w:p>
    <w:p>
      <w:pPr>
        <w:ind w:left="6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traditional and online travel agencies, airlines and hotel companies, marketing partners such as credit card companies and membership organizations and other entities that help us attract customers; and</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global distribution systems (“GDS”), such as Amadeus, Galileo/Apollo, Sabre and Worldspan, that connect travel agents, travel service providers and corporations to our reservation systems.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Changes in our pricing agreements, commission schedules or arrangements with third-party distribution channels, the termination of any of our relationships or a reduction in the transaction volume of such channels, or a GDS’s inability to process and communicate reservations to us could have an adverse impact on our financial condition or results of operations, particularly if our customers are unable to access our reservation systems through alternate channels.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property leases and vehicle rental concessions.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lease or have vehicle rental concessions at locations throughout the world, including at most airports where we operate and at train stations throughout Europe, where vehicle rental companies are frequently required to bid periodically for space at these locations. If we were to lose a property lease or vehicle rental concession, particularly at an airport or a train station in a major metropolitan area, there can be no assurance that we would be able to find a suitable replacement location on reasonable terms which could adversely impact our business. Most leases and airport concessions have fixed obligations that can be required even if our volume drops significantly. While we have been successful at partially mitigating some of these requirements in the past, including when enplanements have decreased significantly, there is no guarantee that we will be able to do so in the future, and if we are not successful our costs as a percentage of revenue could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seasonality of our business.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business, the third quarter of the year has historically been our most profitable quarter, as measured by net income and Adjusted EBITDA, due to the increased level of summer leisure travel and household moving activity. We vary our fleet size over the course of the year to help manage seasonal variations in demand, as well as localized changes in demand that we may encounter in the various regions in which we operate. Any circumstance or occurrence that disrupts rental activity during the third quarter, especially in North America and Europe, could have a disproportionately adverse impact on our financial condition or results of operations.</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face risks related to acquisitions, including the acquisition of existing licensees or investments in or partnerships with other related businesses.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engage in strategic transactions, including the acquisition of, or investment in, existing licensees and/or other businesses, partnerships or joint ventures. The risks involved in engaging in these types of transactions include the possible failure to successfully integrate the operations of acquired businesses, or to realize expected benefits within the anticipated time frame, or at all, such as cost savings, synergies, sales and growth opportunities. In addition, the integration of an acquired business or oversight of a partnership or joint venture may result in material unanticipated challenges, expenses, liabilities or competitive responses, including:</w:t>
      </w:r>
    </w:p>
    <w:p>
      <w:pPr>
        <w:spacing w:after="0" w:line="23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inconsistencies between our standards, procedures and policies and those of an acquired business, partnership and/or joint venture;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or inefficiencies associated with the integration of our operational and administrative systems;</w:t>
      </w:r>
    </w:p>
    <w:p>
      <w:pPr>
        <w:spacing w:after="0" w:line="252"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increased scope and complexity of our operations could require significant attention from management and could impose constraints on our operations or other projects;</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expenses, delays or conditions, including required regulatory or other third-party approvals or consents, or provisions in contracts with third parties that could limit our flexibility to take certain actions;</w:t>
      </w:r>
    </w:p>
    <w:p>
      <w:pPr>
        <w:spacing w:after="0" w:line="22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inability to retain the customers, employees, suppliers and/or marketing partners of an acquired business, partnership or joint venture or generate new customers or revenue opportunities through a strategic partnership;</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compliance with local laws and regulations and the implementation of compliance processes, as well as the assumption of unexpected liabilities, litigation, penalties or other enforcement actions;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exposure to undetected malware and viruses embedded in the acquired IT systems of the acquired entity;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than expected costs arising due to unforeseen changes in tax, trade, environmental, labor, safety, payroll or pension policies.</w:t>
      </w:r>
    </w:p>
    <w:p>
      <w:pPr>
        <w:spacing w:after="0" w:line="25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Any one of these factors could result in delays, increased costs or decreases in the amount of expected revenues related or derived from a strategic transaction and could adversely impact our financial condition or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vehicle electrification.</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Vehicle electrification refers to a range of technologies that uses electricity to propel a vehicle and includes hybrid, plug-in, extended range and battery electric vehicles, as well as autonomous vehicles. We believe that the vehicle industry will continue to experience significant change in the coming years, in particular as it relates to vehicle electrification. Worldwide demand for electric and hybrid vehicles continues to increase, and manufacturers continue to invest more time and cost into producing these types of vehicles to reduce fuel consumption and greenhouse gas emissions, as mandated by various governmental standards and regulations. If we are not adequately prepared to meet consumer demand for electric, hybrid and autonomous vehicles as such demand develops, our financial condition or results of operations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liability and insurance.</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global operations expose us to several forms of liability, including claims for bodily injury, death and property damage related to the use of our vehicles, or for having our customers on our premises, as well as workers’ compensation and other employment-related claims by our employees. We may become exposed to uninsured liability at levels in excess of our historical levels. In addition, liabilities related to existing or future claims may exceed the level of our reserves and/or our insurance, which could adversely impact our financial condition and results of operations. Furthermore, insurance with unaffiliated insurers may not continue to be available to us on economically reasonable terms or at all. Should we be subject to an adverse ruling, or experience other significant liability for which we did not plan and were not adequately insured, our results of operations, financial position or cash flows could be negatively impacted.</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reinsure certain insurance exposures as well as offer optional insurance coverages through unaffiliated third-party insurers that then reinsure all or a portion of their risks through our insurance company subsidiaries, which subjects us to regulation under various insurance laws and statutes in the jurisdictions in which our insurance company subsidiaries are domiciled. Any changes in regulations that alter or impede our reinsurance obligations or insurance subsidiary operations could adversely impact the economic benefits that we rely upon to support our reinsurance efforts, which in turn would adversely impact our financial condition or results of operations.</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Optional insurance products that we offer to renters in the United States, including, but not limited to, supplemental liability insurance, personal accident insurance and personal effects protection, are regulated under state laws governing such products. Our vehicle rental operations outside the United States must also comply with certain local laws and regulations regarding the sale of supplemental liability and personal accident and effects insurance by intermediaries. Any changes in law that affect our operating requirements with respect to our sale of optional insurance products could increase our costs of compliance or make it uneconomical to offer such products, which would lead to a reduction in revenue and profitability. Should more of our customers decline to purchase optional liability insurance products as a result of any changes in these laws or otherwise, our financial condition or results of operations could be adversely impacted.</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offer loss damage waivers to our customers as an option for them to reduce their financial responsibility that may be incurred as a result of loss or damage to the rental vehicle. Certain states in the United States have enacted legislation that mandates disclosure to each customer at the time of rental that damage to the rented vehicle may be covered to some extent by the customer’s personal automobile insurance and that loss damage waivers may not be necessary. In addition, some states have statutes that establish or cap the daily rate that can be charged for loss damage waivers. Should new laws or regulations arise that place new limits on our ability to offer loss damage waivers to our customers, our financial condition or results of operations could be adversely impacted.</w:t>
      </w:r>
    </w:p>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Additionally, current U.S. federal law pre-empts state laws that impute tort liability based solely on ownership of a vehicle involved in an accident. If such federal law were to change, our insurance liability exposure could materially increase.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be unable to collect amounts that we believe are owed to us by customers, insurers and other third parties related to vehicle damage claims or liabilities. The inability to collect such amounts in a timely manner or to the extent that we expect could adversely impact our financial condition or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fluctuations in currency exchange rates.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operations generate revenue and incur operating costs in a variety of currencies. The financial position and results of operations of many of our foreign subsidiaries are reported in the relevant local currency and then translated to U.S. dollars at the applicable currency exchange rate for inclusion in our Consolidated Financial Statements. Changes in exchange rates among these currencies and the U.S. dollar will affect, among other things, the recorded levels of our assets and liabilities in our Consolidated Financial Statements. While we take steps to manage our currency exposure, such as currency hedging, we may not be able to effectively limit our exposure to intermediate- or long-term movements in currency exchange rates, which could adversely impact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derivative instruments.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typically utilize derivative instruments to manage fluctuations in foreign exchange rates, interest rates and gasoline prices. The derivative instruments we use to manage our risk are usually in the form of interest rate swaps and caps and foreign exchange and commodity contracts. Periodically, we are required to determine the change in fair value, called the “mark-to-market,” of some of these derivative instruments, which could expose us to substantial mark-to-market losses or gains if such rates or prices fluctuate materially from the time we entered into the derivatives. Accordingly, volatility in rates or prices may adversely impact our financial position or results of operations and could impact the cost and effectiveness of our derivative instruments in managing our risks.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for future periods may be impacted by impairment charges for goodwill and intangible assets.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carry a significant amount of goodwill and identifiable intangible assets on our consolidated balance sheets. Goodwill is the excess of purchase price over the fair value of the net assets of acquired businesses. We assess goodwill and indefinite-lived intangible assets for impairment each year, or more frequently if circumstances suggest an impairment may have occurred. We have determined in the past and may again determine in the future that a significant impairment has occurred in the value of our goodwill. Additionally, we have a significant amount of identifiable intangible assets and fixed assets that could also be subject to impairment. If we determine that a significant impairment has occurred in the value of our unamortized intangible assets or fixed assets, we could be required to write off a portion of our assets, which could adversely affect our consolidated financial condition or our reported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LEGAL, REGULATORY AND ESG-RELATED MATTERS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Costs associated with lawsuits, investigations or increases in legal reserves that we establish based on our assessment of contingent liabilities may have an adverse effect on our results of operations.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global operations expose us to various claims, lawsuits and other legal proceedings that arise in and outside of the ordinary course of our business in the countries in which we operate. We may be subject to complaints and/or litigation involving our customers, licensees, employees, independent operators and others with whom we conduct business, including claims for bodily injury, death and property damage related to use of our vehicles or our locations, or claims based on allegations of discrimination, misclassification as exempt employees under the Fair Labor Standards Act, wage and hour pay disputes, COVID-19 complaints and various other claims. We could be subject to substantial costs and/or adverse outcomes from such complaints or litigation, which could have a material adverse effect on our financial condition, cash flows or results of operations.</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some of our locations, we outsource to third party independent contractors who operate the business as a separate entity. The independent contractors are paid a commission for operating their business under our brands. There is a growing trend in the United States aimed at the gig economy to define independent contractors as employees. As such, we are subject to legislative and or judicial determination that any such changes are applicable to these independent contractors. Such determinations may require us to change the business operations and make such independent contractor locations employee operated. This could potentially expose us to additional costs and material liability under federal and state labor and employment and tax laws.</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From time to time, our Company may be reviewed or investigated by government regulators, which could lead to tax assessments, enforcement actions, fines and penalties or the assertion of private litigation claims. It is not possible to predict with certainty the outcome of claims, investigations and lawsuits, and we could in the future incur judgments, taxes, fines or penalties or enter into settlements of lawsuits or claims that could have an adverse impact on our financial condition or results of operations. In addition, while we maintain insurance coverage with respect to exposure for certain types of legal claims, we may not be able to obtain such insurance on acceptable terms in the future, if at all, and any such insurance may not provide adequate coverage against any such claims.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laws and regulations that could impact our global operations.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subject to multiple, and sometimes conflicting, laws and regulations in the countries in which we operate that relate to, among others, consumer protection, competition and antitrust, customer privacy and data protection, securities and public disclosure, automotive retail sales, franchising, corruption and anti-bribery,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environmental matters, taxes, automobile-related liability, labor and employment matters, cost and fee recovery, currency-exchange and other various banking and financial industry regulations, health and safety, insurance rates and products, claims management, protection of our trademarks and other intellectual property and other trade-related laws and regulations. We cannot predict the nature, scope or effect of future regulatory requirements to which our global operations may be subject or the manner in which existing or future laws may be administered or interpreted. Any alleged or actual violations of any law or regulation, change in law, regulation, trade treaties or tariffs, or changes in the interpretation of existing laws or regulations may subject us to government scrutiny, investigation and civil and criminal penalties, limit our ability to provide services in any of the countries in which we operate and could result in a material adverse impact on our reputation, business, financial position or results of operations.</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certain countries where we have Company-operated locations, we may recover certain costs from consumers, including costs associated with the title and registration of our vehicles, or concession costs imposed by an airport authority or the owner and/or operator of the premises from which our vehicles are rented. We may in the future be subject to potential laws or regulations that could negatively impact our ability to separately state, charge and recover such costs, which could adversely impact our financial condition or results of operations.</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recognition of the contribution that our various operations located in different countries provide to the global network, we implemented a new transfer pricing policy. We are seeking Advanced Pricing Agreements with certain tax authorities to obtain certainty regarding our new transfer pricing policy but our efforts have been delayed due to COVID-19. While this effort is ongoing, the process of negotiating and ultimately entering into these agreements may take several years. The ultimate results of our negotiations of these agreements with tax authorities, the expiration of such agreements, or changes in circumstances or in the interpretation of such agreements could increase our tax costs in these jurisdictions. Many countries routinely examine transfer pricing policies of taxpayers subject to their jurisdiction, challenge transfer pricing practices aggressively where there is potential non-compliance and impose significant interest charges and penalties where non-compliance is determined. To the extent we do not have an existing Advance Pricing Agreement or other agreement, governmental authorities could challenge our transfer pricing policy in the future and, if challenged, we may not prevail, which could increase our tax costs or reduce savings related to our transfer pricing policy.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environmental laws and regulations.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a wide variety of environmental laws and regulations in connection with our operations, including, among other things, with respect to the ownership or use of tanks for the storage of petroleum products such as gasoline, diesel fuel and motor and waste oils; the treatment or discharge of waste waters; and the generation, storage, transportation and off-site treatment or disposal of solid or liquid wastes. We maintain liability insurance covering storage tanks at our locations. In the United States, we administer an environmental compliance program designed to ensure that these tanks are properly registered in the jurisdiction in which they are located and are in compliance with applicable technical and operational requirements. The tank systems located at each of our locations may not at all times remain free from undetected leaks, and the use of these tanks has resulted in, and from time to time in the future may result in, spills, which may be significant and may require remediation and expose us to material uninsured liability or liabilities in excess of insurance.</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also be subject to requirements related to the remediation of substances that have been released into the environment at properties owned or operated by us or at properties to which we send substances for treatment or disposal. Such remediation requirements may be imposed without regard to fault and liability for environmental remediation can be substantial. These remediation requirements and other environmental regulations differ depending on the country where the property is located. We have made, and will continue to make, expenditures to comply with environmental laws and regulations, including, among others, expenditures for the remediation of contamination at our owned and leased properties, as well as contamination at other locations at which our wastes have reportedly been identified. Our compliance with existing or future environmental laws and regulations may, however, require material expenditures by us or otherwise have an adverse impact on our financial condition or results of operations.</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Environmental regulatory authorities are likely to continue to pursue measures related to climate change and greenhouse gas emissions, including vehicle travel restrictions. Should rules establishing limitations on greenhouse gas or other emissions or rules imposing fees on entities deemed to be responsible for greenhouse gas emission, or rules establishing bans on diesel or fuel vehicles from entering certain locations become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effective in the countries in which we operate, demand for our services could be affected, our fleet and/or other costs could increase, and our business could be adversely impacted.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increasing attention to ESG matters.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Increasing attention to climate change, increasing societal expectations on companies to address climate change, and potential consumer and customer use of substitutes to our products may result in increased costs, reduced demand for our products, reduced profits, increased investigations and litigation, reputational harm and negative impacts on our stock price and access to capital markets.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organizations that provide information to investors on corporate governance and related matters have developed ratings processes for evaluating companies on their approach to ESG matters. Such ratings are used by some investors to inform their investment and voting decisions. Unfavorable ESG ratings and investment community divestment initiatives may lead to negative investor sentiment toward us and to the diversion of investment to other industries, which could have a negative impact on our stock price and our access to and costs of capital.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franchising or licensing laws and regulations.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license to third parties the right to operate locations using our brands in exchange for royalty payments. Our licensing activities are subject to various laws and regulations in the countries in which we operate. In particular, laws in the United States require that we provide extensive disclosure to prospective licensees in connection with licensing offers and sales, as well as comply with franchise relationship laws that could limit our ability to, among other things, terminate license agreements or withhold consent to the renewal or transfer of these agreements. We are also subject to certain regulations affecting our license arrangements in Europe and other international locations. Should our operations become subject to new laws or regulations that negatively impact our ability to engage in licensing activities, our financial condition or results of operations could be adversely impacted.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actions of, or failures to act by, our licensees, dealers, independent operators or third-party vendors.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vehicle rental licensee and dealer locations are independently owned and operated. We also operate many of our Company-owned locations through agreements with independent operators, which are third-party independent contractors who receive commissions to operate such locations. We also enter into service contracts with various third-party vendors that provide services for us or in support of our business. Under our agreements with our licensees, dealers, independent operators and third-party vendors (collectively referred to as “third-party operators”), the third-party operators retain control over the employment and management of all personnel at their locations or in support of the services that they provide our Company. These agreements also generally require that third-party operators comply with all laws and regulations applicable to their businesses, including relevant internal policies and standards. Regulators, courts or others may seek to hold us responsible for the actions of, or failures to act by, third-party operators or their employees based on theories of vicarious liability, negligence, joint operations or joint employer liability. Although we actively monitor the operations of these third-party operators, and under certain circumstances have the ability to terminate their agreements for failure to adhere to contracted operational standards, we are unlikely to detect all misconduct or noncompliance by a third-party operator or its employees. It is our policy to vigorously seek to be dismissed from any claims involving third-party operators and to pursue indemnity for any adverse outcomes that affect the Company. Failure of third-party operators to comply with laws and regulations or our operational standards, or our inability to be dismissed from claims against our third-party operators, may expose us to liability, damages and negative publicity that may damage our brand and reputation and adversely affect our financial condition or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tax reform.</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Tax Cuts and Jobs Act (the “Tax Act”) eliminated the use of like-kind exchange for personal property and also included a provision allowing for full expensing of qualified property purchases through the year 2022. Since 2004, we have utilized a like-kind exchange program whereby we replace vehicles in a manner that allows tax gains on vehicles sold in the U.S. to be deferred, resulting in a material deferral of U.S. federal and state income taxes. While the Tax Act repealed like-kind exchange treatment for vehicle sales, the effect of the repeal will be largely offset through 2022 by the full expensing provision of certain business assets in the year placed in service, which</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believe includes our vehicles. However, the downsizing of our fleet in 2020 resulted in significant taxable gains and has significantly decreased the amount of tax deductions available under the full expensing provision. This has resulted in the utilization of tax attributes and increased federal and state income tax liabilities that could require us to make material cash payments. Furthermore, a downsizing or reduction in purchases would also likely occur if, and to the extent, we are unable to obtain financing when our asset-backed rental vehicle financings mature, or in connection with another significant decrease in demand for vehicle rentals. The full expensing provision phases out at the end of year 2022 and we are not certain if this provision will be extended. Certain U.S. states have modified their tax statutes as a result of the Tax Act, and such state legislation negates the full expensing benefits granted under the Tax Act, which negatively impacts our tax liability in such states. Other U.S. states continue to modify their tax statutes related to full expensing. Therefore, we cannot offer assurance that the benefits from the expected tax deductions will continue.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INDEBTEDNESS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current and future debt obligations.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ability to satisfy and manage our debt obligations depends on our ability to generate cash flow and on overall financial market conditions. To some extent, this is subject to prevailing economic and competitive conditions and to certain financial, business and other factors, many of which are beyond our control. Our outstanding debt obligations require us to dedicate a significant portion of our cash flows to pay interest and principal on our debt, which reduces the funds available to us for other purposes. Our business may not generate sufficient cash flow from operations to permit us to service our debt obligations and meet our other cash needs, which may force us to reduce or delay capital expenditures, sell or curtail assets or operations, seek additional capital or seek to restructure or refinance our indebtedness. If we must sell or curtail our assets or operations, it may negatively affect our ability to generate revenue. Certain of our debt obligations contain restrictive covenants and provisions applicable to us and our subsidiaries that limit our ability to, among other things:</w:t>
      </w:r>
    </w:p>
    <w:p>
      <w:pPr>
        <w:spacing w:after="0" w:line="232" w:lineRule="exact"/>
        <w:rPr>
          <w:sz w:val="20"/>
          <w:szCs w:val="20"/>
          <w:color w:val="auto"/>
        </w:rPr>
      </w:pPr>
    </w:p>
    <w:p>
      <w:pPr>
        <w:ind w:left="660" w:right="2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additional debt to fund working capital, capital expenditures, debt service requirements, execution of our business strategy or acquisitions and other purposes;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guarantees in respect of obligations of other persons;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or distributions, redeem or repurchase capital stock;</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prepay, redeem or repurchase debt;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distributions from our subsidiaries;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 assets and capital stock of our subsidiaries;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 and</w:t>
      </w:r>
    </w:p>
    <w:p>
      <w:pPr>
        <w:spacing w:after="0" w:line="252"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respond to adverse changes in general economic, industry and competitive conditions, as well as changes in government regulation and changes to our business.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failure to comply with the restrictive covenants contained in the agreements or instruments that govern our debt obligations, if not waived, would cause a default under the applicable debt agreement and could result in a cross-default under several of our other debt obligations, including our U.S. and European asset-backed debt facilities. If such a default were to occur, certain provisions in our various debt agreements could require that we repay or accelerate debt payments to the lenders or holders of our debt, and there can be no assurance that we would be able to refinance or obtain a replacement for such financing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movements or disruptions in the credit and asset-backed securities markets.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finance our vehicle fleet purchases and operations through the use of asset-backed securities in the United States, Canada, Australia and Europe and other debt financing structures available through the credit markets. If the asset-backed financing and/or credit markets were to be disrupted for any reason, we may be unable to obtain refinancing for our operations or vehicle fleet purchases at current levels, or at all, when our respective asset-backed financings or debt financings mature. Likewise, any disruption of the asset-backed financing or credit markets could also increase our borrowing costs, as we seek to engage in new financings or refinance our existing financings. In addition, we could be subject to increased collateral requirements to the extent that we request any amendment or renewal of any of our existing asset-backed or debt financings.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potential increases in interest rates.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portion of our borrowings, primarily our vehicle-backed borrowings, bears interest at variable rates that expose us to interest rate risk. If interest rates were to increase, whether due to an increase in market interest rates or an increase in our own cost of borrowing, our debt service obligations for our variable rate indebtedness would increase even though the amount of borrowings remained the same, and our results of operations could be adversely affected. As of December 31, 2021, our total outstanding debt of approximately $15.4 billion included unhedged interest rate sensitive debt of approximately $4.1 billion. During our seasonal borrowing peak in 2021, outstanding unhedged interest rate sensitive debt totaled approximately $3.9 billion.</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Virtually all of our debt under vehicle programs and certain of our corporate indebtedness matures within the next five years. If we are unable to refinance maturing indebtedness at interest rates that are equivalent to or lower than the interest rates on our maturing debt, our results of operations or our financial condition may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interest rates of certain of our financing instruments are priced using a spread over LIBOR.</w:t>
      </w:r>
    </w:p>
    <w:p>
      <w:pPr>
        <w:spacing w:after="0" w:line="247"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Certain of our debt agreements use LIBOR as a reference rate for interest rate calculations. On March 5, 2021, the United Kingdom's Financial Conduct Authority, which regulates LIBOR, announced that it will not compel panel banks to contribute to the US Dollar LIBOR tenors after June 30, 2023. The U.S. Federal Reserve has begun publishing a Secured Overnight Funding Rate, which is intended to replace U.S. dollar LIBOR. Plans for alternative reference rates for other currencies have also been announced. At this time, we cannot predict how markets will respond to these proposed alternative rates or the effect of any changes to LIBOR or the discontinuation of LIBOR. If LIBOR is no longer available or if our lenders have increased costs due to changes in LIBOR, we may experience potential increases in interest rates on our variable rate debt, which could adversely impact our results of operations. If LIBOR is discontinued, we may incur additional costs related to contract renegotiation for such agreements.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MATTERS, DATA SECURITY AND PRIVACY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protection of our intellectual property.</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registered certain marks and designs as trademarks in the United States and in certain other countries. At times, competitors may adopt service names similar to ours, thereby impeding our ability to build brand identity and possibly leading to market confusion. In addition, we have been subject to, and from time to time in the future may be subject to, trade name or trademark infringement claims brought by owners of other registered trademarks or trademarks that incorporate variations of our registered trademarks. From time to time, we have acquired or attempted to acquire Internet domain names held by others when such names have caused consumer confusion or had the potential to cause consumer confusion.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reliance on communications networks and centralized information systems.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rely heavily on the satisfactory performance and availability of our information systems, including our reservation systems, websites and network infrastructure to attract and retain customers, accept reservations, process rental and sales transactions, manage our fleet of vehicles, account for our activities and otherwise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conduct our business. We have centralized our information systems and we rely on third-party communications service and system providers for technology services and link our systems with the business locations these systems were designed to serve. We have been subjected to, and from time to time in the future may be subject to, a failure or interruption that results in the unavailability of certain of our information systems. Such a failure or interruption, or a major disruption of communications between a system and the locations it serves, could cause a loss of reservations, interfere with our fleet management, slow rental and sales processes, create negative publicity that damages our reputation or otherwise adversely impacts our ability to manage our business effectively. We may experience system interruptions or disruptions for a variety of reasons, including from network failures, power outages, cyber attacks, employee errors, software errors, an unusually high volume of visitors attempting to access our systems, or other events such as fire, explosions, earthquakes, storms, floods, epidemics, strikes, acts of war, civil unrest or terrorist acts. Because we are dependent in part on independent third parties for the implementation and maintenance of certain aspects of our systems and because some of the causes of system interruptions may be outside of our control, we may not be able to remedy such interruptions in a timely manner, or at all. Our systems’ business continuity plans and insurance programs seek to mitigate such risks but they cannot fully eliminate the risks as a disruption could be experienced in any of our information systems.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cybersecurity breaches of our systems and information technology.</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Threats to network and data security are becoming increasingly diverse and sophisticated. As cybersecurity threats become more frequent, intense and sophisticated, costs of proactive defense measures may increase. Third parties may have the technology or expertise to breach the security of our customer transaction data and our security measures may not prevent physical security or cybersecurity breaches, which could result in substantial harm to our business, our reputation or our results of operations. We rely on encryption and/or authentication technology licensed from and, at times, administered by independent third parties to secure transmission of confidential information, including credit card numbers and other customer personal information. Our outsourcing agreements with these third-party service providers, including third-party hosted cloud environments, generally require that they have adequate security systems in place to protect our customer transaction data. Despite the implementation of cybersecurity measures (including access controls, data encryption, vulnerability assessments, continuous monitoring, and maintenance of backup and protective systems), our information technology systems or those used by our third-party service providers may still be vulnerable to a breach.</w:t>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addition, anyone who is able to circumvent our security measures, or those of our third-party service providers, could misappropriate proprietary information or cause interruptions in our operations. Risks of cybersecurity incidents caused by malicious third parties using sophisticated, targeted methods to circumvent firewalls, encryption, and other security defenses, could include hacking, viruses, malicious software, ransomware, phishing attacks, denial of service attacks and other attempts to capture, disrupt or gain unauthorized access to data are rapidly evolving and could lead to disruptions in our reservation system or other data systems, unauthorized release of confidential or otherwise protected information or corruption of data. The techniques used by third parties change frequently and may be difficult to detect for long periods of time. Any successful efforts by individuals to infiltrate, break into, disrupt, damage or otherwise steal from the Company’s, its licensees’ or its third-party service providers’ security or information systems could damage our reputation and expose us to increased cybersecurity protection costs, litigation or other liability that could adversely impact our financial condition or results of operations. A cybersecurity breach resulting in the unauthorized use or disclosure of certain personal information could put individuals at risk of identity theft and financial or other harm and result in costs to the Company in investigation, remediation, legal defense and in liability to parties who are financially harmed. Failure to appropriately address these issues could also give rise to potentially material legal risks and liabilities.</w:t>
      </w:r>
    </w:p>
    <w:p>
      <w:pPr>
        <w:spacing w:after="0" w:line="2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subject to privacy, data protection, data security and other regulations, as well as private industry standards, which could negatively impact our global operations and cause us to incur additional incremental expense or reputational harm that impacts our future operating results.</w:t>
      </w:r>
    </w:p>
    <w:p>
      <w:pPr>
        <w:spacing w:after="0" w:line="2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requires the secure processing and storage of personal information relating to our customers, employees, business partners and others. Current privacy and data protection laws, particularly the European Union’s General Data Protection Regulation and the equivalent in the United Kingdom (collectively, the “GDPR”), California Consumer Privacy Act including modifications by the California Privacy Rights Act (collectively, the “CCPA”), and other regulations in the jurisdictions in which we operate impose obligations and restrictions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regarding the types of information that we may collect, process, sell and retain about our customers, employees and other individuals with whom we deal or propose to deal, some of which may be non-public personal data. The GDPR and CCPA, are each wide-ranging in scope, providing individuals located in the European Union and the United Kingdom, and California residents, respectively, greater control over their personal data. These laws impose several requirements relating to rights of the individuals to whom the personal data relates, the information provided to the individuals, the security and confidentiality of the personal data, data breach notification, the use of third-party processors in connection with the processing of personal data, and the transfer or sale of personal data, and measures we must take to demonstrate compliance. The GDPR and CCPA also impose significant forfeitures and penalties for noncompliance and afford private rights of action to individuals under certain circumstances. The Company has adopted policies and procedures in compliance with the GDPR and CCPA, which may need to be updated as additional information concerning best practices are made available through guidance from regulatory authorities or published enforcement decisions. Privacy laws in the countries where we operate are developing at a rapid pace and may be interpreted and applied inconsistently from country to country, or from state to state in the U.S., and impose inconsistent or conflicting requirements. Complying with varying jurisdictional privacy requirements could increase our operating costs, divert management attention or require additional changes to our business practices. Should we be found to not be in compliance with the GDPR, CCPA or similar privacy and data protection laws, we could be subject to substantial monetary forfeitures, government consent decrees, regulatory enforcement actions, and other penalties that could negatively impact our operating results or harm our reputation.</w:t>
      </w: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centralized nature of our information systems combined with the global nature of our business requires the routine flow of information about employees, customers and potential customers across national borders, particularly in the United States, the United Kingdom and Europe. In 2020, the Court of Justice of the European Union invalidated mechanisms for transferring personal information out of the EU. This decision imposes additional obligations and restrictions related to data transfers between the EU and other countries, including the U.S., and may affect our ability to serve our customers and efficiently manage our employees and operations. In addition, our failure to maintain the security of the data we hold, whether as a result of our own error or the actions of others, could harm our reputation or give rise to legal liabilities that adversely impact our financial condition or results of operations. Privacy and data protection laws and regulations restrict the ways that we process our transaction information and the Payment Card Industry imposes strict customer credit card data security standards to ensure that our customers’ credit card information is protected. Failure to meet these data security standards could result in substantial increased fees to credit card companies, other liabilities and/or loss of the right to collect credit card payments, which could adversely impact our financial condition or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market price of our common stock.</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cannot predict the prices at which our common stock will trade. The market price of our common stock has experienced substantial volatility in the past and may fluctuate widely in the future, depending on many factors, some of which may be beyond our control, including, but not limited to, the factors described in this “Risk Factors” section and the section titled “Forward-Looking Statements.” If any of these factors occur, it could cause our stock price to fall and may expose us to litigation, including class action lawsuits that, even if unsuccessful, could be costly to defend and a distraction to management.</w:t>
      </w:r>
    </w:p>
    <w:p>
      <w:pPr>
        <w:spacing w:after="0" w:line="21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Certain provisions of our certificate of incorporation and by-laws and Delaware law could prevent or delay a potential acquisition of control of our Company, which could decrease the trading price of our common stock.</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amended and restated certificate of incorporation, amended and restated by-laws and the laws in the State of Delaware contain provisions that are intended to deter coercive takeover practices and inadequate takeover bids by making such practices or bids unacceptably expensive to the prospective acquirer and to encourage prospective acquirers to negotiate with our Board of Directors rather than to attempt a hostile takeover. Delaware law also imposes restrictions on mergers and other business combinations between us and any holder of 15% or more of our outstanding common stock.</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believe these provisions protect our stockholders from coercive or otherwise unfair takeover tactics by effectively requiring those who seek to obtain control of the Company to negotiate with our Board of Directors and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by providing our Board with more time to assess any acquisition of control. However, these provisions could apply even if an acquisition of control of the Company may be considered beneficial by some stockholders and could delay or prevent an acquisition of control that our Board of Directors determines is not in the best interests of our Company and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40575"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24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1B. UNRESOLVED STAFF COMMENTS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40575"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6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2. PROPERTIES</w:t>
      </w:r>
    </w:p>
    <w:p>
      <w:pPr>
        <w:spacing w:after="0" w:line="3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principal executive offices are located at 6 Sylvan Way, Parsippany, New Jersey 07054 pursuant to a lease agreement that expires in 2023. We own a facility in Virginia Beach, Virginia, which serves as a satellite administrative facility for our car and truck rental operations. We also lease office space in Tulsa, Oklahoma, and Boston, Massachusetts, pursuant to leases expiring in 2025 and 2023, respectively. These locations primarily provide operational and administrative services or contact center operations for our Americas segment. We also lease office space in Bracknell, England, Barcelona, Spain and Budapest, Hungary, pursuant to leases expiring in 2032, 2026 and 2026, respectively, for corporate offices, contact center activities and other administrative functions, respectively, for our International segment. Other office locations throughout the world are leased for administrative, regional sales and operations activities.</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lease or have vehicle rental concessions for our brands at locations throughout the world. We own approximately 2% of the locations from which we operate and in some cases we sublease to licensees or other third parties. The remaining locations from which we operate our vehicle rental businesses are leased or operated under concession agreements with governmental authorities and private entities. Those leases and concession agreements typically require the payment of minimum rents or minimum concession fees and often also require us to pay or reimburse operating expenses, to pay additional rent, or concession fees above guaranteed minimums, based on a percentage of revenues or sales arising at the relevant premises, or to do both. See Note 3 to our Consolidated Financial Statements for information regarding lease commitments.</w:t>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believe that our properties are sufficient to meet our present needs and we do not anticipate any difficulty in securing additional space, as needed, on acceptable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40575"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3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3. LEGAL PROCEEDINGS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legal proceedings, see Note 15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40575"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26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4. MINE SAFETY DISCLOSURES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40575" cy="308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0575" cy="308610"/>
                    </a:xfrm>
                    <a:prstGeom prst="rect">
                      <a:avLst/>
                    </a:prstGeom>
                    <a:noFill/>
                  </pic:spPr>
                </pic:pic>
              </a:graphicData>
            </a:graphic>
          </wp:anchor>
        </w:drawing>
      </w:r>
    </w:p>
    <w:p>
      <w:pPr>
        <w:spacing w:after="0" w:line="43" w:lineRule="exact"/>
        <w:rPr>
          <w:sz w:val="20"/>
          <w:szCs w:val="20"/>
          <w:color w:val="auto"/>
        </w:rPr>
      </w:pPr>
    </w:p>
    <w:p>
      <w:pPr>
        <w:ind w:left="8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MATTERS AND ISSUER PURCHASES OF EQUITY SECURITIES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FOR COMMON EQUITY</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common stock is currently traded on the NASDAQ Global Select Market (“NASDAQ”) under the symbol “CAR.” At January 31, 2022, the number of stockholders of record was 2,195.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POLICY</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neither declared nor paid any cash dividends on our common stock in 2021 or 2020, and we do not currently anticipate paying cash dividends on our common stock. However, we evaluate our dividend policy on a regular basis and may pay dividends in the future, subject to compliance with the covenants in our senior credit facility, the indentures governing our senior notes and our vehicle financing programs. The declaration and payment of future dividends to holders of our common stock will be at the discretion of our Board of Directors and will also depend upon many factors, including our financial condition, earnings, capital requirements of our businesses, covenants associated with certain debt obligations, legal requirements, regulatory constraints, industry practice and other factors that the Board of Directors deems relevant.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80"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11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9"/>
              </w:rPr>
              <w:t>Total Number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Average Price</w:t>
            </w:r>
          </w:p>
        </w:tc>
        <w:tc>
          <w:tcPr>
            <w:tcW w:w="304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 Purchased as</w:t>
            </w:r>
          </w:p>
        </w:tc>
        <w:tc>
          <w:tcPr>
            <w:tcW w:w="140" w:type="dxa"/>
            <w:vAlign w:val="bottom"/>
          </w:tcPr>
          <w:p>
            <w:pPr>
              <w:spacing w:after="0"/>
              <w:rPr>
                <w:sz w:val="16"/>
                <w:szCs w:val="16"/>
                <w:color w:val="auto"/>
              </w:rPr>
            </w:pPr>
          </w:p>
        </w:tc>
        <w:tc>
          <w:tcPr>
            <w:tcW w:w="312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Approximate Dollar Value of Shares</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6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Purchased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Part of Publicly Announced Plans or</w:t>
            </w:r>
          </w:p>
        </w:tc>
        <w:tc>
          <w:tcPr>
            <w:tcW w:w="140" w:type="dxa"/>
            <w:vAlign w:val="bottom"/>
          </w:tcPr>
          <w:p>
            <w:pPr>
              <w:spacing w:after="0"/>
              <w:rPr>
                <w:sz w:val="14"/>
                <w:szCs w:val="14"/>
                <w:color w:val="auto"/>
              </w:rPr>
            </w:pPr>
          </w:p>
        </w:tc>
        <w:tc>
          <w:tcPr>
            <w:tcW w:w="3120" w:type="dxa"/>
            <w:vAlign w:val="bottom"/>
            <w:gridSpan w:val="2"/>
          </w:tcPr>
          <w:p>
            <w:pPr>
              <w:jc w:val="right"/>
              <w:ind w:right="19"/>
              <w:spacing w:after="0" w:line="162" w:lineRule="exact"/>
              <w:rPr>
                <w:sz w:val="20"/>
                <w:szCs w:val="20"/>
                <w:color w:val="auto"/>
              </w:rPr>
            </w:pPr>
            <w:r>
              <w:rPr>
                <w:rFonts w:ascii="Arial" w:cs="Arial" w:eastAsia="Arial" w:hAnsi="Arial"/>
                <w:sz w:val="16"/>
                <w:szCs w:val="16"/>
                <w:b w:val="1"/>
                <w:bCs w:val="1"/>
                <w:color w:val="auto"/>
              </w:rPr>
              <w:t>That May Yet Be Purchased Under the</w:t>
            </w: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8"/>
                <w:szCs w:val="18"/>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Paid per Share</w:t>
            </w:r>
          </w:p>
        </w:tc>
        <w:tc>
          <w:tcPr>
            <w:tcW w:w="120" w:type="dxa"/>
            <w:vAlign w:val="bottom"/>
          </w:tcPr>
          <w:p>
            <w:pPr>
              <w:spacing w:after="0"/>
              <w:rPr>
                <w:sz w:val="18"/>
                <w:szCs w:val="18"/>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Programs (in millions)</w:t>
            </w:r>
          </w:p>
        </w:tc>
        <w:tc>
          <w:tcPr>
            <w:tcW w:w="140" w:type="dxa"/>
            <w:vAlign w:val="bottom"/>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Plans or Programs ($</w:t>
            </w: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04"/>
        </w:trPr>
        <w:tc>
          <w:tcPr>
            <w:tcW w:w="1160" w:type="dxa"/>
            <w:vAlign w:val="bottom"/>
          </w:tcPr>
          <w:p>
            <w:pPr>
              <w:jc w:val="right"/>
              <w:spacing w:after="0"/>
              <w:rPr>
                <w:sz w:val="20"/>
                <w:szCs w:val="20"/>
                <w:color w:val="auto"/>
              </w:rPr>
            </w:pPr>
            <w:r>
              <w:rPr>
                <w:rFonts w:ascii="Arial" w:cs="Arial" w:eastAsia="Arial" w:hAnsi="Arial"/>
                <w:sz w:val="16"/>
                <w:szCs w:val="16"/>
                <w:color w:val="auto"/>
              </w:rPr>
              <w:t>October 2021</w:t>
            </w:r>
          </w:p>
        </w:tc>
        <w:tc>
          <w:tcPr>
            <w:tcW w:w="1660" w:type="dxa"/>
            <w:vAlign w:val="bottom"/>
          </w:tcPr>
          <w:p>
            <w:pPr>
              <w:jc w:val="right"/>
              <w:spacing w:after="0"/>
              <w:rPr>
                <w:sz w:val="20"/>
                <w:szCs w:val="20"/>
                <w:color w:val="auto"/>
              </w:rPr>
            </w:pPr>
            <w:r>
              <w:rPr>
                <w:rFonts w:ascii="Arial" w:cs="Arial" w:eastAsia="Arial" w:hAnsi="Arial"/>
                <w:sz w:val="16"/>
                <w:szCs w:val="16"/>
                <w:color w:val="auto"/>
              </w:rPr>
              <w:t>2.2</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150.37</w:t>
            </w:r>
          </w:p>
        </w:tc>
        <w:tc>
          <w:tcPr>
            <w:tcW w:w="120" w:type="dxa"/>
            <w:vAlign w:val="bottom"/>
          </w:tcPr>
          <w:p>
            <w:pPr>
              <w:spacing w:after="0"/>
              <w:rPr>
                <w:sz w:val="17"/>
                <w:szCs w:val="17"/>
                <w:color w:val="auto"/>
              </w:rPr>
            </w:pPr>
          </w:p>
        </w:tc>
        <w:tc>
          <w:tcPr>
            <w:tcW w:w="3040" w:type="dxa"/>
            <w:vAlign w:val="bottom"/>
          </w:tcPr>
          <w:p>
            <w:pPr>
              <w:jc w:val="right"/>
              <w:spacing w:after="0"/>
              <w:rPr>
                <w:sz w:val="20"/>
                <w:szCs w:val="20"/>
                <w:color w:val="auto"/>
              </w:rPr>
            </w:pPr>
            <w:r>
              <w:rPr>
                <w:rFonts w:ascii="Arial" w:cs="Arial" w:eastAsia="Arial" w:hAnsi="Arial"/>
                <w:sz w:val="16"/>
                <w:szCs w:val="16"/>
                <w:color w:val="auto"/>
              </w:rPr>
              <w:t>2.2</w:t>
            </w:r>
          </w:p>
        </w:tc>
        <w:tc>
          <w:tcPr>
            <w:tcW w:w="2080" w:type="dxa"/>
            <w:vAlign w:val="bottom"/>
            <w:gridSpan w:val="2"/>
          </w:tcPr>
          <w:p>
            <w:pPr>
              <w:jc w:val="right"/>
              <w:ind w:right="17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6"/>
        </w:trPr>
        <w:tc>
          <w:tcPr>
            <w:tcW w:w="1160" w:type="dxa"/>
            <w:vAlign w:val="bottom"/>
          </w:tcPr>
          <w:p>
            <w:pPr>
              <w:jc w:val="right"/>
              <w:spacing w:after="0"/>
              <w:rPr>
                <w:sz w:val="20"/>
                <w:szCs w:val="20"/>
                <w:color w:val="auto"/>
              </w:rPr>
            </w:pPr>
            <w:r>
              <w:rPr>
                <w:rFonts w:ascii="Arial" w:cs="Arial" w:eastAsia="Arial" w:hAnsi="Arial"/>
                <w:sz w:val="16"/>
                <w:szCs w:val="16"/>
                <w:color w:val="auto"/>
              </w:rPr>
              <w:t>November 2021</w:t>
            </w:r>
          </w:p>
        </w:tc>
        <w:tc>
          <w:tcPr>
            <w:tcW w:w="1660" w:type="dxa"/>
            <w:vAlign w:val="bottom"/>
          </w:tcPr>
          <w:p>
            <w:pPr>
              <w:jc w:val="right"/>
              <w:spacing w:after="0"/>
              <w:rPr>
                <w:sz w:val="20"/>
                <w:szCs w:val="20"/>
                <w:color w:val="auto"/>
              </w:rPr>
            </w:pPr>
            <w:r>
              <w:rPr>
                <w:rFonts w:ascii="Arial" w:cs="Arial" w:eastAsia="Arial" w:hAnsi="Arial"/>
                <w:sz w:val="16"/>
                <w:szCs w:val="16"/>
                <w:color w:val="auto"/>
              </w:rPr>
              <w:t>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272.63</w:t>
            </w:r>
          </w:p>
        </w:tc>
        <w:tc>
          <w:tcPr>
            <w:tcW w:w="120" w:type="dxa"/>
            <w:vAlign w:val="bottom"/>
          </w:tcPr>
          <w:p>
            <w:pPr>
              <w:spacing w:after="0"/>
              <w:rPr>
                <w:sz w:val="18"/>
                <w:szCs w:val="18"/>
                <w:color w:val="auto"/>
              </w:rPr>
            </w:pPr>
          </w:p>
        </w:tc>
        <w:tc>
          <w:tcPr>
            <w:tcW w:w="3040" w:type="dxa"/>
            <w:vAlign w:val="bottom"/>
          </w:tcPr>
          <w:p>
            <w:pPr>
              <w:jc w:val="right"/>
              <w:spacing w:after="0"/>
              <w:rPr>
                <w:sz w:val="20"/>
                <w:szCs w:val="20"/>
                <w:color w:val="auto"/>
              </w:rPr>
            </w:pPr>
            <w:r>
              <w:rPr>
                <w:rFonts w:ascii="Arial" w:cs="Arial" w:eastAsia="Arial" w:hAnsi="Arial"/>
                <w:sz w:val="16"/>
                <w:szCs w:val="16"/>
                <w:color w:val="auto"/>
              </w:rPr>
              <w:t>0.4</w:t>
            </w: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959</w:t>
            </w:r>
          </w:p>
        </w:tc>
        <w:tc>
          <w:tcPr>
            <w:tcW w:w="0" w:type="dxa"/>
            <w:vAlign w:val="bottom"/>
          </w:tcPr>
          <w:p>
            <w:pPr>
              <w:spacing w:after="0"/>
              <w:rPr>
                <w:sz w:val="1"/>
                <w:szCs w:val="1"/>
                <w:color w:val="auto"/>
              </w:rPr>
            </w:pPr>
          </w:p>
        </w:tc>
      </w:tr>
      <w:tr>
        <w:trPr>
          <w:trHeight w:val="219"/>
        </w:trPr>
        <w:tc>
          <w:tcPr>
            <w:tcW w:w="1160" w:type="dxa"/>
            <w:vAlign w:val="bottom"/>
          </w:tcPr>
          <w:p>
            <w:pPr>
              <w:jc w:val="right"/>
              <w:spacing w:after="0"/>
              <w:rPr>
                <w:sz w:val="20"/>
                <w:szCs w:val="20"/>
                <w:color w:val="auto"/>
              </w:rPr>
            </w:pPr>
            <w:r>
              <w:rPr>
                <w:rFonts w:ascii="Arial" w:cs="Arial" w:eastAsia="Arial" w:hAnsi="Arial"/>
                <w:sz w:val="16"/>
                <w:szCs w:val="16"/>
                <w:color w:val="auto"/>
              </w:rPr>
              <w:t>December 2021</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959</w:t>
            </w: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169.74</w:t>
            </w:r>
          </w:p>
        </w:tc>
        <w:tc>
          <w:tcPr>
            <w:tcW w:w="120" w:type="dxa"/>
            <w:vAlign w:val="bottom"/>
          </w:tcPr>
          <w:p>
            <w:pPr>
              <w:spacing w:after="0"/>
              <w:rPr>
                <w:sz w:val="18"/>
                <w:szCs w:val="18"/>
                <w:color w:val="auto"/>
              </w:rPr>
            </w:pP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080" w:type="dxa"/>
            <w:vAlign w:val="bottom"/>
            <w:gridSpan w:val="2"/>
          </w:tcPr>
          <w:p>
            <w:pPr>
              <w:jc w:val="right"/>
              <w:ind w:right="17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959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62626"/>
        </w:rPr>
        <w:t>The Company’s Board of Directors has authorized the repurchase of up to approximately $4.1 billion of its common stock under a plan originally approved in 2013 and subsequently expanded, most recently in November 2021. Under the Company’s stock repurchase program, the Company repurchases shares from time to time in open market transactions, and may also repurchase shares in accelerated share repurchases, tender offers, privately negotiated transactions or by other means. The timing and amount of repurchase transactions will be determined by the Company’s management based on its evaluation of market conditions, the Company’s share price, legal requirements, restricted payment capacity under its debt instruments and other factors. The stock repurchase program may be suspended, modified or discontinued without prior notice.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GRAPH</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Set forth below are a line graph and table comparing the cumulative total stockholder return of our common stock against the cumulative total returns of peer group indices, the S&amp;P Midcap 400 Index, and the Dow Jones US Transportation Average Index for the period of five fiscal years commencing December 31, 2016 and ending December 31, 2021. The broad equity market indices used by the Company are the S&amp;P Midcap 400 Index, which measures the performance of mid-sized companies, and the Dow Jones US Transportation Average Index, which measures the performance of transportation companies. The graph and table depict the result of an investment on December 31, 2016 of $100 in the Company’s common stock, the S&amp;P Midcap 400 Index and the Dow Jones US Transportation Average Index, including investment of dividends.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382905</wp:posOffset>
            </wp:positionV>
            <wp:extent cx="5760720" cy="36518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60720"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2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ind w:left="320"/>
              <w:spacing w:after="0"/>
              <w:rPr>
                <w:sz w:val="20"/>
                <w:szCs w:val="20"/>
                <w:color w:val="auto"/>
              </w:rPr>
            </w:pPr>
            <w:r>
              <w:rPr>
                <w:rFonts w:ascii="Arial" w:cs="Arial" w:eastAsia="Arial" w:hAnsi="Arial"/>
                <w:sz w:val="16"/>
                <w:szCs w:val="16"/>
                <w:b w:val="1"/>
                <w:bCs w:val="1"/>
                <w:color w:val="auto"/>
              </w:rPr>
              <w:t>As of December 31,</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2"/>
        </w:trPr>
        <w:tc>
          <w:tcPr>
            <w:tcW w:w="29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Avis Budget Group, Inc.</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565.35</w:t>
            </w:r>
          </w:p>
        </w:tc>
      </w:tr>
      <w:tr>
        <w:trPr>
          <w:trHeight w:val="213"/>
        </w:trPr>
        <w:tc>
          <w:tcPr>
            <w:tcW w:w="2920" w:type="dxa"/>
            <w:vAlign w:val="bottom"/>
          </w:tcPr>
          <w:p>
            <w:pPr>
              <w:spacing w:after="0"/>
              <w:rPr>
                <w:sz w:val="20"/>
                <w:szCs w:val="20"/>
                <w:color w:val="auto"/>
              </w:rPr>
            </w:pPr>
            <w:r>
              <w:rPr>
                <w:rFonts w:ascii="Arial" w:cs="Arial" w:eastAsia="Arial" w:hAnsi="Arial"/>
                <w:sz w:val="16"/>
                <w:szCs w:val="16"/>
                <w:color w:val="auto"/>
              </w:rPr>
              <w:t>S&amp;P Midcap 400 Index</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116.24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103.36</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130.44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148.26</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184.96</w:t>
            </w:r>
          </w:p>
        </w:tc>
      </w:tr>
      <w:tr>
        <w:trPr>
          <w:trHeight w:val="180"/>
        </w:trPr>
        <w:tc>
          <w:tcPr>
            <w:tcW w:w="29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Dow Jones US Transportation Average</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1"/>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Index</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40575" cy="162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335" w:lineRule="exact"/>
        <w:rPr>
          <w:sz w:val="20"/>
          <w:szCs w:val="20"/>
          <w:color w:val="auto"/>
        </w:rPr>
      </w:pPr>
    </w:p>
    <w:p>
      <w:pPr>
        <w:ind w:left="8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40575"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05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60" w:right="2140" w:hanging="975"/>
        <w:spacing w:after="0" w:line="303" w:lineRule="auto"/>
        <w:tabs>
          <w:tab w:leader="none" w:pos="10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7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The following discussion should be read in conjunction with Item 1 Business, Item 1A Risk Factors and our Consolidated Financial Statements and accompanying Notes included in this Annual Report on Form 10-K commencing on page F-1. Our actual results of operations may differ materially from those discussed in forward-looking statements as a result of various factors, including but not limited to those included in Item 1A, “Risk Factors” and other portions of this Annual Report on Form 10-K. Unless otherwise noted, all dollar amounts in tables are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40575"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OVERVIEW</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COMPANY</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three of the most globally recognized brands in mobility solutions, Avis, Budget and Zipcar together with several other brands, well recognized in their respective markets. Our brands offer a range of options, from car and truck rental to car sharing in North America, Europe, Australasia and certain other regions we serve, with an average rental fleet of over 590,000 vehicles in fourth quarter 2021. We also license the use of our trademarks to licensees in the areas in which we do not operate directly. We and our licensees operate our brands in approximately 180 countries throughout the world.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positive momentum from the fourth quarter of 2020 carried throughout 2021. For the year ended December 31, 2021, we generated revenues of $9.3 billion, net income of $ 1.3 billion, and Adjusted EBITDA of $2.4 billion. These results were driven by increased demand for rental vehicles, improved pricing across the industry, disciplined cost removal achieved in 2020 and continued fleet management. Our per-unit fleet costs per month was $189, a 27% improvement compared to 2019. Revenue per day was $69.14, a 29% improvement compared to 2019.</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global economy and our business were significantly impacted by the COVID-19 pandemic in 2020. However, due to the continued distribution of effective vaccines, along with other protective measures, over the past year travel advisories and restrictions have eased, primarily in the Americas. There continues to be a number of encouraging developments, such as a significant increase in global travel demand, which generated an increase in demand for rental vehicles and improved pricing across the industry, suggesting a steady return to historic travel trends. We have positioned ourselves to capitalize on what we believe will be a continued surge in travel demand. As our revenues reach pre-pandemic levels, we continue to take actions to keep us on a path of profitability. We continue to look for ways to capitalize on the changes prompted by the pandemic and to expand our business in a post-COVID-19 environment. However, the full extent of the ongoing impact of this virus on our long-term operational and financial performance will depend on future developments, including those outside of our control, such as the spread of new variants of the virus and the implementation of new or continued travel restrictions and the overall economic environment. The rapidly spreading Omicron variant could cause prolonged impacts on the economy, our industry and on us, with reductions in available staffing and increasing inflation, among other impacts. We will continue to monitor these and other impacts and take action in connection with it, by leveraging our technology and reviewing cost mitigating actions, among other actions. Significant events affecting travel have historically had an impact on vehicle rental volumes, with the full extent of the impact generally determined by the length of time the event influences travel decisions. As a consequence, we cannot estimate the impact on our business, financial condition or forecast financial or operational results with reasonable certainty.</w:t>
      </w: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global semiconductor shortage is impacting fleet supply, resulting in tighter fleets throughout the industry and causing us to hold cars longer compared to periods prior to the COVID-19 pandemic. We have historically navigated through significant vehicle recalls and worked with our vehicle manufacturers, and believe we have the logistics in place to effectively manage our fleet during this disruption in supply. We continue to purchase new vehicles and believe we can increase our fleet utilization efficiency to capture increased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40575"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RESULTS OF OPERATIONS</w:t>
      </w:r>
    </w:p>
    <w:p>
      <w:pPr>
        <w:spacing w:after="0" w:line="3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discussion regarding our financial condition and results of operations for the year ended December 31, 2021 compared to 2020 is presented below. A discussion regarding our financial condition and results of operations for the year ended December 31, 2020 compared to 2019 can be found under Item 7 in our Annual Report on Form 10-K for the year ended December 31, 2020, filed with the SEC on February 17, 2021, which is available on the SEC’s website at www.sec.gov and our Investor Relations website at ir.avisbudgetgroup.com.</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measure performance principally using the following key metrics: (i) rental days, which represent the total number of days (or portion thereof) a vehicle was rented, (ii) revenue per day, which represents revenues divided by rental days, (iii) vehicle utilization, which represents rental days divided by available rental days, available rental days is defined as average rental fleet times the number of days in the period, and (iv) per-unit fleet costs, which represent vehicle depreciation, lease charges and gain or loss on vehicle sales, divided by average rental fleet. Our rental days, revenue per day and vehicle utilization metrics are all calculated based on the actual rental of the vehicle during a 24-hour period. We believe that this methodology provides management with the most relevant metrics in order to effectively manage the performance of the business. Our calculation may not be comparable to the calculation of similarly-titled metrics by other companies. We present currency exchange rate effects to provide a method of assessing how our business performed excluding the effects of foreign currency rate fluctuations. Currency exchange rate effects are calculated by translating the current-year results at the prior-period average exchange rate plus any related gains and losses on currency hedges.</w:t>
      </w: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revenues and “Adjusted EBITDA,” which we define as income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and other legal matters, net, which includes amounts recorded in excess of $5 million related to class action lawsuits, non-operational charges related to shareholder activist activity, which include third party advisory, legal and other professional fees, gain on sale of equity method investment in China, COVID-19 charges and income taxes. Net charges for unprecedented personal-injury and other legal matters and gain on sale of equity method investment in China are recorded within operating expenses in our consolidated results of operations. Non-operational charges related to shareholder activist activity include third party advisory, legal and other professional service fees and are recorded within selling, general and administrative expenses in our consolidated results of operations. COVID-19 charges include unusual, direct and incremental costs due to the COVID-19 pandemic, such as minimum annual guaranteed rent in excess of concession fees for the period, overflow parking for idle vehicles and related shuttling costs, incremental cleaning supplies to sanitize vehicles and facilities and other charges, and losses associated with vehicles damaged in overflow parking lots, net of insurance proceeds, and are primarily recorded within operating expenses in our consolidated results of operations. We have revised our definition of Adjusted EBITDA to exclude amounts recorded in excess of $5 million related to class action lawsuits. We did not revise prior years' Adjusted EBITDA amounts because there were no other charges similar in nature to these costs. 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60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831"/>
        </w:trPr>
        <w:tc>
          <w:tcPr>
            <w:tcW w:w="6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Year Ended December 31, 2021 vs. Year Ended December 31, 2020</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9"/>
        </w:trPr>
        <w:tc>
          <w:tcPr>
            <w:tcW w:w="6060" w:type="dxa"/>
            <w:vAlign w:val="bottom"/>
            <w:gridSpan w:val="2"/>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3"/>
        </w:trPr>
        <w:tc>
          <w:tcPr>
            <w:tcW w:w="140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5"/>
          </w:tcPr>
          <w:p>
            <w:pPr>
              <w:jc w:val="center"/>
              <w:ind w:right="360"/>
              <w:spacing w:after="0" w:line="202" w:lineRule="exact"/>
              <w:rPr>
                <w:sz w:val="20"/>
                <w:szCs w:val="20"/>
                <w:color w:val="auto"/>
              </w:rPr>
            </w:pPr>
            <w:r>
              <w:rPr>
                <w:rFonts w:ascii="Arial" w:cs="Arial" w:eastAsia="Arial" w:hAnsi="Arial"/>
                <w:sz w:val="18"/>
                <w:szCs w:val="18"/>
                <w:b w:val="1"/>
                <w:bCs w:val="1"/>
                <w:color w:val="auto"/>
                <w:w w:val="98"/>
              </w:rPr>
              <w:t>Year Ended</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14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14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 Change</w:t>
            </w:r>
          </w:p>
        </w:tc>
      </w:tr>
      <w:tr>
        <w:trPr>
          <w:trHeight w:val="223"/>
        </w:trPr>
        <w:tc>
          <w:tcPr>
            <w:tcW w:w="606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3,911</w:t>
            </w:r>
          </w:p>
        </w:tc>
        <w:tc>
          <w:tcPr>
            <w:tcW w:w="12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72%</w:t>
            </w:r>
          </w:p>
        </w:tc>
      </w:tr>
      <w:tr>
        <w:trPr>
          <w:trHeight w:val="372"/>
        </w:trPr>
        <w:tc>
          <w:tcPr>
            <w:tcW w:w="6060" w:type="dxa"/>
            <w:vAlign w:val="bottom"/>
            <w:gridSpan w:val="2"/>
          </w:tcPr>
          <w:p>
            <w:pPr>
              <w:ind w:left="20"/>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9"/>
        </w:trPr>
        <w:tc>
          <w:tcPr>
            <w:tcW w:w="6060" w:type="dxa"/>
            <w:vAlign w:val="bottom"/>
            <w:gridSpan w:val="2"/>
          </w:tcPr>
          <w:p>
            <w:pPr>
              <w:ind w:left="240"/>
              <w:spacing w:after="0"/>
              <w:rPr>
                <w:sz w:val="20"/>
                <w:szCs w:val="20"/>
                <w:color w:val="auto"/>
              </w:rPr>
            </w:pPr>
            <w:r>
              <w:rPr>
                <w:rFonts w:ascii="Arial" w:cs="Arial" w:eastAsia="Arial" w:hAnsi="Arial"/>
                <w:sz w:val="18"/>
                <w:szCs w:val="18"/>
                <w:color w:val="auto"/>
              </w:rPr>
              <w:t>Operating</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933</w:t>
            </w:r>
          </w:p>
        </w:tc>
        <w:tc>
          <w:tcPr>
            <w:tcW w:w="12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28%</w:t>
            </w:r>
          </w:p>
        </w:tc>
      </w:tr>
      <w:tr>
        <w:trPr>
          <w:trHeight w:val="229"/>
        </w:trPr>
        <w:tc>
          <w:tcPr>
            <w:tcW w:w="6060" w:type="dxa"/>
            <w:vAlign w:val="bottom"/>
            <w:gridSpan w:val="2"/>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w:t>
            </w:r>
          </w:p>
        </w:tc>
        <w:tc>
          <w:tcPr>
            <w:tcW w:w="12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(13%)</w:t>
            </w:r>
          </w:p>
        </w:tc>
      </w:tr>
      <w:tr>
        <w:trPr>
          <w:trHeight w:val="230"/>
        </w:trPr>
        <w:tc>
          <w:tcPr>
            <w:tcW w:w="6060" w:type="dxa"/>
            <w:vAlign w:val="bottom"/>
            <w:gridSpan w:val="2"/>
          </w:tcPr>
          <w:p>
            <w:pPr>
              <w:ind w:left="2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442</w:t>
            </w:r>
          </w:p>
        </w:tc>
        <w:tc>
          <w:tcPr>
            <w:tcW w:w="12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63%</w:t>
            </w:r>
          </w:p>
        </w:tc>
      </w:tr>
      <w:tr>
        <w:trPr>
          <w:trHeight w:val="229"/>
        </w:trPr>
        <w:tc>
          <w:tcPr>
            <w:tcW w:w="6060" w:type="dxa"/>
            <w:vAlign w:val="bottom"/>
            <w:gridSpan w:val="2"/>
          </w:tcPr>
          <w:p>
            <w:pPr>
              <w:ind w:left="240"/>
              <w:spacing w:after="0"/>
              <w:rPr>
                <w:sz w:val="20"/>
                <w:szCs w:val="20"/>
                <w:color w:val="auto"/>
              </w:rPr>
            </w:pPr>
            <w:r>
              <w:rPr>
                <w:rFonts w:ascii="Arial" w:cs="Arial" w:eastAsia="Arial" w:hAnsi="Arial"/>
                <w:sz w:val="18"/>
                <w:szCs w:val="18"/>
                <w:color w:val="auto"/>
              </w:rPr>
              <w:t>Vehicle interest,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(2%)</w:t>
            </w:r>
          </w:p>
        </w:tc>
      </w:tr>
      <w:tr>
        <w:trPr>
          <w:trHeight w:val="230"/>
        </w:trPr>
        <w:tc>
          <w:tcPr>
            <w:tcW w:w="6060" w:type="dxa"/>
            <w:vAlign w:val="bottom"/>
            <w:gridSpan w:val="2"/>
          </w:tcPr>
          <w:p>
            <w:pPr>
              <w:ind w:left="400"/>
              <w:spacing w:after="0"/>
              <w:rPr>
                <w:sz w:val="20"/>
                <w:szCs w:val="20"/>
                <w:color w:val="auto"/>
              </w:rPr>
            </w:pPr>
            <w:r>
              <w:rPr>
                <w:rFonts w:ascii="Arial" w:cs="Arial" w:eastAsia="Arial" w:hAnsi="Arial"/>
                <w:sz w:val="18"/>
                <w:szCs w:val="18"/>
                <w:color w:val="auto"/>
              </w:rPr>
              <w:t>Non-vehicle related depreciation and amortization</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(5%)</w:t>
            </w:r>
          </w:p>
        </w:tc>
      </w:tr>
      <w:tr>
        <w:trPr>
          <w:trHeight w:val="229"/>
        </w:trPr>
        <w:tc>
          <w:tcPr>
            <w:tcW w:w="6060" w:type="dxa"/>
            <w:vAlign w:val="bottom"/>
            <w:gridSpan w:val="2"/>
          </w:tcPr>
          <w:p>
            <w:pPr>
              <w:ind w:left="400"/>
              <w:spacing w:after="0"/>
              <w:rPr>
                <w:sz w:val="20"/>
                <w:szCs w:val="20"/>
                <w:color w:val="auto"/>
              </w:rPr>
            </w:pPr>
            <w:r>
              <w:rPr>
                <w:rFonts w:ascii="Arial" w:cs="Arial" w:eastAsia="Arial" w:hAnsi="Arial"/>
                <w:sz w:val="18"/>
                <w:szCs w:val="18"/>
                <w:color w:val="auto"/>
              </w:rPr>
              <w:t>Interest expense related to corporate debt, net: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060" w:type="dxa"/>
            <w:vAlign w:val="bottom"/>
            <w:gridSpan w:val="2"/>
          </w:tcPr>
          <w:p>
            <w:pPr>
              <w:ind w:left="50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(6%)</w:t>
            </w:r>
          </w:p>
        </w:tc>
      </w:tr>
      <w:tr>
        <w:trPr>
          <w:trHeight w:val="230"/>
        </w:trPr>
        <w:tc>
          <w:tcPr>
            <w:tcW w:w="6060" w:type="dxa"/>
            <w:vAlign w:val="bottom"/>
            <w:gridSpan w:val="2"/>
          </w:tcPr>
          <w:p>
            <w:pPr>
              <w:ind w:left="50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n/m</w:t>
            </w:r>
          </w:p>
        </w:tc>
      </w:tr>
      <w:tr>
        <w:trPr>
          <w:trHeight w:val="229"/>
        </w:trPr>
        <w:tc>
          <w:tcPr>
            <w:tcW w:w="6060" w:type="dxa"/>
            <w:vAlign w:val="bottom"/>
            <w:gridSpan w:val="2"/>
          </w:tcPr>
          <w:p>
            <w:pPr>
              <w:ind w:left="240"/>
              <w:spacing w:after="0"/>
              <w:rPr>
                <w:sz w:val="20"/>
                <w:szCs w:val="20"/>
                <w:color w:val="auto"/>
              </w:rPr>
            </w:pPr>
            <w:r>
              <w:rPr>
                <w:rFonts w:ascii="Arial" w:cs="Arial" w:eastAsia="Arial" w:hAnsi="Arial"/>
                <w:sz w:val="18"/>
                <w:szCs w:val="18"/>
                <w:color w:val="auto"/>
              </w:rPr>
              <w:t>Restructuring and other related charges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12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(46%)</w:t>
            </w:r>
          </w:p>
        </w:tc>
      </w:tr>
      <w:tr>
        <w:trPr>
          <w:trHeight w:val="229"/>
        </w:trPr>
        <w:tc>
          <w:tcPr>
            <w:tcW w:w="6060" w:type="dxa"/>
            <w:vAlign w:val="bottom"/>
            <w:gridSpan w:val="2"/>
          </w:tcPr>
          <w:p>
            <w:pPr>
              <w:ind w:left="240"/>
              <w:spacing w:after="0"/>
              <w:rPr>
                <w:sz w:val="20"/>
                <w:szCs w:val="20"/>
                <w:color w:val="auto"/>
              </w:rPr>
            </w:pPr>
            <w:r>
              <w:rPr>
                <w:rFonts w:ascii="Arial" w:cs="Arial" w:eastAsia="Arial" w:hAnsi="Arial"/>
                <w:sz w:val="18"/>
                <w:szCs w:val="18"/>
                <w:color w:val="auto"/>
              </w:rPr>
              <w:t>Transaction-related costs, net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67%</w:t>
            </w:r>
          </w:p>
        </w:tc>
      </w:tr>
      <w:tr>
        <w:trPr>
          <w:trHeight w:val="22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6,358</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12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20%</w:t>
            </w:r>
          </w:p>
        </w:tc>
      </w:tr>
      <w:tr>
        <w:trPr>
          <w:trHeight w:val="426"/>
        </w:trPr>
        <w:tc>
          <w:tcPr>
            <w:tcW w:w="606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2,664</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n/m</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n/m</w:t>
            </w:r>
          </w:p>
        </w:tc>
      </w:tr>
      <w:tr>
        <w:trPr>
          <w:trHeight w:val="223"/>
        </w:trPr>
        <w:tc>
          <w:tcPr>
            <w:tcW w:w="60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1,967</w:t>
            </w:r>
          </w:p>
        </w:tc>
        <w:tc>
          <w:tcPr>
            <w:tcW w:w="1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n/m</w:t>
            </w:r>
          </w:p>
        </w:tc>
      </w:tr>
      <w:tr>
        <w:trPr>
          <w:trHeight w:val="28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Less: net loss attributable to non-controlling interests</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n/m</w:t>
            </w:r>
          </w:p>
        </w:tc>
      </w:tr>
      <w:tr>
        <w:trPr>
          <w:trHeight w:val="223"/>
        </w:trPr>
        <w:tc>
          <w:tcPr>
            <w:tcW w:w="60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 attributable to Avis Budget Group, Inc.</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1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n/m</w:t>
            </w:r>
          </w:p>
        </w:tc>
      </w:tr>
      <w:tr>
        <w:trPr>
          <w:trHeight w:val="20"/>
        </w:trPr>
        <w:tc>
          <w:tcPr>
            <w:tcW w:w="14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n/m</w:t>
        <w:tab/>
        <w:t>Not meaningful.</w:t>
      </w:r>
    </w:p>
    <w:p>
      <w:pPr>
        <w:spacing w:after="0" w:line="2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Revenues increased $3.9 billion, or 72%, for the year ended December 31, 2021 compared to 2020, primarily due to a 35% increase in revenue per day, excluding exchange rate effects, a 27% increase in volume as the mobility industry recovers from the pandemic and an $80 million benefit from currency exchange rate movements. Total expenses increased 20% for the year ended December 31, 2021, compared to 2020, primarily due to increased demand, partially offset by cost discipline as volume returned. Our effective tax rates for the year ended December 31, 2021 and 2020 were a provision for (benefit from) of 25% and (28%), respectively. For the years ended December 31, 2021 and 2020, we reported earnings (loss) per diluted share of $19.44 and $(9.71), respectively.</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expenses decreased to 45.7% of revenue for the year ended December 31, 2021 compared to 61.5% in 2020, primarily due to the increased revenues and cost discipline as volume returned. Vehicle depreciation and lease charges decreased to 12.9% of revenue for the year ended December 31, 2021 compared to 25.3% in 2020, primarily due to increased revenues and a 13% decrease per unit fleet cost, excluding exchange rate effects, driven by the continued favorable trend in residual values. Selling, general and administrative costs decreased to 12.3% of revenue for the year ended December 31, 2021 compared to 13.0% in 2020, primarily due to increased revenues and cost discipline as volume returned. Vehicle interest costs decreased to 3.4% of revenue for the year ended December 31, 2021 compared to 5.9% in 2020, primarily due to increased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ind w:left="1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Following is a more detailed discussion of the results of each of our reportable segments:</w:t>
      </w:r>
    </w:p>
    <w:p>
      <w:pPr>
        <w:spacing w:after="0" w:line="28"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5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4"/>
                <w:szCs w:val="14"/>
                <w:color w:val="auto"/>
              </w:rPr>
            </w:pPr>
          </w:p>
        </w:tc>
        <w:tc>
          <w:tcPr>
            <w:tcW w:w="122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rPr>
              <w:t>Adjusted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4"/>
                <w:szCs w:val="14"/>
                <w:color w:val="auto"/>
              </w:rPr>
            </w:pPr>
          </w:p>
        </w:tc>
        <w:tc>
          <w:tcPr>
            <w:tcW w:w="1220" w:type="dxa"/>
            <w:vAlign w:val="bottom"/>
          </w:tcPr>
          <w:p>
            <w:pPr>
              <w:jc w:val="center"/>
              <w:ind w:right="170"/>
              <w:spacing w:after="0" w:line="169" w:lineRule="exact"/>
              <w:rPr>
                <w:sz w:val="20"/>
                <w:szCs w:val="20"/>
                <w:color w:val="auto"/>
              </w:rPr>
            </w:pPr>
            <w:r>
              <w:rPr>
                <w:rFonts w:ascii="Arial" w:cs="Arial" w:eastAsia="Arial" w:hAnsi="Arial"/>
                <w:sz w:val="18"/>
                <w:szCs w:val="18"/>
                <w:b w:val="1"/>
                <w:bCs w:val="1"/>
                <w:color w:val="auto"/>
                <w:w w:val="98"/>
              </w:rPr>
              <w:t>Adjusted</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EBITDA</w:t>
            </w:r>
          </w:p>
        </w:tc>
        <w:tc>
          <w:tcPr>
            <w:tcW w:w="2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rPr>
              <w:t>EBITDA</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Americas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7,557</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3,965</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9"/>
                <w:szCs w:val="9"/>
                <w:color w:val="auto"/>
              </w:rPr>
              <w:t>(a)</w:t>
            </w:r>
          </w:p>
        </w:tc>
        <w:tc>
          <w:tcPr>
            <w:tcW w:w="2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5040" w:type="dxa"/>
            <w:vAlign w:val="bottom"/>
          </w:tcPr>
          <w:p>
            <w:pPr>
              <w:ind w:left="280"/>
              <w:spacing w:after="0"/>
              <w:rPr>
                <w:sz w:val="20"/>
                <w:szCs w:val="20"/>
                <w:color w:val="auto"/>
              </w:rPr>
            </w:pPr>
            <w:r>
              <w:rPr>
                <w:rFonts w:ascii="Arial" w:cs="Arial" w:eastAsia="Arial" w:hAnsi="Arial"/>
                <w:sz w:val="18"/>
                <w:szCs w:val="18"/>
                <w:color w:val="auto"/>
              </w:rPr>
              <w:t>Total Company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5,402</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5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gridSpan w:val="10"/>
          </w:tcPr>
          <w:p>
            <w:pPr>
              <w:jc w:val="right"/>
              <w:ind w:right="630"/>
              <w:spacing w:after="0"/>
              <w:rPr>
                <w:sz w:val="20"/>
                <w:szCs w:val="20"/>
                <w:color w:val="auto"/>
              </w:rPr>
            </w:pPr>
            <w:r>
              <w:rPr>
                <w:rFonts w:ascii="Arial" w:cs="Arial" w:eastAsia="Arial" w:hAnsi="Arial"/>
                <w:sz w:val="18"/>
                <w:szCs w:val="18"/>
                <w:b w:val="1"/>
                <w:bCs w:val="1"/>
                <w:color w:val="auto"/>
              </w:rPr>
              <w:t>Reconciliation of net income (loss) to Adjusted EBITDA</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340"/>
          </w:cols>
          <w:pgMar w:left="220" w:top="140" w:right="339" w:bottom="1440" w:gutter="0" w:footer="0" w:header="0"/>
        </w:sectPr>
      </w:pP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income (loss)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Provision for (benefit from) income taxes</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Income (loss) before income taxes</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560" w:type="dxa"/>
            <w:vAlign w:val="bottom"/>
          </w:tcPr>
          <w:p>
            <w:pPr>
              <w:spacing w:after="0"/>
              <w:rPr>
                <w:sz w:val="20"/>
                <w:szCs w:val="20"/>
                <w:color w:val="auto"/>
              </w:rPr>
            </w:pPr>
            <w:r>
              <w:rPr>
                <w:rFonts w:ascii="Arial" w:cs="Arial" w:eastAsia="Arial" w:hAnsi="Arial"/>
                <w:sz w:val="18"/>
                <w:szCs w:val="18"/>
                <w:color w:val="auto"/>
              </w:rPr>
              <w:t>Add:</w:t>
            </w:r>
          </w:p>
        </w:tc>
        <w:tc>
          <w:tcPr>
            <w:tcW w:w="5300" w:type="dxa"/>
            <w:vAlign w:val="bottom"/>
          </w:tcPr>
          <w:p>
            <w:pPr>
              <w:ind w:left="180"/>
              <w:spacing w:after="0"/>
              <w:rPr>
                <w:sz w:val="20"/>
                <w:szCs w:val="20"/>
                <w:color w:val="auto"/>
              </w:rPr>
            </w:pPr>
            <w:r>
              <w:rPr>
                <w:rFonts w:ascii="Arial" w:cs="Arial" w:eastAsia="Arial" w:hAnsi="Arial"/>
                <w:sz w:val="18"/>
                <w:szCs w:val="18"/>
                <w:color w:val="auto"/>
              </w:rPr>
              <w:t xml:space="preserve">Non-vehicle related depreciation and amortization </w:t>
            </w:r>
            <w:r>
              <w:rPr>
                <w:rFonts w:ascii="Arial" w:cs="Arial" w:eastAsia="Arial" w:hAnsi="Arial"/>
                <w:sz w:val="9"/>
                <w:szCs w:val="9"/>
                <w:color w:val="auto"/>
              </w:rPr>
              <w:t>(b)</w:t>
            </w:r>
          </w:p>
        </w:tc>
      </w:tr>
      <w:tr>
        <w:trPr>
          <w:trHeight w:val="229"/>
        </w:trPr>
        <w:tc>
          <w:tcPr>
            <w:tcW w:w="560" w:type="dxa"/>
            <w:vAlign w:val="bottom"/>
          </w:tcPr>
          <w:p>
            <w:pPr>
              <w:spacing w:after="0"/>
              <w:rPr>
                <w:sz w:val="19"/>
                <w:szCs w:val="19"/>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Interest expense related to corporate debt, net:</w:t>
            </w:r>
          </w:p>
        </w:tc>
      </w:tr>
      <w:tr>
        <w:trPr>
          <w:trHeight w:val="230"/>
        </w:trPr>
        <w:tc>
          <w:tcPr>
            <w:tcW w:w="560" w:type="dxa"/>
            <w:vAlign w:val="bottom"/>
          </w:tcPr>
          <w:p>
            <w:pPr>
              <w:spacing w:after="0"/>
              <w:rPr>
                <w:sz w:val="19"/>
                <w:szCs w:val="19"/>
                <w:color w:val="auto"/>
              </w:rPr>
            </w:pPr>
          </w:p>
        </w:tc>
        <w:tc>
          <w:tcPr>
            <w:tcW w:w="5300" w:type="dxa"/>
            <w:vAlign w:val="bottom"/>
          </w:tcPr>
          <w:p>
            <w:pPr>
              <w:ind w:left="400"/>
              <w:spacing w:after="0"/>
              <w:rPr>
                <w:sz w:val="20"/>
                <w:szCs w:val="20"/>
                <w:color w:val="auto"/>
              </w:rPr>
            </w:pPr>
            <w:r>
              <w:rPr>
                <w:rFonts w:ascii="Arial" w:cs="Arial" w:eastAsia="Arial" w:hAnsi="Arial"/>
                <w:sz w:val="18"/>
                <w:szCs w:val="18"/>
                <w:color w:val="auto"/>
              </w:rPr>
              <w:t>Interest expense</w:t>
            </w:r>
          </w:p>
        </w:tc>
      </w:tr>
      <w:tr>
        <w:trPr>
          <w:trHeight w:val="229"/>
        </w:trPr>
        <w:tc>
          <w:tcPr>
            <w:tcW w:w="560" w:type="dxa"/>
            <w:vAlign w:val="bottom"/>
          </w:tcPr>
          <w:p>
            <w:pPr>
              <w:spacing w:after="0"/>
              <w:rPr>
                <w:sz w:val="19"/>
                <w:szCs w:val="19"/>
                <w:color w:val="auto"/>
              </w:rPr>
            </w:pPr>
          </w:p>
        </w:tc>
        <w:tc>
          <w:tcPr>
            <w:tcW w:w="5300" w:type="dxa"/>
            <w:vAlign w:val="bottom"/>
          </w:tcPr>
          <w:p>
            <w:pPr>
              <w:ind w:left="400"/>
              <w:spacing w:after="0"/>
              <w:rPr>
                <w:sz w:val="20"/>
                <w:szCs w:val="20"/>
                <w:color w:val="auto"/>
              </w:rPr>
            </w:pPr>
            <w:r>
              <w:rPr>
                <w:rFonts w:ascii="Arial" w:cs="Arial" w:eastAsia="Arial" w:hAnsi="Arial"/>
                <w:sz w:val="18"/>
                <w:szCs w:val="18"/>
                <w:color w:val="auto"/>
              </w:rPr>
              <w:t>Early extinguishment of debt</w:t>
            </w:r>
          </w:p>
        </w:tc>
      </w:tr>
      <w:tr>
        <w:trPr>
          <w:trHeight w:val="229"/>
        </w:trPr>
        <w:tc>
          <w:tcPr>
            <w:tcW w:w="560" w:type="dxa"/>
            <w:vAlign w:val="bottom"/>
          </w:tcPr>
          <w:p>
            <w:pPr>
              <w:spacing w:after="0"/>
              <w:rPr>
                <w:sz w:val="19"/>
                <w:szCs w:val="19"/>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 xml:space="preserve">Restructuring and other related charges </w:t>
            </w:r>
            <w:r>
              <w:rPr>
                <w:rFonts w:ascii="Arial" w:cs="Arial" w:eastAsia="Arial" w:hAnsi="Arial"/>
                <w:sz w:val="9"/>
                <w:szCs w:val="9"/>
                <w:color w:val="auto"/>
              </w:rPr>
              <w:t>(c)</w:t>
            </w:r>
          </w:p>
        </w:tc>
      </w:tr>
      <w:tr>
        <w:trPr>
          <w:trHeight w:val="230"/>
        </w:trPr>
        <w:tc>
          <w:tcPr>
            <w:tcW w:w="560" w:type="dxa"/>
            <w:vAlign w:val="bottom"/>
          </w:tcPr>
          <w:p>
            <w:pPr>
              <w:spacing w:after="0"/>
              <w:rPr>
                <w:sz w:val="19"/>
                <w:szCs w:val="19"/>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9"/>
                <w:szCs w:val="9"/>
                <w:color w:val="auto"/>
              </w:rPr>
              <w:t>(d)</w:t>
            </w:r>
          </w:p>
        </w:tc>
      </w:tr>
      <w:tr>
        <w:trPr>
          <w:trHeight w:val="229"/>
        </w:trPr>
        <w:tc>
          <w:tcPr>
            <w:tcW w:w="560" w:type="dxa"/>
            <w:vAlign w:val="bottom"/>
          </w:tcPr>
          <w:p>
            <w:pPr>
              <w:spacing w:after="0"/>
              <w:rPr>
                <w:sz w:val="19"/>
                <w:szCs w:val="19"/>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 xml:space="preserve">Unprecedented personal-injury and other legal matters, net </w:t>
            </w:r>
            <w:r>
              <w:rPr>
                <w:rFonts w:ascii="Arial" w:cs="Arial" w:eastAsia="Arial" w:hAnsi="Arial"/>
                <w:sz w:val="9"/>
                <w:szCs w:val="9"/>
                <w:color w:val="auto"/>
              </w:rPr>
              <w:t>(e)</w:t>
            </w:r>
          </w:p>
        </w:tc>
      </w:tr>
      <w:tr>
        <w:trPr>
          <w:trHeight w:val="230"/>
        </w:trPr>
        <w:tc>
          <w:tcPr>
            <w:tcW w:w="560" w:type="dxa"/>
            <w:vAlign w:val="bottom"/>
          </w:tcPr>
          <w:p>
            <w:pPr>
              <w:spacing w:after="0"/>
              <w:rPr>
                <w:sz w:val="19"/>
                <w:szCs w:val="19"/>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w w:val="99"/>
              </w:rPr>
              <w:t xml:space="preserve">Non-operational charges related to shareholder activist activity </w:t>
            </w:r>
            <w:r>
              <w:rPr>
                <w:rFonts w:ascii="Arial" w:cs="Arial" w:eastAsia="Arial" w:hAnsi="Arial"/>
                <w:sz w:val="9"/>
                <w:szCs w:val="9"/>
                <w:color w:val="auto"/>
                <w:w w:val="99"/>
              </w:rPr>
              <w:t>(f)</w:t>
            </w:r>
          </w:p>
        </w:tc>
      </w:tr>
      <w:tr>
        <w:trPr>
          <w:trHeight w:val="229"/>
        </w:trPr>
        <w:tc>
          <w:tcPr>
            <w:tcW w:w="560" w:type="dxa"/>
            <w:vAlign w:val="bottom"/>
          </w:tcPr>
          <w:p>
            <w:pPr>
              <w:spacing w:after="0"/>
              <w:rPr>
                <w:sz w:val="19"/>
                <w:szCs w:val="19"/>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 xml:space="preserve">COVID-19 charges, net </w:t>
            </w:r>
            <w:r>
              <w:rPr>
                <w:rFonts w:ascii="Arial" w:cs="Arial" w:eastAsia="Arial" w:hAnsi="Arial"/>
                <w:sz w:val="9"/>
                <w:szCs w:val="9"/>
                <w:color w:val="auto"/>
              </w:rPr>
              <w:t>(g)</w:t>
            </w:r>
          </w:p>
        </w:tc>
      </w:tr>
    </w:tbl>
    <w:p>
      <w:pPr>
        <w:spacing w:after="0" w:line="5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Adjusted EBITDA</w:t>
      </w:r>
    </w:p>
    <w:p>
      <w:pPr>
        <w:spacing w:after="0" w:line="13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__________</w:t>
      </w:r>
    </w:p>
    <w:p>
      <w:pPr>
        <w:ind w:left="380" w:hanging="272"/>
        <w:spacing w:after="0" w:line="187" w:lineRule="auto"/>
        <w:tabs>
          <w:tab w:leader="none" w:pos="38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20" w:hanging="212"/>
        <w:spacing w:after="0" w:line="187" w:lineRule="auto"/>
        <w:tabs>
          <w:tab w:leader="none" w:pos="32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Includes cloud computing costs of $7 million within operating expenses.</w:t>
      </w:r>
    </w:p>
    <w:p>
      <w:pPr>
        <w:ind w:left="380" w:hanging="272"/>
        <w:spacing w:after="0" w:line="187" w:lineRule="auto"/>
        <w:tabs>
          <w:tab w:leader="none" w:pos="38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Other related charges include costs associated with the separation of certain of our officers.</w:t>
      </w:r>
    </w:p>
    <w:p>
      <w:pPr>
        <w:ind w:left="380" w:hanging="272"/>
        <w:spacing w:after="0" w:line="187" w:lineRule="auto"/>
        <w:tabs>
          <w:tab w:leader="none" w:pos="38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Primarily comprised of acquisition- and integration-related expenses.</w:t>
      </w:r>
    </w:p>
    <w:p>
      <w:pPr>
        <w:ind w:left="380" w:hanging="272"/>
        <w:spacing w:after="0" w:line="187" w:lineRule="auto"/>
        <w:tabs>
          <w:tab w:leader="none" w:pos="38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Reported within operating expenses in our consolidated results of operations.</w:t>
      </w:r>
    </w:p>
    <w:p>
      <w:pPr>
        <w:ind w:left="360" w:hanging="252"/>
        <w:spacing w:after="0" w:line="187" w:lineRule="auto"/>
        <w:tabs>
          <w:tab w:leader="none" w:pos="3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Reported within selling, general and administrative expenses in our consolidated results of operations.</w:t>
      </w:r>
    </w:p>
    <w:p>
      <w:pPr>
        <w:ind w:left="380" w:hanging="272"/>
        <w:spacing w:after="0" w:line="189" w:lineRule="auto"/>
        <w:tabs>
          <w:tab w:leader="none" w:pos="38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The following table presents the unusual, direct and incremental costs due to the COVID-19 pandemic: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20" w:type="dxa"/>
            <w:vAlign w:val="bottom"/>
          </w:tcPr>
          <w:p>
            <w:pPr>
              <w:spacing w:after="0"/>
              <w:rPr>
                <w:sz w:val="19"/>
                <w:szCs w:val="19"/>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w:t>
            </w:r>
          </w:p>
        </w:tc>
      </w:tr>
      <w:tr>
        <w:trPr>
          <w:trHeight w:val="229"/>
        </w:trPr>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r>
      <w:tr>
        <w:trPr>
          <w:trHeight w:val="223"/>
        </w:trPr>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(956)</w:t>
            </w:r>
          </w:p>
        </w:tc>
      </w:tr>
      <w:tr>
        <w:trPr>
          <w:trHeight w:val="392"/>
        </w:trPr>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459"/>
        </w:trPr>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29"/>
        </w:trPr>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223"/>
        </w:trPr>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62" w:lineRule="exact"/>
        <w:rPr>
          <w:sz w:val="20"/>
          <w:szCs w:val="20"/>
          <w:color w:val="auto"/>
        </w:rPr>
      </w:pPr>
    </w:p>
    <w:p>
      <w:pPr>
        <w:sectPr>
          <w:pgSz w:w="11900" w:h="16838" w:orient="portrait"/>
          <w:cols w:equalWidth="0" w:num="2">
            <w:col w:w="7560" w:space="720"/>
            <w:col w:w="3060"/>
          </w:cols>
          <w:pgMar w:left="2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ind w:right="648"/>
              <w:spacing w:after="0"/>
              <w:rPr>
                <w:sz w:val="20"/>
                <w:szCs w:val="20"/>
                <w:color w:val="auto"/>
              </w:rPr>
            </w:pPr>
            <w:r>
              <w:rPr>
                <w:rFonts w:ascii="Arial" w:cs="Arial" w:eastAsia="Arial" w:hAnsi="Arial"/>
                <w:sz w:val="14"/>
                <w:szCs w:val="14"/>
                <w:b w:val="1"/>
                <w:bCs w:val="1"/>
                <w:color w:val="auto"/>
              </w:rPr>
              <w:t>2020</w:t>
            </w:r>
          </w:p>
        </w:tc>
      </w:tr>
      <w:tr>
        <w:trPr>
          <w:trHeight w:val="184"/>
        </w:trPr>
        <w:tc>
          <w:tcPr>
            <w:tcW w:w="7300" w:type="dxa"/>
            <w:vAlign w:val="bottom"/>
          </w:tcPr>
          <w:p>
            <w:pPr>
              <w:ind w:left="20"/>
              <w:spacing w:after="0"/>
              <w:rPr>
                <w:sz w:val="20"/>
                <w:szCs w:val="20"/>
                <w:color w:val="auto"/>
              </w:rPr>
            </w:pPr>
            <w:r>
              <w:rPr>
                <w:rFonts w:ascii="Arial" w:cs="Arial" w:eastAsia="Arial" w:hAnsi="Arial"/>
                <w:sz w:val="14"/>
                <w:szCs w:val="14"/>
                <w:color w:val="auto"/>
              </w:rPr>
              <w:t>Minimum annual guaranteed rent in excess of concession fees, net</w:t>
            </w: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60</w:t>
            </w:r>
          </w:p>
        </w:tc>
      </w:tr>
      <w:tr>
        <w:trPr>
          <w:trHeight w:val="189"/>
        </w:trPr>
        <w:tc>
          <w:tcPr>
            <w:tcW w:w="7300" w:type="dxa"/>
            <w:vAlign w:val="bottom"/>
          </w:tcPr>
          <w:p>
            <w:pPr>
              <w:ind w:left="20"/>
              <w:spacing w:after="0"/>
              <w:rPr>
                <w:sz w:val="20"/>
                <w:szCs w:val="20"/>
                <w:color w:val="auto"/>
              </w:rPr>
            </w:pPr>
            <w:r>
              <w:rPr>
                <w:rFonts w:ascii="Arial" w:cs="Arial" w:eastAsia="Arial" w:hAnsi="Arial"/>
                <w:sz w:val="14"/>
                <w:szCs w:val="14"/>
                <w:color w:val="auto"/>
              </w:rPr>
              <w:t>Vehicles damaged in overflow parking lots, net of insurance proceeds</w:t>
            </w: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14</w:t>
            </w:r>
          </w:p>
        </w:tc>
      </w:tr>
      <w:tr>
        <w:trPr>
          <w:trHeight w:val="189"/>
        </w:trPr>
        <w:tc>
          <w:tcPr>
            <w:tcW w:w="7300" w:type="dxa"/>
            <w:vAlign w:val="bottom"/>
          </w:tcPr>
          <w:p>
            <w:pPr>
              <w:ind w:left="360"/>
              <w:spacing w:after="0"/>
              <w:rPr>
                <w:sz w:val="20"/>
                <w:szCs w:val="20"/>
                <w:color w:val="auto"/>
              </w:rPr>
            </w:pPr>
            <w:r>
              <w:rPr>
                <w:rFonts w:ascii="Arial" w:cs="Arial" w:eastAsia="Arial" w:hAnsi="Arial"/>
                <w:sz w:val="14"/>
                <w:szCs w:val="14"/>
                <w:color w:val="auto"/>
              </w:rPr>
              <w:t>Incremental cleaning supplies to sanitize vehicles and facilities, and over flow parking for idle vehicles</w:t>
            </w: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48</w:t>
            </w:r>
          </w:p>
        </w:tc>
      </w:tr>
      <w:tr>
        <w:trPr>
          <w:trHeight w:val="188"/>
        </w:trPr>
        <w:tc>
          <w:tcPr>
            <w:tcW w:w="7300" w:type="dxa"/>
            <w:vAlign w:val="bottom"/>
          </w:tcPr>
          <w:p>
            <w:pPr>
              <w:ind w:left="20"/>
              <w:spacing w:after="0"/>
              <w:rPr>
                <w:sz w:val="20"/>
                <w:szCs w:val="20"/>
                <w:color w:val="auto"/>
              </w:rPr>
            </w:pPr>
            <w:r>
              <w:rPr>
                <w:rFonts w:ascii="Arial" w:cs="Arial" w:eastAsia="Arial" w:hAnsi="Arial"/>
                <w:sz w:val="14"/>
                <w:szCs w:val="14"/>
                <w:color w:val="auto"/>
              </w:rPr>
              <w:t>Other charges</w:t>
            </w:r>
          </w:p>
        </w:tc>
        <w:tc>
          <w:tcPr>
            <w:tcW w:w="7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184"/>
        </w:trPr>
        <w:tc>
          <w:tcPr>
            <w:tcW w:w="7300" w:type="dxa"/>
            <w:vAlign w:val="bottom"/>
          </w:tcPr>
          <w:p>
            <w:pPr>
              <w:spacing w:after="0"/>
              <w:rPr>
                <w:sz w:val="20"/>
                <w:szCs w:val="20"/>
                <w:color w:val="auto"/>
              </w:rPr>
            </w:pPr>
            <w:r>
              <w:rPr>
                <w:rFonts w:ascii="Arial" w:cs="Arial" w:eastAsia="Arial" w:hAnsi="Arial"/>
                <w:sz w:val="14"/>
                <w:szCs w:val="14"/>
                <w:color w:val="auto"/>
              </w:rPr>
              <w:t>erating expenses</w:t>
            </w: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116</w:t>
            </w:r>
          </w:p>
        </w:tc>
      </w:tr>
      <w:tr>
        <w:trPr>
          <w:trHeight w:val="189"/>
        </w:trPr>
        <w:tc>
          <w:tcPr>
            <w:tcW w:w="7300" w:type="dxa"/>
            <w:vAlign w:val="bottom"/>
          </w:tcPr>
          <w:p>
            <w:pPr>
              <w:spacing w:after="0"/>
              <w:rPr>
                <w:sz w:val="20"/>
                <w:szCs w:val="20"/>
                <w:color w:val="auto"/>
              </w:rPr>
            </w:pPr>
            <w:r>
              <w:rPr>
                <w:rFonts w:ascii="Arial" w:cs="Arial" w:eastAsia="Arial" w:hAnsi="Arial"/>
                <w:sz w:val="14"/>
                <w:szCs w:val="14"/>
                <w:color w:val="auto"/>
              </w:rPr>
              <w:t>hicle depreciation and lease charges</w:t>
            </w: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w:t>
            </w:r>
          </w:p>
        </w:tc>
      </w:tr>
      <w:tr>
        <w:trPr>
          <w:trHeight w:val="188"/>
        </w:trPr>
        <w:tc>
          <w:tcPr>
            <w:tcW w:w="7300" w:type="dxa"/>
            <w:vAlign w:val="bottom"/>
          </w:tcPr>
          <w:p>
            <w:pPr>
              <w:spacing w:after="0"/>
              <w:rPr>
                <w:sz w:val="20"/>
                <w:szCs w:val="20"/>
                <w:color w:val="auto"/>
              </w:rPr>
            </w:pPr>
            <w:r>
              <w:rPr>
                <w:rFonts w:ascii="Arial" w:cs="Arial" w:eastAsia="Arial" w:hAnsi="Arial"/>
                <w:sz w:val="14"/>
                <w:szCs w:val="14"/>
                <w:color w:val="auto"/>
              </w:rPr>
              <w:t>ling, general and administrative expenses</w:t>
            </w:r>
          </w:p>
        </w:tc>
        <w:tc>
          <w:tcPr>
            <w:tcW w:w="7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r>
      <w:tr>
        <w:trPr>
          <w:trHeight w:val="183"/>
        </w:trPr>
        <w:tc>
          <w:tcPr>
            <w:tcW w:w="7300" w:type="dxa"/>
            <w:vAlign w:val="bottom"/>
          </w:tcPr>
          <w:p>
            <w:pPr>
              <w:ind w:left="20"/>
              <w:spacing w:after="0"/>
              <w:rPr>
                <w:sz w:val="20"/>
                <w:szCs w:val="20"/>
                <w:color w:val="auto"/>
              </w:rPr>
            </w:pPr>
            <w:r>
              <w:rPr>
                <w:rFonts w:ascii="Arial" w:cs="Arial" w:eastAsia="Arial" w:hAnsi="Arial"/>
                <w:sz w:val="14"/>
                <w:szCs w:val="14"/>
                <w:color w:val="auto"/>
              </w:rPr>
              <w:t>VID-19 charges, net</w:t>
            </w: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w:t>
            </w:r>
          </w:p>
        </w:tc>
      </w:tr>
      <w:tr>
        <w:trPr>
          <w:trHeight w:val="20"/>
        </w:trPr>
        <w:tc>
          <w:tcPr>
            <w:tcW w:w="7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239"/>
        </w:trPr>
        <w:tc>
          <w:tcPr>
            <w:tcW w:w="710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6"/>
        </w:trPr>
        <w:tc>
          <w:tcPr>
            <w:tcW w:w="7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7,557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3,965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91 %</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n/m</w:t>
            </w:r>
          </w:p>
        </w:tc>
      </w:tr>
    </w:tbl>
    <w:p>
      <w:pPr>
        <w:spacing w:after="0" w:line="9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100"/>
        <w:spacing w:after="0"/>
        <w:tabs>
          <w:tab w:leader="none" w:pos="480" w:val="left"/>
        </w:tabs>
        <w:rPr>
          <w:sz w:val="20"/>
          <w:szCs w:val="20"/>
          <w:color w:val="auto"/>
        </w:rPr>
      </w:pPr>
      <w:r>
        <w:rPr>
          <w:rFonts w:ascii="Arial" w:cs="Arial" w:eastAsia="Arial" w:hAnsi="Arial"/>
          <w:sz w:val="14"/>
          <w:szCs w:val="14"/>
          <w:color w:val="auto"/>
        </w:rPr>
        <w:t>n/m</w:t>
        <w:tab/>
        <w:t>Not meaningful.</w:t>
      </w:r>
    </w:p>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40"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Revenues increased 91% for the year ended December 31, 2021 compared to 2020, primarily due to a 39% increase in volume, a 37% increase in revenue per day, excluding exchange rate effects, and a $14 million benefit from currency exchange rate movements.</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expenses decreased to 43.7% of revenue for the year ended December 31, 2021 compared to 58.9% 2020, primarily due to increased revenues and cost discipline as volume returned. Vehicle depreciation and lease charges decreased to 11.3% of revenue for the year ended December 31, 2021 compared to 24.4% during 2020, primarily due to increased revenues and a 16% decrease in per-unit fleet costs, excluding exchange rate effects, driven by the continued favorable trend in residual values. Selling, general and administrative costs decreased to 10.3% of revenue for the year ended December 31, 2021 compared to 10.5% in 2020. Vehicle interest costs decreased to 3.4% of revenue for the year ended December 31, 2021 compared to 6.9% in 2020, primarily due to increased revenues.</w:t>
      </w:r>
    </w:p>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Adjusted EBITDA was $2.3 billion higher for the year ended December 31, 2021 compared to similar period in 2020, primarily due to increased revenues, decreased per-unit fleet costs and cost discipline as volume returned.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10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6"/>
        </w:trPr>
        <w:tc>
          <w:tcPr>
            <w:tcW w:w="7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1,756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158 %</w:t>
            </w:r>
          </w:p>
        </w:tc>
      </w:tr>
    </w:tbl>
    <w:p>
      <w:pPr>
        <w:spacing w:after="0" w:line="32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Revenues increased 22% for the year ended December 31, 2021, compared to 2020, primarily due to a 16% increase in revenue per day, excluding exchange rate effects, a 2% increase in volume as travel restrictions continued across certain International countries throughout the first half of the year and a $66 million benefit from currency exchange rate movements.</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expenses decreased to 53.5% of revenue for the year ended December 31, 2021 compared to 68.5% in 2020, primarily due to increased revenues and cost discipline as volume recovers. Vehicle depreciation and lease charges decreased to 19.7% of revenue for the year ended December 31, 2021 compared to 27.9% in 2020, primarily due to increased revenues and a 6% decrease in per-unit fleet costs, excluding exchange rate effects, driven by the continued favorable trend in residual values. Selling, general and administrative costs increased to 17.1% of revenue for the year ended December 31, 2021 compared to 16.5% in 2020, primarily due to prior year furloughed employees and higher current year performance accruals, partially offset by cost discipline as volume returned. Vehicle interest costs, at 3.1% of revenue, remained unchanged for the year ended December 31, 2021 compared to 2020.</w:t>
      </w:r>
    </w:p>
    <w:p>
      <w:pPr>
        <w:spacing w:after="0" w:line="23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Adjusted EBITDA was $320 million higher for the year ended December 31, 2021 compared to similar period in 2020, primarily due to increased revenues, while maintaining cost discipline and decreased per-unit fleet costs.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20" w:type="dxa"/>
            <w:vAlign w:val="bottom"/>
          </w:tcPr>
          <w:p>
            <w:pPr>
              <w:spacing w:after="0"/>
              <w:rPr>
                <w:sz w:val="20"/>
                <w:szCs w:val="20"/>
                <w:color w:val="auto"/>
              </w:rPr>
            </w:pPr>
            <w:r>
              <w:rPr>
                <w:rFonts w:ascii="Arial" w:cs="Arial" w:eastAsia="Arial" w:hAnsi="Arial"/>
                <w:sz w:val="18"/>
                <w:szCs w:val="18"/>
                <w:b w:val="1"/>
                <w:bCs w:val="1"/>
                <w:i w:val="1"/>
                <w:iCs w:val="1"/>
                <w:color w:val="auto"/>
              </w:rPr>
              <w:t>Corporate and Other</w:t>
            </w: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6"/>
        </w:trPr>
        <w:tc>
          <w:tcPr>
            <w:tcW w:w="72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2"/>
                <w:szCs w:val="22"/>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color w:val="auto"/>
              </w:rPr>
              <w:t>Revenues</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780" w:type="dxa"/>
            <w:vAlign w:val="bottom"/>
            <w:gridSpan w:val="3"/>
          </w:tcPr>
          <w:p>
            <w:pPr>
              <w:ind w:left="120"/>
              <w:spacing w:after="0"/>
              <w:rPr>
                <w:sz w:val="20"/>
                <w:szCs w:val="20"/>
                <w:color w:val="auto"/>
              </w:rPr>
            </w:pPr>
            <w:r>
              <w:rPr>
                <w:rFonts w:ascii="Arial" w:cs="Arial" w:eastAsia="Arial" w:hAnsi="Arial"/>
                <w:sz w:val="18"/>
                <w:szCs w:val="18"/>
                <w:color w:val="auto"/>
              </w:rPr>
              <w:t>—  $</w:t>
            </w:r>
          </w:p>
        </w:tc>
        <w:tc>
          <w:tcPr>
            <w:tcW w:w="1100" w:type="dxa"/>
            <w:vAlign w:val="bottom"/>
            <w:gridSpan w:val="2"/>
          </w:tcPr>
          <w:p>
            <w:pPr>
              <w:jc w:val="center"/>
              <w:ind w:left="430"/>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940"/>
              <w:spacing w:after="0"/>
              <w:rPr>
                <w:sz w:val="20"/>
                <w:szCs w:val="20"/>
                <w:color w:val="auto"/>
              </w:rPr>
            </w:pPr>
            <w:r>
              <w:rPr>
                <w:rFonts w:ascii="Arial" w:cs="Arial" w:eastAsia="Arial" w:hAnsi="Arial"/>
                <w:sz w:val="18"/>
                <w:szCs w:val="18"/>
                <w:color w:val="auto"/>
                <w:w w:val="99"/>
              </w:rPr>
              <w:t>n/m</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8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260" w:type="dxa"/>
            <w:vAlign w:val="bottom"/>
          </w:tcPr>
          <w:p>
            <w:pPr>
              <w:ind w:left="940"/>
              <w:spacing w:after="0"/>
              <w:rPr>
                <w:sz w:val="20"/>
                <w:szCs w:val="20"/>
                <w:color w:val="auto"/>
              </w:rPr>
            </w:pPr>
            <w:r>
              <w:rPr>
                <w:rFonts w:ascii="Arial" w:cs="Arial" w:eastAsia="Arial" w:hAnsi="Arial"/>
                <w:sz w:val="18"/>
                <w:szCs w:val="18"/>
                <w:color w:val="auto"/>
                <w:w w:val="99"/>
              </w:rPr>
              <w:t>n/m</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n/m</w:t>
        <w:tab/>
        <w:t>Not meaningful.</w:t>
      </w:r>
    </w:p>
    <w:p>
      <w:pPr>
        <w:spacing w:after="0" w:line="23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Adjusted EBITDA decreased $26 million during 2021, compared to 2020, primarily due to higher selling, general and administrative expenses related to higher current year performance accruals, which are not attributable to a particular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40575"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3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FINANCIAL CONDITION</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77"/>
        </w:trPr>
        <w:tc>
          <w:tcPr>
            <w:tcW w:w="2040" w:type="dxa"/>
            <w:vAlign w:val="bottom"/>
            <w:tcBorders>
              <w:top w:val="single" w:sz="8" w:color="auto"/>
            </w:tcBorders>
          </w:tcPr>
          <w:p>
            <w:pPr>
              <w:spacing w:after="0"/>
              <w:rPr>
                <w:sz w:val="24"/>
                <w:szCs w:val="24"/>
                <w:color w:val="auto"/>
              </w:rPr>
            </w:pPr>
          </w:p>
        </w:tc>
        <w:tc>
          <w:tcPr>
            <w:tcW w:w="4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ind w:left="340"/>
              <w:spacing w:after="0"/>
              <w:rPr>
                <w:sz w:val="20"/>
                <w:szCs w:val="20"/>
                <w:color w:val="auto"/>
              </w:rPr>
            </w:pPr>
            <w:r>
              <w:rPr>
                <w:rFonts w:ascii="Arial" w:cs="Arial" w:eastAsia="Arial" w:hAnsi="Arial"/>
                <w:sz w:val="18"/>
                <w:szCs w:val="18"/>
                <w:b w:val="1"/>
                <w:bCs w:val="1"/>
                <w:color w:val="auto"/>
              </w:rPr>
              <w:t>As of December 31,</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3"/>
        </w:trPr>
        <w:tc>
          <w:tcPr>
            <w:tcW w:w="204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Total assets exclusive of assets under vehicle programs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8,581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8,365</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29"/>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Assets under vehicle programs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4,846</w:t>
            </w:r>
          </w:p>
        </w:tc>
      </w:tr>
      <w:tr>
        <w:trPr>
          <w:trHeight w:val="229"/>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Liabilities under vehicle programs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5,236</w:t>
            </w:r>
          </w:p>
        </w:tc>
      </w:tr>
      <w:tr>
        <w:trPr>
          <w:trHeight w:val="229"/>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200" w:lineRule="exact"/>
        <w:rPr>
          <w:sz w:val="20"/>
          <w:szCs w:val="20"/>
          <w:color w:val="auto"/>
        </w:rPr>
      </w:pP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increase in assets and liabilities under vehicle programs compared to 2020 is primarily related to the increase of our vehicle rental fleet as volume returned. The decrease in stockholders’ equity compared to 2020 is primarily due to our share repurchases, partially offset by comprehensive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March 2021, we issued $600 million of 5.375% Senior Notes due 2029, at par. We used the proceeds, together with cash on hand, to redeem all of our outstanding 10.500% Senior Secured Notes due 2025. In March 2021, we issued $500 million of 4.750% Senior Notes due 2028. We used the proceeds, together with cash on hand, to redeem all of our outstanding 6.375% Senior Notes due 2024 and $ 140 million in aggregate principal amount of our 5.250% Senior Notes due in 2025. In July, we amended the credit agreement governing our senior credit facilities to remove the restrictions imposed in April 2020, to increase the revolving credit facility to $1.95 billion and to extend the maturity of the facility to 2026. In September 2021, we redeemed $235 million remaining principal amount of 5.250% Senior Notes due March 2025 with cash on hand. We have no meaningful corporate debt maturities until 2024.</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2021, our Avis Budget Rental Car Funding subsidiary issued approximately $1.8 billion in asset-backed notes with an expected final payment date ranging from March 2024 to February 2027, and a weighted average interest rate of 2.08%. The proceeds from these borrowings were used to fund the repayment of maturing vehicle-backed debt and the acquisition of rental cars in the United States.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2021, we amended our European rental fleet securitization program to extend the maturity to September 2024.</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62626"/>
        </w:rPr>
        <w:t>Our Board of Directors has authorized the repurchase of up to $4.1 billion of our common stock under a plan originally approved in 2013 and subsequently expanded, most recently in November 2021</w:t>
      </w:r>
      <w:r>
        <w:rPr>
          <w:rFonts w:ascii="Arial" w:cs="Arial" w:eastAsia="Arial" w:hAnsi="Arial"/>
          <w:sz w:val="18"/>
          <w:szCs w:val="18"/>
          <w:color w:val="000000"/>
        </w:rPr>
        <w:t>.</w:t>
      </w:r>
      <w:r>
        <w:rPr>
          <w:rFonts w:ascii="Arial" w:cs="Arial" w:eastAsia="Arial" w:hAnsi="Arial"/>
          <w:sz w:val="18"/>
          <w:szCs w:val="18"/>
          <w:color w:val="262626"/>
        </w:rPr>
        <w:t xml:space="preserve"> Our stock repurchases may occur through open market purchases, privately negotiated transactions or trading plans pursuant to Rule 10b5-1 of the Securities Exchange Act of 1934, as amended. The amount and timing of specific repurchases are subject to market conditions, applicable legal requirements, restricted payment capacity under our debt instruments and other factors. The repurchase program may be suspended, modified or discontinued at any time without prior notice. The repurchase program has no set expiration or termination date. For the year </w:t>
      </w:r>
      <w:r>
        <w:rPr>
          <w:rFonts w:ascii="Arial" w:cs="Arial" w:eastAsia="Arial" w:hAnsi="Arial"/>
          <w:sz w:val="18"/>
          <w:szCs w:val="18"/>
          <w:color w:val="000000"/>
        </w:rPr>
        <w:t>ended December 31, 2021, we repurchased approximately 14.3</w:t>
      </w:r>
      <w:r>
        <w:rPr>
          <w:rFonts w:ascii="Arial" w:cs="Arial" w:eastAsia="Arial" w:hAnsi="Arial"/>
          <w:sz w:val="18"/>
          <w:szCs w:val="18"/>
          <w:color w:val="262626"/>
        </w:rPr>
        <w:t xml:space="preserve"> </w:t>
      </w:r>
      <w:r>
        <w:rPr>
          <w:rFonts w:ascii="Arial" w:cs="Arial" w:eastAsia="Arial" w:hAnsi="Arial"/>
          <w:sz w:val="18"/>
          <w:szCs w:val="18"/>
          <w:color w:val="000000"/>
        </w:rPr>
        <w:t>million shares of common stock at a cost of approximately $1.4 billion under the program. As of December 31, 2021, approximately $959 million of authorization remained available to repurchase common stock under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6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78"/>
        </w:trPr>
        <w:tc>
          <w:tcPr>
            <w:tcW w:w="6660" w:type="dxa"/>
            <w:vAlign w:val="bottom"/>
          </w:tcPr>
          <w:p>
            <w:pPr>
              <w:spacing w:after="0"/>
              <w:rPr>
                <w:sz w:val="20"/>
                <w:szCs w:val="20"/>
                <w:color w:val="auto"/>
              </w:rPr>
            </w:pPr>
            <w:r>
              <w:rPr>
                <w:rFonts w:ascii="Arial" w:cs="Arial" w:eastAsia="Arial" w:hAnsi="Arial"/>
                <w:sz w:val="18"/>
                <w:szCs w:val="18"/>
                <w:b w:val="1"/>
                <w:bCs w:val="1"/>
                <w:i w:val="1"/>
                <w:iCs w:val="1"/>
                <w:color w:val="auto"/>
              </w:rPr>
              <w:t>Year Ended December 31, 2021 vs. Year Ended December 31, 2020</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8"/>
        </w:trPr>
        <w:tc>
          <w:tcPr>
            <w:tcW w:w="6660" w:type="dxa"/>
            <w:vAlign w:val="bottom"/>
          </w:tcPr>
          <w:p>
            <w:pPr>
              <w:spacing w:after="0"/>
              <w:rPr>
                <w:sz w:val="20"/>
                <w:szCs w:val="20"/>
                <w:color w:val="auto"/>
              </w:rPr>
            </w:pPr>
            <w:r>
              <w:rPr>
                <w:rFonts w:ascii="Arial" w:cs="Arial" w:eastAsia="Arial" w:hAnsi="Arial"/>
                <w:sz w:val="18"/>
                <w:szCs w:val="18"/>
                <w:color w:val="auto"/>
              </w:rPr>
              <w:t>The following table summarizes our cash flows: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7"/>
        </w:trPr>
        <w:tc>
          <w:tcPr>
            <w:tcW w:w="6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40" w:type="dxa"/>
            <w:vAlign w:val="bottom"/>
            <w:gridSpan w:val="5"/>
          </w:tcPr>
          <w:p>
            <w:pPr>
              <w:ind w:left="14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3"/>
        </w:trPr>
        <w:tc>
          <w:tcPr>
            <w:tcW w:w="66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10"/>
        </w:trPr>
        <w:tc>
          <w:tcPr>
            <w:tcW w:w="6660" w:type="dxa"/>
            <w:vAlign w:val="bottom"/>
          </w:tcPr>
          <w:p>
            <w:pPr>
              <w:ind w:left="20"/>
              <w:spacing w:after="0"/>
              <w:rPr>
                <w:sz w:val="20"/>
                <w:szCs w:val="20"/>
                <w:color w:val="auto"/>
              </w:rPr>
            </w:pPr>
            <w:r>
              <w:rPr>
                <w:rFonts w:ascii="Arial" w:cs="Arial" w:eastAsia="Arial" w:hAnsi="Arial"/>
                <w:sz w:val="18"/>
                <w:szCs w:val="18"/>
                <w:color w:val="auto"/>
              </w:rPr>
              <w:t>Cash provided by (used in):</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3,491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2,800</w:t>
            </w: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(9,483)</w:t>
            </w: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6,732</w:t>
            </w:r>
          </w:p>
        </w:tc>
      </w:tr>
      <w:tr>
        <w:trPr>
          <w:trHeight w:val="188"/>
        </w:trPr>
        <w:tc>
          <w:tcPr>
            <w:tcW w:w="6660" w:type="dxa"/>
            <w:vAlign w:val="bottom"/>
          </w:tcPr>
          <w:p>
            <w:pPr>
              <w:ind w:left="20"/>
              <w:spacing w:after="0" w:line="189" w:lineRule="exact"/>
              <w:rPr>
                <w:sz w:val="20"/>
                <w:szCs w:val="20"/>
                <w:color w:val="auto"/>
              </w:rPr>
            </w:pPr>
            <w:r>
              <w:rPr>
                <w:rFonts w:ascii="Arial" w:cs="Arial" w:eastAsia="Arial" w:hAnsi="Arial"/>
                <w:sz w:val="18"/>
                <w:szCs w:val="18"/>
                <w:color w:val="auto"/>
              </w:rPr>
              <w:t>Effect of changes in exchange rates on cash and cash equivalents, program and</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7"/>
        </w:trPr>
        <w:tc>
          <w:tcPr>
            <w:tcW w:w="666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Net change in cash and cash equivalents, program and restricted cash</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Cash and cash equivalents, program and restricted cash, end of period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r>
      <w:tr>
        <w:trPr>
          <w:trHeight w:val="21"/>
        </w:trPr>
        <w:tc>
          <w:tcPr>
            <w:tcW w:w="6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cash provided by operating activities during 2021 compared with 2020 is primarily due to the increase in our net income.</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increase in cash used in investing activities during 2021 compared with 2020 is primarily due to an increase in investment in vehicles and a decrease in proceeds received on the disposition vehicles.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increase in cash provided by financing activities during 2021 compared with 2020 is primarily due to a decrease in payments on vehicle borrowings.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that our non-vehicle property and equipment additions will be approximately $200 million in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December 31, 2021, we had approximately $15.4 billion of indebtedness (including corporate indebtedness of approximately $4.0 billion and debt under vehicle programs of approximately $ 11.4 billion). For detailed information regarding our debt and borrowing arrangements, see Notes 1, 13 and 14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40575"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6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highlight w:val="lightGray"/>
        </w:rPr>
        <w:t>LIQUIDITY RISK</w:t>
      </w:r>
    </w:p>
    <w:p>
      <w:pPr>
        <w:spacing w:after="0" w:line="2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primary liquidity needs include the procurement of rental vehicles to be used in our operations, servicing of corporate and vehicle-related debt and the payment of operating expenses. The present intention of management is to reinvest the undistributed earnings of our foreign subsidiaries indefinitely into our foreign operations. Our primary sources of funding are operating revenue, cash received upon the sale of vehicles, borrowings under our vehicle-backed borrowing arrangements and our senior revolving credit facility, and other financing activities.</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2020, our liquidity position was impacted by COVID-19 as a result of significant volume declines. However, during 2021, travel advisories and restrictions were eased, which led to a significant increase in global travel demand, resulting in increased demand for rental vehicles and improved pricing across the industry. However, the full extent of the ongoing impact of this virus on our long-term operational performance and liquidity will depend on future developments, including those outside of our control, such as the spread of new variants of the virus, which may be resistant to currently approved vaccines and the implementation of new or continued travel restrictions.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liquidity could be negatively affected by any financial market disruptions or the absence of a recovery or worsening of the U.S. and worldwide economies, which may result in unfavorable conditions in the mobility industry, in the asset-backed financing market and in the credit markets generally. We believe these factors have affected and could further affect the debt ratings assigned to us by credit rating agencies and the cost of our borrowings. Additionally, a worsening or prolonged downturn in the worldwide economy or a disruption in the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credit markets could further impact our liquidity due to (i) decreased demand and pricing for vehicles in the used-vehicle market,</w:t>
      </w:r>
    </w:p>
    <w:p>
      <w:pPr>
        <w:spacing w:after="0" w:line="9" w:lineRule="exact"/>
        <w:rPr>
          <w:sz w:val="20"/>
          <w:szCs w:val="20"/>
          <w:color w:val="auto"/>
        </w:rPr>
      </w:pPr>
    </w:p>
    <w:p>
      <w:pPr>
        <w:jc w:val="both"/>
        <w:ind w:firstLine="8"/>
        <w:spacing w:after="0" w:line="254" w:lineRule="auto"/>
        <w:tabs>
          <w:tab w:leader="none" w:pos="263"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costs associated with, and/or reduced capacity or increased collateral needs under, our financings, (iii) the adverse impact of vehicle manufacturers being unable or unwilling to honor their obligations to repurchase or guarantee the depreciation on the related program vehicles and (iv) disruption in our ability to obtain financing due to negative credit events specific to us or affecting the overall debt market (see Item 1A. Risk Factors for further discussion).</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2021, we had access to $0.5 billion of available cash and cash equivalents and available borrowings under our revolving credit facility of approximately $0.2 billion, providing us with access to an approximate $0.7 billion of total liquidity. See Note 1 to our Consolidated Financial Statements for detailed information on liquidity and management’s plans.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consolidated first lien leverage ratio requirement and other covenants associated with our senior credit facilities and other borrowings. As of December 31, 2021, we were in compliance with the financial covenants governing our indebtedness. For additional information regarding our liquidity risks, see Part I, Item 1A, “Risk Factors”.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24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For contractual obligations for material cash requirements from known contractual and other obligations as part of a liquidity and capital resources discussion, see Notes 3, 13, 14 and 15 to our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presenting our financial statements in conformity with GAAP, we are required to make estimates and assumptions that affect the amounts reported therein. Several of the estimates and assumptions we are required to make relate to matters that are inherently uncertain as they pertain to future events and/or events that are outside of our control. If there is a significant unfavorable change to current conditions, it could result in a material adverse impact to our consolidated results of operations, financial position and liquidity. We believe that the estimates and assumptions we used when preparing our financial statements were the most appropriate at that time. Presented below are those accounting policies that we believe require subjective and complex judgments that could potentially affect reported results. However, our businesses operate in environments where we are paid a fee for a service performed, and therefore the results of the majority of our recurring operations are recorded in our financial statements using accounting policies that are not particularly subjective, nor complex.</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Goodwill and Other Indefinite-lived Intangible Assets. </w:t>
      </w:r>
      <w:r>
        <w:rPr>
          <w:rFonts w:ascii="Arial" w:cs="Arial" w:eastAsia="Arial" w:hAnsi="Arial"/>
          <w:sz w:val="18"/>
          <w:szCs w:val="18"/>
          <w:color w:val="auto"/>
        </w:rPr>
        <w:t>We have reviewed the carrying value of our goodwill and other indefinite-lived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for impairment. In performing this review, we are required to make an assessment of fair value for our goodwill and other indefinite-lived intangible assets. When determining fair value, we utilize various assumptions, including the fair market trading price of our common stock and management’s projections of future cash flows, which include forecast of future revenue and Adjusted EBITDA. When appropriate, comparative market multiples and other factors are used to corroborate the discounted cash flow results. A change in these underlying assumptions will cause a change in the results of the tests and, as such, could cause the fair value to be less than the respective carrying amount. In such event, we would then be required to record a charge, which would impact earnings. We review the carrying value of goodwill and other indefinite-lived intangible assets for impairment annually or more frequently if circumstances indicate that an impairment may have occurred.</w:t>
      </w:r>
    </w:p>
    <w:p>
      <w:pPr>
        <w:spacing w:after="0" w:line="15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goodwill and other indefinite-lived intangible assets are allocated among our reporting units. During 2021, 2020 and 2019, there was no impairment of goodwill and other intangible assets, see Note 7 to our Consolidated Financial Statements. For our Europe, Middle East and Africa (“EMEA”) reporting unit, the percentage by which the estimated fair value exceeded the carrying value as of October 1, 2021 was 10% and the amount of goodwill allocated to our reporting unit was $488 million. We will continue to closely monitor actual results versus our expectations as well as any significant changes in events or conditions, including the impact of COVID-19 on our business and the travel industry, and the resulting impact to our assumptions about future estimated cash flows, the discount rate and market multiples. In the future, failure to achieve our business plans, a deterioration of the general economic conditions of the countries in which we operate, or significant changes in the assumptions and estimates that are used in our impairment testing for goodwill and indefinite-lived intangible assets (such as the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discount rate) could result in significantly different estimates of fair value that could trigger an impairment of the goodwill of our reporting units or intangible assets.</w:t>
      </w:r>
    </w:p>
    <w:p>
      <w:pPr>
        <w:spacing w:after="0" w:line="193"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i w:val="1"/>
          <w:iCs w:val="1"/>
          <w:color w:val="auto"/>
        </w:rPr>
        <w:t xml:space="preserve">Vehicles. </w:t>
      </w:r>
      <w:r>
        <w:rPr>
          <w:rFonts w:ascii="Arial" w:cs="Arial" w:eastAsia="Arial" w:hAnsi="Arial"/>
          <w:sz w:val="18"/>
          <w:szCs w:val="18"/>
          <w:color w:val="auto"/>
        </w:rPr>
        <w:t>We present vehicles at cost, net of accumulated depreciation, on the Consolidated Balance Sheets. We record the initial cost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net of incentives and allowances from manufacturers. We acquire our rental vehicles either through repurchase and guaranteed depreciation programs with certain automobile manufacturers or outside of such programs. For rental vehicles purchased under such programs, we depreciate the vehicles such that the net book value on the date of sale or return to the manufacturers is intended to equal the contractual guaranteed residual values. For risk vehicles acquired outside of manufacturer repurchase and guaranteed depreciation programs, we depreciate based on the vehicles’ estimated residual market values at their expected dates of disposition. The estimation of residual values requires us to make assumptions regarding the age and mileage of the vehicle at the time of disposal, as well as expected used vehicle market conditions.We regularly evaluate estimated residual values and adjusts depreciation rates as appropriate. Differences between actual residual values and those estimated result in a gain or loss on disposal and are recorded as part of vehicle depreciation and lease charges, net, at the time of sale. See Note 2 to our Consolidated Financial Statements. For a discussion of risk factors and assumptions relative to our vehicle valuations, refer to Item 1A “Risk Factors”, included under Part 1 - “Business Section” of this Annual Report on Form 10-K.</w:t>
      </w:r>
    </w:p>
    <w:p>
      <w:pPr>
        <w:spacing w:after="0" w:line="13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account for income taxes under the asset and liability method, which requires the recognition of deferred tax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for the expected future tax consequences of events that have been reflected in the financial statements. Under this method, deferred tax assets and liabilities are determined based on the differences between the financial statement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record net deferred tax assets to the extent we believe these assets will more likely than not be realized. In making such determination, we consider all available positive and negative evidence, including scheduled reversals of deferred tax liabilities, projected future taxable income, tax planning strategies and recent results of operations. In the event we were to determine that we would be able to realize deferred income tax assets in the future in excess of their net recorded amount, we would make an adjustment to the valuation allowance which would reduce the provision for income taxes. Currently we do not record valuation allowances on the majority of our tax loss carryforwards as there are adequate deferred tax liabilities that could be realized within the carryforward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Notes 2 and 9 to our Consolidated Financial Statements for more information regarding income taxes.</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Public Liability, Property Damage and Other Insurance Liabilities. </w:t>
      </w:r>
      <w:r>
        <w:rPr>
          <w:rFonts w:ascii="Arial" w:cs="Arial" w:eastAsia="Arial" w:hAnsi="Arial"/>
          <w:sz w:val="18"/>
          <w:szCs w:val="18"/>
          <w:color w:val="auto"/>
        </w:rPr>
        <w:t>Insurance liabilities on our Consolidated Balance Sheets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liability insurance, personal effects protection insurance, public liability, property damage and personal accident insurance claims for which we are self-insured. We estimate the required liability of such claims on an undiscounted basis utilizing an actuarial method that is based upon various assumptions which include, but are not limited to, our historical loss experience and projected loss development factors. The required liability is also subject to adjustment in the future based upon changes in claims experience, including changes in the number of incidents for which we are ultimately liable and changes in the cost per incident. See Note 2 to our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a description of our adoption of new accounting pronouncements and the impact thereof on our business, see Note 2 to our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a description of recently issued accounting pronouncements and the impact thereof on our business, see Note 2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40575" cy="162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23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3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manage our exposure to market risks through our regular operating and financing activities and, when deemed appropriate, through the use of derivative financial instruments, particularly currency forward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contracts to manage and reduce currency exchange rate risk; swap contracts, futures and options contracts, to manage and reduce the interest rate risk related to our debt; and derivative commodity instruments to manage and reduce the risk of changing unleaded gasoline prices.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exclusively an end user of these instruments. We do not engage in trading, market-making or other speculative activities in the derivatives markets. We manage our exposure to counterparty credit risk related to our use of derivatives through specific minimum credit standards, diversification of counterparties, and procedures to monitor concentrations of credit risk. Our counterparties are substantial investment and commercial banks with significant experience providing such derivative instruments.</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total market risk is influenced by a wide variety of factors including the volatility present within the markets and the liquidity of the markets. There are certain limitations inherent in the sensitivity analyses discussed below. These “shock tests” are constrained by several factors, including the necessity to conduct the analysis based on a single point in time and the inability to include the complex market reactions that normally would arise from the market shifts modeled. For additional information regarding our borrowings and financial instruments, see Notes 13, 14 and 20 to our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 Management</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exposure to currency exchange rate fluctuations worldwide and particularly with respect to the Australian, Canadian and New Zealand dollars, the euro and British pound sterling. We use currency forward contracts and currency swap contracts to manage exchange rate risk that arises from certain intercompany transactions and from non-functional currency denominated assets and liabilities and earnings denominated in non-U.S. dollar currencies. Our currency forward contracts are often not designated as hedges and therefore changes in the fair value of these derivatives are recognized in earnings as they occur. We anticipate that such currency exchange rate risk will remain a market risk exposure for the foreseeable future.</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assess our market risk based on changes in currency exchange rates utilizing a sensitivity analysis. The sensitivity analysis measures the potential impact on earnings, cash flows and fair values based on a hypothetical 10% appreciation or depreciation in the value of the underlying currencies being hedged, against the U.S. dollar at December 31, 2021. With all other variables held constant, a hypothetical 10% change (increase or decrease) in currency exchange rates would not have a material impact on our 2021 earnings. Because unrealized gains or losses related to foreign currency forward and swap contracts are expected to be offset by corresponding gains or losses on the underlying exposures being hedged, when combined, these foreign currency contracts and the offsetting underlying commitments do not create a material impact on our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primary interest rate exposure at December 31, 2021 was interest rate fluctuation in the U.S. due to its impact on variable rate borrowings and other interest rate sensitive liabilities. We use interest rate swaps and caps to manage our exposure to interest rate movements. We anticipate interest rate fluctuation will remain a primary market risk exposure for the foreseeable future.</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assess our market risk based on changes in interest rates utilizing a sensitivity analysis. Based on our interest rate exposures and derivatives as of December 31, 2021, we estimate that a 10% change in interest rates would not have a material impact on our 2021 earnings. Because gains or losses related to interest rate derivatives are expected to be offset by corresponding gains or losses on the underlying exposures being hedged, when combined, these interest rate contracts and the offsetting underlying commitments do not create a material impact on our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Risk Management</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have commodity price exposure related to fluctuations in the price of gasoline. We anticipate that such commodity risk will remain a market risk exposure for the foreseeable future. We determined that a hypothetical 10% change in the price of gasoline would not have a material impact on our earnings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40575" cy="162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24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See Consolidated Financial Statements and Consolidated Financial Statement Index commencing on Page F-1 hereof.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40575"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40575"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6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9A. CONTROLS AND PROCEDURES</w:t>
      </w:r>
    </w:p>
    <w:p>
      <w:pPr>
        <w:spacing w:after="0" w:line="351" w:lineRule="exact"/>
        <w:rPr>
          <w:sz w:val="20"/>
          <w:szCs w:val="20"/>
          <w:color w:val="auto"/>
        </w:rPr>
      </w:pPr>
    </w:p>
    <w:p>
      <w:pPr>
        <w:jc w:val="both"/>
        <w:ind w:left="340" w:hanging="332"/>
        <w:spacing w:after="0" w:line="258" w:lineRule="auto"/>
        <w:tabs>
          <w:tab w:leader="none" w:pos="436"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Disclosure Controls and Procedures</w:t>
      </w:r>
      <w:r>
        <w:rPr>
          <w:rFonts w:ascii="Arial" w:cs="Arial" w:eastAsia="Arial" w:hAnsi="Arial"/>
          <w:sz w:val="18"/>
          <w:szCs w:val="18"/>
          <w:color w:val="auto"/>
        </w:rPr>
        <w:t>. 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the end of the period covered by this annual report.</w:t>
      </w:r>
    </w:p>
    <w:p>
      <w:pPr>
        <w:spacing w:after="0" w:line="210" w:lineRule="exact"/>
        <w:rPr>
          <w:rFonts w:ascii="Arial" w:cs="Arial" w:eastAsia="Arial" w:hAnsi="Arial"/>
          <w:sz w:val="18"/>
          <w:szCs w:val="18"/>
          <w:color w:val="auto"/>
        </w:rPr>
      </w:pPr>
    </w:p>
    <w:p>
      <w:pPr>
        <w:jc w:val="both"/>
        <w:ind w:left="340" w:hanging="332"/>
        <w:spacing w:after="0" w:line="255" w:lineRule="auto"/>
        <w:tabs>
          <w:tab w:leader="none" w:pos="557"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Management’s Annual Report on Internal Control Over Financial Reporting</w:t>
      </w:r>
      <w:r>
        <w:rPr>
          <w:rFonts w:ascii="Arial" w:cs="Arial" w:eastAsia="Arial" w:hAnsi="Arial"/>
          <w:sz w:val="18"/>
          <w:szCs w:val="18"/>
          <w:color w:val="auto"/>
        </w:rPr>
        <w:t>. Our management is responsible for establishing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maintaining adequate internal control over financial reporting, as defined in Rules 13a-15(f) and 15d-15(f) under the Exchange Act. Our management assessed the effectiveness of our internal control over financial reporting as of December 31, 2021.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Based on this assessment, our management believes that, as of December 31, 2021, our internal control over financial reporting was effective. The effectiveness of our internal control over financial reporting as of December 31, 2021 has been audited by Deloitte &amp; Touche LLP, an independent registered public accounting firm. Their attestation report is included below.</w:t>
      </w:r>
    </w:p>
    <w:p>
      <w:pPr>
        <w:spacing w:after="0" w:line="211" w:lineRule="exact"/>
        <w:rPr>
          <w:rFonts w:ascii="Arial" w:cs="Arial" w:eastAsia="Arial" w:hAnsi="Arial"/>
          <w:sz w:val="18"/>
          <w:szCs w:val="18"/>
          <w:color w:val="auto"/>
        </w:rPr>
      </w:pPr>
    </w:p>
    <w:p>
      <w:pPr>
        <w:jc w:val="both"/>
        <w:ind w:left="340" w:hanging="332"/>
        <w:spacing w:after="0" w:line="266" w:lineRule="auto"/>
        <w:tabs>
          <w:tab w:leader="none" w:pos="426"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During the fiscal quarter to which this report relates, there has been no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Avis Budget Group,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Parsippany, New Jersey</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25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 xml:space="preserve">We have audited the internal control over financial reporting of Avis Budget Group, Inc. and subsidiaries (the "Company") as of December 31,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COSO.</w:t>
      </w:r>
    </w:p>
    <w:p>
      <w:pPr>
        <w:spacing w:after="0" w:line="22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December 31, 2021 of the Company and our report dated February 17, 2022 expressed an unqualified opinion on those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55"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6"/>
          <w:szCs w:val="16"/>
          <w:i w:val="1"/>
          <w:iCs w:val="1"/>
          <w:color w:val="auto"/>
        </w:rPr>
        <w:t>Management’s Annual Report on Internal Control over Financial Reporting</w:t>
      </w:r>
      <w:r>
        <w:rPr>
          <w:rFonts w:ascii="Arial" w:cs="Arial" w:eastAsia="Arial" w:hAnsi="Arial"/>
          <w:sz w:val="16"/>
          <w:szCs w:val="16"/>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7"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55" w:lineRule="exact"/>
        <w:rPr>
          <w:sz w:val="20"/>
          <w:szCs w:val="20"/>
          <w:color w:val="auto"/>
        </w:rPr>
      </w:pPr>
    </w:p>
    <w:p>
      <w:pPr>
        <w:jc w:val="both"/>
        <w:spacing w:after="0"/>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59"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17,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40575"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9B. OTHER INFORMATION</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40575"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4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38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the 2022 Annual Meeting of Stockholders to be filed with the SEC pursuant to Regulation 14A within 120 days after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40575"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3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11. EXECUTIVE COMPENSATION</w:t>
      </w:r>
    </w:p>
    <w:p>
      <w:pPr>
        <w:spacing w:after="0" w:line="36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the 2022 Annual Meeting of Stockholders to be filed with the SEC pursuant to Regulation 14A within 120 days after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40575" cy="274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0575" cy="274320"/>
                    </a:xfrm>
                    <a:prstGeom prst="rect">
                      <a:avLst/>
                    </a:prstGeom>
                    <a:noFill/>
                  </pic:spPr>
                </pic:pic>
              </a:graphicData>
            </a:graphic>
          </wp:anchor>
        </w:drawing>
      </w:r>
    </w:p>
    <w:p>
      <w:pPr>
        <w:spacing w:after="0" w:line="237" w:lineRule="exact"/>
        <w:rPr>
          <w:sz w:val="20"/>
          <w:szCs w:val="20"/>
          <w:color w:val="auto"/>
        </w:rPr>
      </w:pPr>
    </w:p>
    <w:p>
      <w:pPr>
        <w:ind w:left="40" w:right="64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35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the 2022 Annual Meeting of Stockholders to be filed with the SEC pursuant to Regulation 14A within 120 days after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40575"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3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38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the 2022 Annual Meeting of Stockholders to be filed with the SEC pursuant to Regulation 14A within 120 days after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40575" cy="162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23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36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the 2022 Annual Meeting of Stockholders to be filed with the SEC pursuant to Regulation 14A within 120 days after December 31, 2021.</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40575"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4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40575"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39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15(A)(1). FINANCIAL STATEMENTS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See Consolidated Financial Statements and Consolidated Financial Statements Index commencing on page F-1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40575"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6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15(A)(2). FINANCIAL STATEMENT SCHEDULES</w:t>
      </w:r>
    </w:p>
    <w:p>
      <w:pPr>
        <w:spacing w:after="0" w:line="38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See Schedule II – Valuation and Qualifying Accounts for the years ended December 31, 2021, 2020 and 2019 commencing on page G-1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40575"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3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15(A)(3). EXHIBITS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commencing on page H-1 hereof.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0" w:right="71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AVIS BUDGET GROUP, INC.</w:t>
      </w:r>
    </w:p>
    <w:p>
      <w:pPr>
        <w:spacing w:after="0" w:line="293" w:lineRule="exact"/>
        <w:rPr>
          <w:sz w:val="20"/>
          <w:szCs w:val="20"/>
          <w:color w:val="auto"/>
        </w:rPr>
      </w:pPr>
    </w:p>
    <w:tbl>
      <w:tblPr>
        <w:tblLayout w:type="fixed"/>
        <w:tblInd w:w="5920" w:type="dxa"/>
        <w:tblCellMar>
          <w:top w:w="0" w:type="dxa"/>
          <w:left w:w="0" w:type="dxa"/>
          <w:bottom w:w="0" w:type="dxa"/>
          <w:right w:w="0" w:type="dxa"/>
        </w:tblCellMar>
      </w:tblPr>
      <w:tr>
        <w:trPr>
          <w:trHeight w:val="217"/>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CATHLEEN DEGENOVA</w:t>
            </w:r>
          </w:p>
        </w:tc>
      </w:tr>
      <w:tr>
        <w:trPr>
          <w:trHeight w:val="218"/>
        </w:trPr>
        <w:tc>
          <w:tcPr>
            <w:tcW w:w="800" w:type="dxa"/>
            <w:vAlign w:val="bottom"/>
          </w:tcPr>
          <w:p>
            <w:pPr>
              <w:spacing w:after="0"/>
              <w:rPr>
                <w:sz w:val="18"/>
                <w:szCs w:val="18"/>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rPr>
              <w:t>Cathleen DeGenova</w:t>
            </w:r>
          </w:p>
        </w:tc>
      </w:tr>
      <w:tr>
        <w:trPr>
          <w:trHeight w:val="235"/>
        </w:trPr>
        <w:tc>
          <w:tcPr>
            <w:tcW w:w="5320" w:type="dxa"/>
            <w:vAlign w:val="bottom"/>
            <w:gridSpan w:val="2"/>
          </w:tcPr>
          <w:p>
            <w:pPr>
              <w:spacing w:after="0"/>
              <w:rPr>
                <w:sz w:val="20"/>
                <w:szCs w:val="20"/>
                <w:color w:val="auto"/>
              </w:rPr>
            </w:pPr>
            <w:r>
              <w:rPr>
                <w:rFonts w:ascii="Arial" w:cs="Arial" w:eastAsia="Arial" w:hAnsi="Arial"/>
                <w:sz w:val="18"/>
                <w:szCs w:val="18"/>
                <w:i w:val="1"/>
                <w:iCs w:val="1"/>
                <w:color w:val="auto"/>
              </w:rPr>
              <w:t>Vice President and Chief Accounting Officer</w:t>
            </w: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4520" w:type="dxa"/>
            <w:vAlign w:val="bottom"/>
          </w:tcPr>
          <w:p>
            <w:pPr>
              <w:ind w:left="20"/>
              <w:spacing w:after="0"/>
              <w:rPr>
                <w:sz w:val="20"/>
                <w:szCs w:val="20"/>
                <w:color w:val="auto"/>
              </w:rPr>
            </w:pPr>
            <w:r>
              <w:rPr>
                <w:rFonts w:ascii="Arial" w:cs="Arial" w:eastAsia="Arial" w:hAnsi="Arial"/>
                <w:sz w:val="18"/>
                <w:szCs w:val="18"/>
                <w:color w:val="auto"/>
              </w:rPr>
              <w:t>February 17, 2022</w:t>
            </w:r>
          </w:p>
        </w:tc>
      </w:tr>
    </w:tbl>
    <w:p>
      <w:pPr>
        <w:spacing w:after="0" w:line="33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40" w:right="339" w:bottom="1440" w:gutter="0" w:footer="0" w:header="0"/>
        </w:sectPr>
      </w:pPr>
    </w:p>
    <w:p>
      <w:pPr>
        <w:spacing w:after="0" w:line="275"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Signature</w:t>
      </w:r>
    </w:p>
    <w:p>
      <w:pPr>
        <w:spacing w:after="0" w:line="37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JOSEPH A.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317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(Joseph A. Ferraro)</w:t>
      </w:r>
    </w:p>
    <w:p>
      <w:pPr>
        <w:spacing w:after="0" w:line="140"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BRIAN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317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(Brian Choi)</w:t>
      </w:r>
    </w:p>
    <w:p>
      <w:pPr>
        <w:spacing w:after="0" w:line="140"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CATHLEEN DEGENOVA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317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(Cathleen DeGenova)</w:t>
      </w:r>
    </w:p>
    <w:p>
      <w:pPr>
        <w:spacing w:after="0" w:line="140"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BERNARDO HEES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317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(Bernardo Hees)</w:t>
      </w:r>
    </w:p>
    <w:p>
      <w:pPr>
        <w:spacing w:after="0" w:line="140"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JAGDEEP PAHWA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317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(Jagdeep Pahwa)</w:t>
      </w:r>
    </w:p>
    <w:p>
      <w:pPr>
        <w:spacing w:after="0" w:line="140"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ANU HARIHARAN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317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(Anu Hariharan)</w:t>
      </w:r>
    </w:p>
    <w:p>
      <w:pPr>
        <w:spacing w:after="0" w:line="140"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LYNN KROMINGA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317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(Lynn Krominga)</w:t>
      </w:r>
    </w:p>
    <w:p>
      <w:pPr>
        <w:spacing w:after="0" w:line="140"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317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(Glenn Lurie)</w:t>
      </w:r>
    </w:p>
    <w:p>
      <w:pPr>
        <w:spacing w:after="0" w:line="181"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KARTHIK SARMA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317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(Karthik Sarma)</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620" w:type="dxa"/>
            <w:vAlign w:val="bottom"/>
          </w:tcPr>
          <w:p>
            <w:pPr>
              <w:jc w:val="center"/>
              <w:ind w:right="299"/>
              <w:spacing w:after="0"/>
              <w:rPr>
                <w:sz w:val="20"/>
                <w:szCs w:val="20"/>
                <w:color w:val="auto"/>
              </w:rPr>
            </w:pPr>
            <w:r>
              <w:rPr>
                <w:rFonts w:ascii="Arial" w:cs="Arial" w:eastAsia="Arial" w:hAnsi="Arial"/>
                <w:sz w:val="16"/>
                <w:szCs w:val="16"/>
                <w:b w:val="1"/>
                <w:bCs w:val="1"/>
                <w:color w:val="auto"/>
                <w:w w:val="97"/>
              </w:rPr>
              <w:t>Title</w:t>
            </w:r>
          </w:p>
        </w:tc>
        <w:tc>
          <w:tcPr>
            <w:tcW w:w="1720" w:type="dxa"/>
            <w:vAlign w:val="bottom"/>
          </w:tcPr>
          <w:p>
            <w:pPr>
              <w:jc w:val="center"/>
              <w:ind w:left="319"/>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486"/>
        </w:trPr>
        <w:tc>
          <w:tcPr>
            <w:tcW w:w="3620" w:type="dxa"/>
            <w:vAlign w:val="bottom"/>
          </w:tcPr>
          <w:p>
            <w:pPr>
              <w:jc w:val="center"/>
              <w:ind w:right="299"/>
              <w:spacing w:after="0"/>
              <w:rPr>
                <w:sz w:val="20"/>
                <w:szCs w:val="20"/>
                <w:color w:val="auto"/>
              </w:rPr>
            </w:pPr>
            <w:r>
              <w:rPr>
                <w:rFonts w:ascii="Arial" w:cs="Arial" w:eastAsia="Arial" w:hAnsi="Arial"/>
                <w:sz w:val="16"/>
                <w:szCs w:val="16"/>
                <w:color w:val="auto"/>
              </w:rPr>
              <w:t>President and Chief Executive Officer</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rPr>
              <w:t>February 17, 2022</w:t>
            </w:r>
          </w:p>
        </w:tc>
        <w:tc>
          <w:tcPr>
            <w:tcW w:w="0" w:type="dxa"/>
            <w:vAlign w:val="bottom"/>
          </w:tcPr>
          <w:p>
            <w:pPr>
              <w:spacing w:after="0"/>
              <w:rPr>
                <w:sz w:val="1"/>
                <w:szCs w:val="1"/>
                <w:color w:val="auto"/>
              </w:rPr>
            </w:pPr>
          </w:p>
        </w:tc>
      </w:tr>
      <w:tr>
        <w:trPr>
          <w:trHeight w:val="561"/>
        </w:trPr>
        <w:tc>
          <w:tcPr>
            <w:tcW w:w="3620" w:type="dxa"/>
            <w:vAlign w:val="bottom"/>
          </w:tcPr>
          <w:p>
            <w:pPr>
              <w:jc w:val="center"/>
              <w:ind w:right="319"/>
              <w:spacing w:after="0"/>
              <w:rPr>
                <w:sz w:val="20"/>
                <w:szCs w:val="20"/>
                <w:color w:val="auto"/>
              </w:rPr>
            </w:pPr>
            <w:r>
              <w:rPr>
                <w:rFonts w:ascii="Arial" w:cs="Arial" w:eastAsia="Arial" w:hAnsi="Arial"/>
                <w:sz w:val="16"/>
                <w:szCs w:val="16"/>
                <w:color w:val="auto"/>
              </w:rPr>
              <w:t>Executive Vice President and Chief Financial</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rPr>
              <w:t>February 17, 2022</w:t>
            </w:r>
          </w:p>
        </w:tc>
        <w:tc>
          <w:tcPr>
            <w:tcW w:w="0" w:type="dxa"/>
            <w:vAlign w:val="bottom"/>
          </w:tcPr>
          <w:p>
            <w:pPr>
              <w:spacing w:after="0"/>
              <w:rPr>
                <w:sz w:val="1"/>
                <w:szCs w:val="1"/>
                <w:color w:val="auto"/>
              </w:rPr>
            </w:pPr>
          </w:p>
        </w:tc>
      </w:tr>
      <w:tr>
        <w:trPr>
          <w:trHeight w:val="195"/>
        </w:trPr>
        <w:tc>
          <w:tcPr>
            <w:tcW w:w="3620" w:type="dxa"/>
            <w:vAlign w:val="bottom"/>
          </w:tcPr>
          <w:p>
            <w:pPr>
              <w:jc w:val="center"/>
              <w:ind w:right="299"/>
              <w:spacing w:after="0"/>
              <w:rPr>
                <w:sz w:val="20"/>
                <w:szCs w:val="20"/>
                <w:color w:val="auto"/>
              </w:rPr>
            </w:pPr>
            <w:r>
              <w:rPr>
                <w:rFonts w:ascii="Arial" w:cs="Arial" w:eastAsia="Arial" w:hAnsi="Arial"/>
                <w:sz w:val="16"/>
                <w:szCs w:val="16"/>
                <w:color w:val="auto"/>
              </w:rPr>
              <w:t>Officer</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3620" w:type="dxa"/>
            <w:vAlign w:val="bottom"/>
          </w:tcPr>
          <w:p>
            <w:pPr>
              <w:jc w:val="center"/>
              <w:ind w:right="299"/>
              <w:spacing w:after="0"/>
              <w:rPr>
                <w:sz w:val="20"/>
                <w:szCs w:val="20"/>
                <w:color w:val="auto"/>
              </w:rPr>
            </w:pPr>
            <w:r>
              <w:rPr>
                <w:rFonts w:ascii="Arial" w:cs="Arial" w:eastAsia="Arial" w:hAnsi="Arial"/>
                <w:sz w:val="16"/>
                <w:szCs w:val="16"/>
                <w:color w:val="auto"/>
              </w:rPr>
              <w:t>Vice President and Chief Accounting Officer</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rPr>
              <w:t>February 17, 2022</w:t>
            </w:r>
          </w:p>
        </w:tc>
        <w:tc>
          <w:tcPr>
            <w:tcW w:w="0" w:type="dxa"/>
            <w:vAlign w:val="bottom"/>
          </w:tcPr>
          <w:p>
            <w:pPr>
              <w:spacing w:after="0"/>
              <w:rPr>
                <w:sz w:val="1"/>
                <w:szCs w:val="1"/>
                <w:color w:val="auto"/>
              </w:rPr>
            </w:pPr>
          </w:p>
        </w:tc>
      </w:tr>
      <w:tr>
        <w:trPr>
          <w:trHeight w:val="594"/>
        </w:trPr>
        <w:tc>
          <w:tcPr>
            <w:tcW w:w="3620" w:type="dxa"/>
            <w:vAlign w:val="bottom"/>
          </w:tcPr>
          <w:p>
            <w:pPr>
              <w:jc w:val="center"/>
              <w:ind w:right="299"/>
              <w:spacing w:after="0"/>
              <w:rPr>
                <w:sz w:val="20"/>
                <w:szCs w:val="20"/>
                <w:color w:val="auto"/>
              </w:rPr>
            </w:pPr>
            <w:r>
              <w:rPr>
                <w:rFonts w:ascii="Arial" w:cs="Arial" w:eastAsia="Arial" w:hAnsi="Arial"/>
                <w:sz w:val="16"/>
                <w:szCs w:val="16"/>
                <w:color w:val="auto"/>
              </w:rPr>
              <w:t>Executive Chairman of the Board of Directors</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rPr>
              <w:t>February 17, 2022</w:t>
            </w:r>
          </w:p>
        </w:tc>
        <w:tc>
          <w:tcPr>
            <w:tcW w:w="0" w:type="dxa"/>
            <w:vAlign w:val="bottom"/>
          </w:tcPr>
          <w:p>
            <w:pPr>
              <w:spacing w:after="0"/>
              <w:rPr>
                <w:sz w:val="1"/>
                <w:szCs w:val="1"/>
                <w:color w:val="auto"/>
              </w:rPr>
            </w:pPr>
          </w:p>
        </w:tc>
      </w:tr>
      <w:tr>
        <w:trPr>
          <w:trHeight w:val="594"/>
        </w:trPr>
        <w:tc>
          <w:tcPr>
            <w:tcW w:w="3620" w:type="dxa"/>
            <w:vAlign w:val="bottom"/>
          </w:tcPr>
          <w:p>
            <w:pPr>
              <w:jc w:val="center"/>
              <w:ind w:right="319"/>
              <w:spacing w:after="0"/>
              <w:rPr>
                <w:sz w:val="20"/>
                <w:szCs w:val="20"/>
                <w:color w:val="auto"/>
              </w:rPr>
            </w:pPr>
            <w:r>
              <w:rPr>
                <w:rFonts w:ascii="Arial" w:cs="Arial" w:eastAsia="Arial" w:hAnsi="Arial"/>
                <w:sz w:val="16"/>
                <w:szCs w:val="16"/>
                <w:color w:val="auto"/>
              </w:rPr>
              <w:t>Vice Chairman of the Board of Directors</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rPr>
              <w:t>February 17, 2022</w:t>
            </w:r>
          </w:p>
        </w:tc>
        <w:tc>
          <w:tcPr>
            <w:tcW w:w="0" w:type="dxa"/>
            <w:vAlign w:val="bottom"/>
          </w:tcPr>
          <w:p>
            <w:pPr>
              <w:spacing w:after="0"/>
              <w:rPr>
                <w:sz w:val="1"/>
                <w:szCs w:val="1"/>
                <w:color w:val="auto"/>
              </w:rPr>
            </w:pPr>
          </w:p>
        </w:tc>
      </w:tr>
      <w:tr>
        <w:trPr>
          <w:trHeight w:val="594"/>
        </w:trPr>
        <w:tc>
          <w:tcPr>
            <w:tcW w:w="3620" w:type="dxa"/>
            <w:vAlign w:val="bottom"/>
          </w:tcPr>
          <w:p>
            <w:pPr>
              <w:jc w:val="center"/>
              <w:ind w:right="299"/>
              <w:spacing w:after="0"/>
              <w:rPr>
                <w:sz w:val="20"/>
                <w:szCs w:val="20"/>
                <w:color w:val="auto"/>
              </w:rPr>
            </w:pPr>
            <w:r>
              <w:rPr>
                <w:rFonts w:ascii="Arial" w:cs="Arial" w:eastAsia="Arial" w:hAnsi="Arial"/>
                <w:sz w:val="16"/>
                <w:szCs w:val="16"/>
                <w:color w:val="auto"/>
                <w:w w:val="99"/>
              </w:rPr>
              <w:t>Director</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rPr>
              <w:t>February 17, 2022</w:t>
            </w:r>
          </w:p>
        </w:tc>
        <w:tc>
          <w:tcPr>
            <w:tcW w:w="0" w:type="dxa"/>
            <w:vAlign w:val="bottom"/>
          </w:tcPr>
          <w:p>
            <w:pPr>
              <w:spacing w:after="0"/>
              <w:rPr>
                <w:sz w:val="1"/>
                <w:szCs w:val="1"/>
                <w:color w:val="auto"/>
              </w:rPr>
            </w:pPr>
          </w:p>
        </w:tc>
      </w:tr>
      <w:tr>
        <w:trPr>
          <w:trHeight w:val="594"/>
        </w:trPr>
        <w:tc>
          <w:tcPr>
            <w:tcW w:w="3620" w:type="dxa"/>
            <w:vAlign w:val="bottom"/>
          </w:tcPr>
          <w:p>
            <w:pPr>
              <w:jc w:val="center"/>
              <w:ind w:right="299"/>
              <w:spacing w:after="0"/>
              <w:rPr>
                <w:sz w:val="20"/>
                <w:szCs w:val="20"/>
                <w:color w:val="auto"/>
              </w:rPr>
            </w:pPr>
            <w:r>
              <w:rPr>
                <w:rFonts w:ascii="Arial" w:cs="Arial" w:eastAsia="Arial" w:hAnsi="Arial"/>
                <w:sz w:val="16"/>
                <w:szCs w:val="16"/>
                <w:color w:val="auto"/>
                <w:w w:val="99"/>
              </w:rPr>
              <w:t>Director</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rPr>
              <w:t>February 17, 2022</w:t>
            </w:r>
          </w:p>
        </w:tc>
        <w:tc>
          <w:tcPr>
            <w:tcW w:w="0" w:type="dxa"/>
            <w:vAlign w:val="bottom"/>
          </w:tcPr>
          <w:p>
            <w:pPr>
              <w:spacing w:after="0"/>
              <w:rPr>
                <w:sz w:val="1"/>
                <w:szCs w:val="1"/>
                <w:color w:val="auto"/>
              </w:rPr>
            </w:pPr>
          </w:p>
        </w:tc>
      </w:tr>
      <w:tr>
        <w:trPr>
          <w:trHeight w:val="594"/>
        </w:trPr>
        <w:tc>
          <w:tcPr>
            <w:tcW w:w="3620" w:type="dxa"/>
            <w:vAlign w:val="bottom"/>
          </w:tcPr>
          <w:p>
            <w:pPr>
              <w:jc w:val="center"/>
              <w:ind w:right="299"/>
              <w:spacing w:after="0"/>
              <w:rPr>
                <w:sz w:val="20"/>
                <w:szCs w:val="20"/>
                <w:color w:val="auto"/>
              </w:rPr>
            </w:pPr>
            <w:r>
              <w:rPr>
                <w:rFonts w:ascii="Arial" w:cs="Arial" w:eastAsia="Arial" w:hAnsi="Arial"/>
                <w:sz w:val="16"/>
                <w:szCs w:val="16"/>
                <w:color w:val="auto"/>
                <w:w w:val="99"/>
              </w:rPr>
              <w:t>Director</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rPr>
              <w:t>February 17, 2022</w:t>
            </w:r>
          </w:p>
        </w:tc>
        <w:tc>
          <w:tcPr>
            <w:tcW w:w="0" w:type="dxa"/>
            <w:vAlign w:val="bottom"/>
          </w:tcPr>
          <w:p>
            <w:pPr>
              <w:spacing w:after="0"/>
              <w:rPr>
                <w:sz w:val="1"/>
                <w:szCs w:val="1"/>
                <w:color w:val="auto"/>
              </w:rPr>
            </w:pPr>
          </w:p>
        </w:tc>
      </w:tr>
      <w:tr>
        <w:trPr>
          <w:trHeight w:val="634"/>
        </w:trPr>
        <w:tc>
          <w:tcPr>
            <w:tcW w:w="3620" w:type="dxa"/>
            <w:vAlign w:val="bottom"/>
          </w:tcPr>
          <w:p>
            <w:pPr>
              <w:jc w:val="center"/>
              <w:ind w:right="299"/>
              <w:spacing w:after="0"/>
              <w:rPr>
                <w:sz w:val="20"/>
                <w:szCs w:val="20"/>
                <w:color w:val="auto"/>
              </w:rPr>
            </w:pPr>
            <w:r>
              <w:rPr>
                <w:rFonts w:ascii="Arial" w:cs="Arial" w:eastAsia="Arial" w:hAnsi="Arial"/>
                <w:sz w:val="16"/>
                <w:szCs w:val="16"/>
                <w:color w:val="auto"/>
                <w:w w:val="99"/>
              </w:rPr>
              <w:t>Director</w:t>
            </w:r>
          </w:p>
        </w:tc>
        <w:tc>
          <w:tcPr>
            <w:tcW w:w="1720" w:type="dxa"/>
            <w:vAlign w:val="bottom"/>
            <w:vMerge w:val="restart"/>
          </w:tcPr>
          <w:p>
            <w:pPr>
              <w:jc w:val="center"/>
              <w:ind w:left="319"/>
              <w:spacing w:after="0"/>
              <w:rPr>
                <w:sz w:val="20"/>
                <w:szCs w:val="20"/>
                <w:color w:val="auto"/>
              </w:rPr>
            </w:pPr>
            <w:r>
              <w:rPr>
                <w:rFonts w:ascii="Arial" w:cs="Arial" w:eastAsia="Arial" w:hAnsi="Arial"/>
                <w:sz w:val="16"/>
                <w:szCs w:val="16"/>
                <w:color w:val="auto"/>
              </w:rPr>
              <w:t>February 17, 2022</w:t>
            </w:r>
          </w:p>
        </w:tc>
        <w:tc>
          <w:tcPr>
            <w:tcW w:w="0" w:type="dxa"/>
            <w:vAlign w:val="bottom"/>
          </w:tcPr>
          <w:p>
            <w:pPr>
              <w:spacing w:after="0"/>
              <w:rPr>
                <w:sz w:val="1"/>
                <w:szCs w:val="1"/>
                <w:color w:val="auto"/>
              </w:rPr>
            </w:pPr>
          </w:p>
        </w:tc>
      </w:tr>
      <w:tr>
        <w:trPr>
          <w:trHeight w:val="54"/>
        </w:trPr>
        <w:tc>
          <w:tcPr>
            <w:tcW w:w="362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59" w:lineRule="exact"/>
        <w:rPr>
          <w:sz w:val="20"/>
          <w:szCs w:val="20"/>
          <w:color w:val="auto"/>
        </w:rPr>
      </w:pPr>
    </w:p>
    <w:p>
      <w:pPr>
        <w:sectPr>
          <w:pgSz w:w="11900" w:h="16838" w:orient="portrait"/>
          <w:cols w:equalWidth="0" w:num="2">
            <w:col w:w="4940" w:space="720"/>
            <w:col w:w="558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9840" w:type="dxa"/>
            <w:vAlign w:val="bottom"/>
            <w:gridSpan w:val="10"/>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31"/>
        </w:trPr>
        <w:tc>
          <w:tcPr>
            <w:tcW w:w="20" w:type="dxa"/>
            <w:vAlign w:val="bottom"/>
            <w:tcBorders>
              <w:top w:val="single" w:sz="8" w:color="0000FF"/>
            </w:tcBorders>
          </w:tcPr>
          <w:p>
            <w:pPr>
              <w:spacing w:after="0"/>
              <w:rPr>
                <w:sz w:val="24"/>
                <w:szCs w:val="24"/>
                <w:color w:val="auto"/>
              </w:rPr>
            </w:pPr>
          </w:p>
        </w:tc>
        <w:tc>
          <w:tcPr>
            <w:tcW w:w="1380" w:type="dxa"/>
            <w:vAlign w:val="bottom"/>
            <w:tcBorders>
              <w:top w:val="single" w:sz="8" w:color="0000FF"/>
            </w:tcBorders>
          </w:tcPr>
          <w:p>
            <w:pPr>
              <w:spacing w:after="0"/>
              <w:rPr>
                <w:sz w:val="24"/>
                <w:szCs w:val="24"/>
                <w:color w:val="auto"/>
              </w:rPr>
            </w:pPr>
          </w:p>
        </w:tc>
        <w:tc>
          <w:tcPr>
            <w:tcW w:w="8440" w:type="dxa"/>
            <w:vAlign w:val="bottom"/>
            <w:gridSpan w:val="8"/>
          </w:tcPr>
          <w:p>
            <w:pPr>
              <w:ind w:left="1940"/>
              <w:spacing w:after="0"/>
              <w:rPr>
                <w:sz w:val="20"/>
                <w:szCs w:val="20"/>
                <w:color w:val="auto"/>
              </w:rPr>
            </w:pPr>
            <w:r>
              <w:rPr>
                <w:rFonts w:ascii="Arial" w:cs="Arial" w:eastAsia="Arial" w:hAnsi="Arial"/>
                <w:sz w:val="18"/>
                <w:szCs w:val="18"/>
                <w:b w:val="1"/>
                <w:bCs w:val="1"/>
                <w:color w:val="auto"/>
              </w:rPr>
              <w:t>INDEX TO CONSOLIDATED FINANCIAL STATEMENTS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3"/>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8"/>
                <w:szCs w:val="18"/>
                <w:b w:val="1"/>
                <w:bCs w:val="1"/>
                <w:color w:val="auto"/>
              </w:rPr>
              <w:t>Page</w:t>
            </w:r>
          </w:p>
        </w:tc>
      </w:tr>
      <w:tr>
        <w:trPr>
          <w:trHeight w:val="439"/>
        </w:trPr>
        <w:tc>
          <w:tcPr>
            <w:tcW w:w="2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No. 34)</w:t>
            </w:r>
          </w:p>
        </w:tc>
        <w:tc>
          <w:tcPr>
            <w:tcW w:w="1400" w:type="dxa"/>
            <w:vAlign w:val="bottom"/>
            <w:gridSpan w:val="4"/>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2</w:t>
              </w:r>
            </w:hyperlink>
          </w:p>
        </w:tc>
      </w:tr>
      <w:tr>
        <w:trPr>
          <w:trHeight w:val="20"/>
        </w:trPr>
        <w:tc>
          <w:tcPr>
            <w:tcW w:w="20" w:type="dxa"/>
            <w:vAlign w:val="bottom"/>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7680" w:type="dxa"/>
            <w:vAlign w:val="bottom"/>
            <w:gridSpan w:val="5"/>
          </w:tcPr>
          <w:p>
            <w:pPr>
              <w:spacing w:after="0"/>
              <w:rPr>
                <w:rFonts w:ascii="Arial" w:cs="Arial" w:eastAsia="Arial" w:hAnsi="Arial"/>
                <w:sz w:val="18"/>
                <w:szCs w:val="18"/>
                <w:color w:val="0000FF"/>
                <w:w w:val="99"/>
              </w:rPr>
            </w:pPr>
            <w:hyperlink w:anchor="page57">
              <w:r>
                <w:rPr>
                  <w:rFonts w:ascii="Arial" w:cs="Arial" w:eastAsia="Arial" w:hAnsi="Arial"/>
                  <w:sz w:val="18"/>
                  <w:szCs w:val="18"/>
                  <w:color w:val="0000FF"/>
                  <w:w w:val="99"/>
                </w:rPr>
                <w:t xml:space="preserve">Consolidated Statements of Operations for the years ended December 31, </w:t>
              </w:r>
            </w:hyperlink>
            <w:r>
              <w:rPr>
                <w:rFonts w:ascii="Arial" w:cs="Arial" w:eastAsia="Arial" w:hAnsi="Arial"/>
                <w:sz w:val="18"/>
                <w:szCs w:val="18"/>
                <w:color w:val="0000FF"/>
                <w:w w:val="99"/>
              </w:rPr>
              <w:t xml:space="preserve">2021, 2020 </w:t>
            </w:r>
            <w:hyperlink w:anchor="page57">
              <w:r>
                <w:rPr>
                  <w:rFonts w:ascii="Arial" w:cs="Arial" w:eastAsia="Arial" w:hAnsi="Arial"/>
                  <w:sz w:val="18"/>
                  <w:szCs w:val="18"/>
                  <w:color w:val="0000FF"/>
                  <w:w w:val="99"/>
                </w:rPr>
                <w:t>and 2019</w:t>
              </w:r>
            </w:hyperlink>
          </w:p>
        </w:tc>
        <w:tc>
          <w:tcPr>
            <w:tcW w:w="2140" w:type="dxa"/>
            <w:vAlign w:val="bottom"/>
            <w:gridSpan w:val="4"/>
          </w:tcPr>
          <w:p>
            <w:pPr>
              <w:spacing w:after="0"/>
              <w:rPr>
                <w:sz w:val="24"/>
                <w:szCs w:val="24"/>
                <w:color w:val="auto"/>
              </w:rPr>
            </w:pPr>
          </w:p>
        </w:tc>
        <w:tc>
          <w:tcPr>
            <w:tcW w:w="1280" w:type="dxa"/>
            <w:vAlign w:val="bottom"/>
            <w:gridSpan w:val="2"/>
          </w:tcPr>
          <w:p>
            <w:pPr>
              <w:spacing w:after="0"/>
              <w:rPr>
                <w:sz w:val="24"/>
                <w:szCs w:val="24"/>
                <w:color w:val="auto"/>
              </w:rPr>
            </w:pPr>
          </w:p>
        </w:tc>
        <w:tc>
          <w:tcPr>
            <w:tcW w:w="120" w:type="dxa"/>
            <w:vAlign w:val="bottom"/>
            <w:gridSpan w:val="2"/>
          </w:tcPr>
          <w:p>
            <w:pPr>
              <w:jc w:val="right"/>
              <w:ind w:right="20"/>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6</w:t>
              </w:r>
            </w:hyperlink>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700" w:type="dxa"/>
            <w:vAlign w:val="bottom"/>
            <w:tcBorders>
              <w:bottom w:val="single" w:sz="8" w:color="0000FF"/>
            </w:tcBorders>
            <w:gridSpan w:val="8"/>
          </w:tcPr>
          <w:p>
            <w:pPr>
              <w:spacing w:after="0"/>
              <w:rPr>
                <w:rFonts w:ascii="Arial" w:cs="Arial" w:eastAsia="Arial" w:hAnsi="Arial"/>
                <w:sz w:val="18"/>
                <w:szCs w:val="18"/>
                <w:color w:val="0000FF"/>
                <w:w w:val="99"/>
              </w:rPr>
            </w:pPr>
            <w:hyperlink w:anchor="page58">
              <w:r>
                <w:rPr>
                  <w:rFonts w:ascii="Arial" w:cs="Arial" w:eastAsia="Arial" w:hAnsi="Arial"/>
                  <w:sz w:val="18"/>
                  <w:szCs w:val="18"/>
                  <w:color w:val="0000FF"/>
                  <w:w w:val="99"/>
                </w:rPr>
                <w:t xml:space="preserve">Consolidated Statements of Comprehensive Income for the years ended December 31, </w:t>
              </w:r>
            </w:hyperlink>
            <w:r>
              <w:rPr>
                <w:rFonts w:ascii="Arial" w:cs="Arial" w:eastAsia="Arial" w:hAnsi="Arial"/>
                <w:sz w:val="18"/>
                <w:szCs w:val="18"/>
                <w:color w:val="0000FF"/>
                <w:w w:val="99"/>
              </w:rPr>
              <w:t xml:space="preserve">2021, 2020 </w:t>
            </w:r>
            <w:hyperlink w:anchor="page58">
              <w:r>
                <w:rPr>
                  <w:rFonts w:ascii="Arial" w:cs="Arial" w:eastAsia="Arial" w:hAnsi="Arial"/>
                  <w:sz w:val="18"/>
                  <w:szCs w:val="18"/>
                  <w:color w:val="0000FF"/>
                  <w:w w:val="99"/>
                </w:rPr>
                <w:t xml:space="preserve">and </w:t>
              </w:r>
            </w:hyperlink>
            <w:r>
              <w:rPr>
                <w:rFonts w:ascii="Arial" w:cs="Arial" w:eastAsia="Arial" w:hAnsi="Arial"/>
                <w:sz w:val="18"/>
                <w:szCs w:val="18"/>
                <w:color w:val="0000FF"/>
                <w:w w:val="99"/>
              </w:rPr>
              <w:t>2019</w:t>
            </w:r>
          </w:p>
        </w:tc>
        <w:tc>
          <w:tcPr>
            <w:tcW w:w="1120" w:type="dxa"/>
            <w:vAlign w:val="bottom"/>
          </w:tcPr>
          <w:p>
            <w:pPr>
              <w:spacing w:after="0"/>
              <w:rPr>
                <w:sz w:val="24"/>
                <w:szCs w:val="24"/>
                <w:color w:val="auto"/>
              </w:rPr>
            </w:pPr>
          </w:p>
        </w:tc>
        <w:tc>
          <w:tcPr>
            <w:tcW w:w="1400" w:type="dxa"/>
            <w:vAlign w:val="bottom"/>
            <w:gridSpan w:val="4"/>
          </w:tcPr>
          <w:p>
            <w:pPr>
              <w:jc w:val="right"/>
              <w:ind w:right="20"/>
              <w:spacing w:after="0"/>
              <w:rPr>
                <w:rFonts w:ascii="Arial" w:cs="Arial" w:eastAsia="Arial" w:hAnsi="Arial"/>
                <w:sz w:val="18"/>
                <w:szCs w:val="18"/>
                <w:color w:val="0000FF"/>
              </w:rPr>
            </w:pPr>
            <w:hyperlink w:anchor="page58">
              <w:r>
                <w:rPr>
                  <w:rFonts w:ascii="Arial" w:cs="Arial" w:eastAsia="Arial" w:hAnsi="Arial"/>
                  <w:sz w:val="18"/>
                  <w:szCs w:val="18"/>
                  <w:color w:val="0000FF"/>
                </w:rPr>
                <w:t>7</w:t>
              </w:r>
            </w:hyperlink>
          </w:p>
        </w:tc>
      </w:tr>
      <w:tr>
        <w:trPr>
          <w:trHeight w:val="20"/>
        </w:trPr>
        <w:tc>
          <w:tcPr>
            <w:tcW w:w="2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40" w:type="dxa"/>
            <w:vAlign w:val="bottom"/>
            <w:gridSpan w:val="4"/>
          </w:tcPr>
          <w:p>
            <w:pPr>
              <w:spacing w:after="0"/>
              <w:rPr>
                <w:rFonts w:ascii="Arial" w:cs="Arial" w:eastAsia="Arial" w:hAnsi="Arial"/>
                <w:sz w:val="18"/>
                <w:szCs w:val="18"/>
                <w:color w:val="0000FF"/>
                <w:w w:val="99"/>
              </w:rPr>
            </w:pPr>
            <w:hyperlink w:anchor="page59">
              <w:r>
                <w:rPr>
                  <w:rFonts w:ascii="Arial" w:cs="Arial" w:eastAsia="Arial" w:hAnsi="Arial"/>
                  <w:sz w:val="18"/>
                  <w:szCs w:val="18"/>
                  <w:color w:val="0000FF"/>
                  <w:w w:val="99"/>
                </w:rPr>
                <w:t>Consolidated Balance Sheets as of December 31, 2021 and 2020</w:t>
              </w:r>
            </w:hyperlink>
          </w:p>
        </w:tc>
        <w:tc>
          <w:tcPr>
            <w:tcW w:w="4580" w:type="dxa"/>
            <w:vAlign w:val="bottom"/>
            <w:gridSpan w:val="5"/>
          </w:tcPr>
          <w:p>
            <w:pPr>
              <w:spacing w:after="0"/>
              <w:rPr>
                <w:sz w:val="24"/>
                <w:szCs w:val="24"/>
                <w:color w:val="auto"/>
              </w:rPr>
            </w:pPr>
          </w:p>
        </w:tc>
        <w:tc>
          <w:tcPr>
            <w:tcW w:w="1280" w:type="dxa"/>
            <w:vAlign w:val="bottom"/>
            <w:gridSpan w:val="2"/>
          </w:tcPr>
          <w:p>
            <w:pPr>
              <w:spacing w:after="0"/>
              <w:rPr>
                <w:sz w:val="24"/>
                <w:szCs w:val="24"/>
                <w:color w:val="auto"/>
              </w:rPr>
            </w:pPr>
          </w:p>
        </w:tc>
        <w:tc>
          <w:tcPr>
            <w:tcW w:w="120" w:type="dxa"/>
            <w:vAlign w:val="bottom"/>
            <w:gridSpan w:val="2"/>
          </w:tcPr>
          <w:p>
            <w:pPr>
              <w:jc w:val="right"/>
              <w:ind w:right="20"/>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8</w:t>
              </w:r>
            </w:hyperlink>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7740" w:type="dxa"/>
            <w:vAlign w:val="bottom"/>
            <w:gridSpan w:val="6"/>
          </w:tcPr>
          <w:p>
            <w:pPr>
              <w:spacing w:after="0"/>
              <w:rPr>
                <w:rFonts w:ascii="Arial" w:cs="Arial" w:eastAsia="Arial" w:hAnsi="Arial"/>
                <w:sz w:val="18"/>
                <w:szCs w:val="18"/>
                <w:color w:val="0000FF"/>
                <w:w w:val="99"/>
              </w:rPr>
            </w:pPr>
            <w:hyperlink w:anchor="page60">
              <w:r>
                <w:rPr>
                  <w:rFonts w:ascii="Arial" w:cs="Arial" w:eastAsia="Arial" w:hAnsi="Arial"/>
                  <w:sz w:val="18"/>
                  <w:szCs w:val="18"/>
                  <w:color w:val="0000FF"/>
                  <w:w w:val="99"/>
                </w:rPr>
                <w:t xml:space="preserve">Consolidated Statements of Cash Flows for the years ended December 31, </w:t>
              </w:r>
            </w:hyperlink>
            <w:r>
              <w:rPr>
                <w:rFonts w:ascii="Arial" w:cs="Arial" w:eastAsia="Arial" w:hAnsi="Arial"/>
                <w:sz w:val="18"/>
                <w:szCs w:val="18"/>
                <w:color w:val="0000FF"/>
                <w:w w:val="99"/>
              </w:rPr>
              <w:t xml:space="preserve">2021, 2020 </w:t>
            </w:r>
            <w:hyperlink w:anchor="page60">
              <w:r>
                <w:rPr>
                  <w:rFonts w:ascii="Arial" w:cs="Arial" w:eastAsia="Arial" w:hAnsi="Arial"/>
                  <w:sz w:val="18"/>
                  <w:szCs w:val="18"/>
                  <w:color w:val="0000FF"/>
                  <w:w w:val="99"/>
                </w:rPr>
                <w:t>and 2019</w:t>
              </w:r>
            </w:hyperlink>
          </w:p>
        </w:tc>
        <w:tc>
          <w:tcPr>
            <w:tcW w:w="2080" w:type="dxa"/>
            <w:vAlign w:val="bottom"/>
            <w:gridSpan w:val="3"/>
          </w:tcPr>
          <w:p>
            <w:pPr>
              <w:spacing w:after="0"/>
              <w:rPr>
                <w:sz w:val="24"/>
                <w:szCs w:val="24"/>
                <w:color w:val="auto"/>
              </w:rPr>
            </w:pPr>
          </w:p>
        </w:tc>
        <w:tc>
          <w:tcPr>
            <w:tcW w:w="1280" w:type="dxa"/>
            <w:vAlign w:val="bottom"/>
            <w:gridSpan w:val="2"/>
          </w:tcPr>
          <w:p>
            <w:pPr>
              <w:spacing w:after="0"/>
              <w:rPr>
                <w:sz w:val="24"/>
                <w:szCs w:val="24"/>
                <w:color w:val="auto"/>
              </w:rPr>
            </w:pPr>
          </w:p>
        </w:tc>
        <w:tc>
          <w:tcPr>
            <w:tcW w:w="120" w:type="dxa"/>
            <w:vAlign w:val="bottom"/>
            <w:gridSpan w:val="2"/>
          </w:tcPr>
          <w:p>
            <w:pPr>
              <w:jc w:val="right"/>
              <w:ind w:right="20"/>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9</w:t>
              </w:r>
            </w:hyperlink>
          </w:p>
        </w:tc>
      </w:tr>
      <w:tr>
        <w:trPr>
          <w:trHeight w:val="20"/>
        </w:trPr>
        <w:tc>
          <w:tcPr>
            <w:tcW w:w="20" w:type="dxa"/>
            <w:vAlign w:val="bottom"/>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4240" w:type="dxa"/>
            <w:vAlign w:val="bottom"/>
            <w:gridSpan w:val="4"/>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2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62">
              <w:r>
                <w:rPr>
                  <w:rFonts w:ascii="Arial" w:cs="Arial" w:eastAsia="Arial" w:hAnsi="Arial"/>
                  <w:sz w:val="18"/>
                  <w:szCs w:val="18"/>
                  <w:color w:val="0000FF"/>
                  <w:w w:val="99"/>
                </w:rPr>
                <w:t xml:space="preserve">Consolidated Statements of Stockholders’ Equity for the years ended December 31, </w:t>
              </w:r>
            </w:hyperlink>
            <w:r>
              <w:rPr>
                <w:rFonts w:ascii="Arial" w:cs="Arial" w:eastAsia="Arial" w:hAnsi="Arial"/>
                <w:sz w:val="18"/>
                <w:szCs w:val="18"/>
                <w:color w:val="0000FF"/>
                <w:w w:val="99"/>
              </w:rPr>
              <w:t xml:space="preserve">2021, 2020 </w:t>
            </w:r>
            <w:hyperlink w:anchor="page62">
              <w:r>
                <w:rPr>
                  <w:rFonts w:ascii="Arial" w:cs="Arial" w:eastAsia="Arial" w:hAnsi="Arial"/>
                  <w:sz w:val="18"/>
                  <w:szCs w:val="18"/>
                  <w:color w:val="0000FF"/>
                  <w:w w:val="99"/>
                </w:rPr>
                <w:t xml:space="preserve">and </w:t>
              </w:r>
            </w:hyperlink>
            <w:r>
              <w:rPr>
                <w:rFonts w:ascii="Arial" w:cs="Arial" w:eastAsia="Arial" w:hAnsi="Arial"/>
                <w:sz w:val="18"/>
                <w:szCs w:val="18"/>
                <w:color w:val="0000FF"/>
                <w:w w:val="99"/>
              </w:rPr>
              <w:t>2019</w:t>
            </w:r>
          </w:p>
        </w:tc>
        <w:tc>
          <w:tcPr>
            <w:tcW w:w="1400" w:type="dxa"/>
            <w:vAlign w:val="bottom"/>
            <w:gridSpan w:val="2"/>
          </w:tcPr>
          <w:p>
            <w:pPr>
              <w:spacing w:after="0"/>
              <w:rPr>
                <w:sz w:val="24"/>
                <w:szCs w:val="24"/>
                <w:color w:val="auto"/>
              </w:rPr>
            </w:pPr>
          </w:p>
        </w:tc>
        <w:tc>
          <w:tcPr>
            <w:tcW w:w="1400" w:type="dxa"/>
            <w:vAlign w:val="bottom"/>
            <w:gridSpan w:val="4"/>
          </w:tcPr>
          <w:p>
            <w:pPr>
              <w:jc w:val="right"/>
              <w:ind w:right="20"/>
              <w:spacing w:after="0"/>
              <w:rPr>
                <w:rFonts w:ascii="Arial" w:cs="Arial" w:eastAsia="Arial" w:hAnsi="Arial"/>
                <w:sz w:val="18"/>
                <w:szCs w:val="18"/>
                <w:color w:val="0000FF"/>
              </w:rPr>
            </w:pPr>
            <w:hyperlink w:anchor="page62">
              <w:r>
                <w:rPr>
                  <w:rFonts w:ascii="Arial" w:cs="Arial" w:eastAsia="Arial" w:hAnsi="Arial"/>
                  <w:sz w:val="18"/>
                  <w:szCs w:val="18"/>
                  <w:color w:val="0000FF"/>
                </w:rPr>
                <w:t>11</w:t>
              </w:r>
            </w:hyperlink>
          </w:p>
        </w:tc>
      </w:tr>
      <w:tr>
        <w:trPr>
          <w:trHeight w:val="20"/>
        </w:trPr>
        <w:tc>
          <w:tcPr>
            <w:tcW w:w="2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6320" w:type="dxa"/>
            <w:vAlign w:val="bottom"/>
            <w:gridSpan w:val="7"/>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7"/>
        </w:trPr>
        <w:tc>
          <w:tcPr>
            <w:tcW w:w="2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Notes to Consolidated Financial Statements</w:t>
              </w:r>
            </w:hyperlink>
          </w:p>
        </w:tc>
        <w:tc>
          <w:tcPr>
            <w:tcW w:w="1400" w:type="dxa"/>
            <w:vAlign w:val="bottom"/>
            <w:gridSpan w:val="4"/>
          </w:tcPr>
          <w:p>
            <w:pPr>
              <w:jc w:val="right"/>
              <w:ind w:right="20"/>
              <w:spacing w:after="0"/>
              <w:rPr>
                <w:rFonts w:ascii="Arial" w:cs="Arial" w:eastAsia="Arial" w:hAnsi="Arial"/>
                <w:sz w:val="18"/>
                <w:szCs w:val="18"/>
                <w:color w:val="0000FF"/>
              </w:rPr>
            </w:pPr>
            <w:hyperlink w:anchor="page63">
              <w:r>
                <w:rPr>
                  <w:rFonts w:ascii="Arial" w:cs="Arial" w:eastAsia="Arial" w:hAnsi="Arial"/>
                  <w:sz w:val="18"/>
                  <w:szCs w:val="18"/>
                  <w:color w:val="0000FF"/>
                </w:rPr>
                <w:t>12</w:t>
              </w:r>
            </w:hyperlink>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Budget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7"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We have audited the accompanying consolidated balance sheets of Avis Budget Group, Inc. and subsidiaries (the "Company") as of December 31, 2021 and 2020, and the related consolidated statements of operations, comprehensive income, stockholders' equity, and cash flows for each of the three years in the period ended December 31, 2021, and the related notes and the schedule listed in the Index at Item 15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220"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17,</w:t>
      </w:r>
      <w:r>
        <w:rPr>
          <w:rFonts w:ascii="Arial" w:cs="Arial" w:eastAsia="Arial" w:hAnsi="Arial"/>
          <w:sz w:val="18"/>
          <w:szCs w:val="18"/>
          <w:i w:val="1"/>
          <w:iCs w:val="1"/>
          <w:color w:val="auto"/>
        </w:rPr>
        <w:t xml:space="preserve"> </w:t>
      </w:r>
      <w:r>
        <w:rPr>
          <w:rFonts w:ascii="Arial" w:cs="Arial" w:eastAsia="Arial" w:hAnsi="Arial"/>
          <w:sz w:val="18"/>
          <w:szCs w:val="18"/>
          <w:color w:val="auto"/>
        </w:rPr>
        <w:t>2022, expressed an unqualified opinion on the Company's internal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6"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47"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Vehicles - Depreciation Expense - United States Risk Vehicles - Refer to Notes 2 and 8 to the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43"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The Company records rental vehicles at cost, net of accumulated depreciation. The initial cost of the vehicles is recorded net of incentives and allowances from manufacturers. Rental vehicles acquired by the Company outside of manufacturer repurchase and guaranteed depreciation programs are referred to as risk vehicles and the carrying values of these risk vehicles are depreciated based upon the vehicles’ estimated residual values at their expected dates of disposition. The estimation of residual values for risk vehicles requires the Company to make assumptions regarding factors which include, but are not limited to, the anticipated age of the vehicles and market conditions for used vehicles at the time of disposal. The Company regularly evaluates estimated residual values and adjusts vehicle depreciation rates as appropriate. Any adjustments to depreciation are made prospectively.</w:t>
      </w:r>
    </w:p>
    <w:p>
      <w:pPr>
        <w:spacing w:after="0" w:line="220"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Given the volume of risk vehicles in the United States and the significant estimation uncertainty and judgments made by management to calculate the estimated residual values of these risk vehicles, auditing the estimated residual values of United States risk vehicles and related vehicle depreciation expense required extensive audit effort to develop an independent expectation of residual values and depreciation expense, and a high degree of auditor judgment was required when performing audit procedures and evaluating the results of those procedures. The significant estimation uncertainty was primarily due to management’s assumptions regarding the impact of future consumer demand and general economic conditions on expected pricing of used vehicles. Additionally, auditing the calculation of the estimated residual values for United States risk vehicles was challenging due to the volume of data inputs utilized in management’s calculation, including historical sales data and data specific to the Company’s current fleet.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5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audit procedures to assess the reasonableness of the estimated residual values and vehicle depreciation expense related to United States risk vehicles included the following, among others:</w:t>
      </w:r>
    </w:p>
    <w:p>
      <w:pPr>
        <w:spacing w:after="0" w:line="224" w:lineRule="exact"/>
        <w:rPr>
          <w:sz w:val="20"/>
          <w:szCs w:val="20"/>
          <w:color w:val="auto"/>
        </w:rPr>
      </w:pPr>
    </w:p>
    <w:p>
      <w:pPr>
        <w:ind w:left="340" w:hanging="332"/>
        <w:spacing w:after="0" w:line="246"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evaluated the appropriateness and consistency of the Company’s methods, significant assumptions and judgments to calculate the estimated residual values of risk vehicles and the expected dates of disposition.</w:t>
      </w:r>
    </w:p>
    <w:p>
      <w:pPr>
        <w:spacing w:after="0" w:line="223" w:lineRule="exact"/>
        <w:rPr>
          <w:rFonts w:ascii="Arial" w:cs="Arial" w:eastAsia="Arial" w:hAnsi="Arial"/>
          <w:sz w:val="18"/>
          <w:szCs w:val="18"/>
          <w:color w:val="auto"/>
        </w:rPr>
      </w:pPr>
    </w:p>
    <w:p>
      <w:pPr>
        <w:jc w:val="both"/>
        <w:ind w:left="340" w:hanging="332"/>
        <w:spacing w:after="0"/>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tested the effectiveness of controls over vehicle depreciation expense related to risk vehicles and management’s review of the significant assumptions and judgments to calculate the estimated residual values of risk vehicles, including those over the Company’s monitoring of residual values and used vehicle market conditions.</w:t>
      </w:r>
    </w:p>
    <w:p>
      <w:pPr>
        <w:spacing w:after="0" w:line="229" w:lineRule="exact"/>
        <w:rPr>
          <w:rFonts w:ascii="Arial" w:cs="Arial" w:eastAsia="Arial" w:hAnsi="Arial"/>
          <w:sz w:val="18"/>
          <w:szCs w:val="18"/>
          <w:color w:val="auto"/>
        </w:rPr>
      </w:pPr>
    </w:p>
    <w:p>
      <w:pPr>
        <w:ind w:left="340" w:right="20" w:hanging="332"/>
        <w:spacing w:after="0" w:line="246"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assessed the reasonableness of the estimated residual values of risk vehicles by performing the following procedures on a selection of risk vehicles:</w:t>
      </w:r>
    </w:p>
    <w:p>
      <w:pPr>
        <w:spacing w:after="0" w:line="223" w:lineRule="exact"/>
        <w:rPr>
          <w:rFonts w:ascii="Arial" w:cs="Arial" w:eastAsia="Arial" w:hAnsi="Arial"/>
          <w:sz w:val="18"/>
          <w:szCs w:val="18"/>
          <w:color w:val="auto"/>
        </w:rPr>
      </w:pPr>
    </w:p>
    <w:p>
      <w:pPr>
        <w:ind w:left="660" w:hanging="324"/>
        <w:spacing w:after="0" w:line="246" w:lineRule="auto"/>
        <w:rPr>
          <w:rFonts w:ascii="Arial" w:cs="Arial" w:eastAsia="Arial" w:hAnsi="Arial"/>
          <w:sz w:val="18"/>
          <w:szCs w:val="18"/>
          <w:color w:val="auto"/>
        </w:rPr>
      </w:pPr>
      <w:r>
        <w:rPr>
          <w:rFonts w:ascii="Arial" w:cs="Arial" w:eastAsia="Arial" w:hAnsi="Arial"/>
          <w:sz w:val="18"/>
          <w:szCs w:val="18"/>
          <w:color w:val="auto"/>
        </w:rPr>
        <w:t>– We tested the underlying historical data that served as the basis for the Company’s calculation of the estimated residual values to evaluate that the inputs were reasonable.</w:t>
      </w:r>
    </w:p>
    <w:p>
      <w:pPr>
        <w:spacing w:after="0" w:line="223" w:lineRule="exact"/>
        <w:rPr>
          <w:rFonts w:ascii="Arial" w:cs="Arial" w:eastAsia="Arial" w:hAnsi="Arial"/>
          <w:sz w:val="18"/>
          <w:szCs w:val="18"/>
          <w:color w:val="auto"/>
        </w:rPr>
      </w:pPr>
    </w:p>
    <w:p>
      <w:pPr>
        <w:ind w:left="660" w:hanging="324"/>
        <w:spacing w:after="0" w:line="246" w:lineRule="auto"/>
        <w:rPr>
          <w:rFonts w:ascii="Arial" w:cs="Arial" w:eastAsia="Arial" w:hAnsi="Arial"/>
          <w:sz w:val="18"/>
          <w:szCs w:val="18"/>
          <w:color w:val="auto"/>
        </w:rPr>
      </w:pPr>
      <w:r>
        <w:rPr>
          <w:rFonts w:ascii="Arial" w:cs="Arial" w:eastAsia="Arial" w:hAnsi="Arial"/>
          <w:sz w:val="18"/>
          <w:szCs w:val="18"/>
          <w:color w:val="auto"/>
        </w:rPr>
        <w:t>– We tested the mathematical accuracy of the Company’s calculation of the estimated residual values and vehicle depreciation expense rates.</w:t>
      </w:r>
    </w:p>
    <w:p>
      <w:pPr>
        <w:spacing w:after="0" w:line="223" w:lineRule="exact"/>
        <w:rPr>
          <w:rFonts w:ascii="Arial" w:cs="Arial" w:eastAsia="Arial" w:hAnsi="Arial"/>
          <w:sz w:val="18"/>
          <w:szCs w:val="18"/>
          <w:color w:val="auto"/>
        </w:rPr>
      </w:pPr>
    </w:p>
    <w:p>
      <w:pPr>
        <w:ind w:left="660" w:hanging="324"/>
        <w:spacing w:after="0" w:line="238" w:lineRule="auto"/>
        <w:rPr>
          <w:rFonts w:ascii="Arial" w:cs="Arial" w:eastAsia="Arial" w:hAnsi="Arial"/>
          <w:sz w:val="18"/>
          <w:szCs w:val="18"/>
          <w:color w:val="auto"/>
        </w:rPr>
      </w:pPr>
      <w:r>
        <w:rPr>
          <w:rFonts w:ascii="Arial" w:cs="Arial" w:eastAsia="Arial" w:hAnsi="Arial"/>
          <w:sz w:val="18"/>
          <w:szCs w:val="18"/>
          <w:color w:val="auto"/>
        </w:rPr>
        <w:t>– We tested significant assumptions and judgments used in the Company’s calculation by developing an independent expectation of residual values and compared them to the estimated residual values calculated by the Company. Our independent expectation was calculated using our professional judgment by reference to third-party data, information produced by the Company, subsequent vehicle sales, and inquiries of management.</w:t>
      </w:r>
    </w:p>
    <w:p>
      <w:pPr>
        <w:spacing w:after="0" w:line="231" w:lineRule="exact"/>
        <w:rPr>
          <w:rFonts w:ascii="Arial" w:cs="Arial" w:eastAsia="Arial" w:hAnsi="Arial"/>
          <w:sz w:val="18"/>
          <w:szCs w:val="18"/>
          <w:color w:val="auto"/>
        </w:rPr>
      </w:pPr>
    </w:p>
    <w:p>
      <w:pPr>
        <w:ind w:left="660" w:hanging="324"/>
        <w:spacing w:after="0" w:line="246" w:lineRule="auto"/>
        <w:rPr>
          <w:rFonts w:ascii="Arial" w:cs="Arial" w:eastAsia="Arial" w:hAnsi="Arial"/>
          <w:sz w:val="18"/>
          <w:szCs w:val="18"/>
          <w:color w:val="auto"/>
        </w:rPr>
      </w:pPr>
      <w:r>
        <w:rPr>
          <w:rFonts w:ascii="Arial" w:cs="Arial" w:eastAsia="Arial" w:hAnsi="Arial"/>
          <w:sz w:val="18"/>
          <w:szCs w:val="18"/>
          <w:color w:val="auto"/>
        </w:rPr>
        <w:t>– We searched for contradictory evidence associated with the significant assumptions and judgments made by management based on our knowledge of the industry and review of third-party industry data.</w:t>
      </w:r>
    </w:p>
    <w:p>
      <w:pPr>
        <w:spacing w:after="0" w:line="223" w:lineRule="exact"/>
        <w:rPr>
          <w:rFonts w:ascii="Arial" w:cs="Arial" w:eastAsia="Arial" w:hAnsi="Arial"/>
          <w:sz w:val="18"/>
          <w:szCs w:val="18"/>
          <w:color w:val="auto"/>
        </w:rPr>
      </w:pPr>
    </w:p>
    <w:p>
      <w:pPr>
        <w:ind w:left="340" w:hanging="332"/>
        <w:spacing w:after="0" w:line="246"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developed an independent expectation of depreciation expense based on, but not limited to, the vehicles’ age and results of our residual value testing and compared it to the amount recorded by the Company as depreciation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Reserves - Public Liability and Property Damage Claims - United States - Refer to Note 2 to the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43"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The Company is self-insured for public liability and property damage claims. These self-insurance reserves represent an estimate for both reported claims not yet paid and claims incurred but not yet reported. The estimated reserve requirements for such claims are calculated on an undiscounted basis using actuarial methods and various assumptions which include, but are not limited to, historical loss experience and projected loss development factors. The required liability is subject to adjustment in the future based upon changes in claims experience, including changes in the number of incidents for which the Company is ultimately liable and changes in the cost per incident.</w:t>
      </w:r>
    </w:p>
    <w:p>
      <w:pPr>
        <w:spacing w:after="0" w:line="218"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Given the volume of public liability and property damage claims in the United States and the subjectivity of estimating the related self-insurance reserves for reported claims not yet paid and claims incurred but not yet reported due to uncertain exposure and projected loss development, performing audit procedures to evaluate whether these self-insurance reserves were appropriately recorded as of December 31, 2021 required a high degree of auditor judgment and an increased extent of effort, including the need to involve our actuarial specialists.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4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audit procedures related to United States public liability and property damage self-insurance reserves included the following, among others:</w:t>
      </w:r>
    </w:p>
    <w:p>
      <w:pPr>
        <w:spacing w:after="0" w:line="216" w:lineRule="exact"/>
        <w:rPr>
          <w:sz w:val="20"/>
          <w:szCs w:val="20"/>
          <w:color w:val="auto"/>
        </w:rPr>
      </w:pPr>
    </w:p>
    <w:p>
      <w:pPr>
        <w:ind w:left="340" w:right="20" w:hanging="332"/>
        <w:spacing w:after="0" w:line="235"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review of significant assumptions, key inputs and methods used to calculate the estimate of the reported claims not yet paid and claims incurred but not yet reported.</w:t>
      </w:r>
    </w:p>
    <w:p>
      <w:pPr>
        <w:spacing w:after="0" w:line="215" w:lineRule="exact"/>
        <w:rPr>
          <w:rFonts w:ascii="Arial" w:cs="Arial" w:eastAsia="Arial" w:hAnsi="Arial"/>
          <w:sz w:val="18"/>
          <w:szCs w:val="18"/>
          <w:color w:val="auto"/>
        </w:rPr>
      </w:pPr>
    </w:p>
    <w:p>
      <w:pPr>
        <w:ind w:left="340" w:right="20" w:hanging="332"/>
        <w:spacing w:after="0" w:line="235"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tested the underlying data that served as the basis for the Company’s actuarial analysis, including historical claims, to test that the inputs to the actuarial estimate were reasonable.</w:t>
      </w:r>
    </w:p>
    <w:p>
      <w:pPr>
        <w:spacing w:after="0" w:line="215" w:lineRule="exact"/>
        <w:rPr>
          <w:rFonts w:ascii="Arial" w:cs="Arial" w:eastAsia="Arial" w:hAnsi="Arial"/>
          <w:sz w:val="18"/>
          <w:szCs w:val="18"/>
          <w:color w:val="auto"/>
        </w:rPr>
      </w:pPr>
    </w:p>
    <w:p>
      <w:pPr>
        <w:jc w:val="both"/>
        <w:ind w:left="340" w:right="20" w:hanging="332"/>
        <w:spacing w:after="0" w:line="229"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 the assistance of our actuarial specialists, we developed an independent estimate of the self-insurance reserves, including assessment of loss data and claim development factors, and compared our estimate to management’s estimate. In addition, we performed the following:</w:t>
      </w:r>
    </w:p>
    <w:p>
      <w:pPr>
        <w:spacing w:after="0" w:line="231" w:lineRule="exact"/>
        <w:rPr>
          <w:rFonts w:ascii="Arial" w:cs="Arial" w:eastAsia="Arial" w:hAnsi="Arial"/>
          <w:sz w:val="18"/>
          <w:szCs w:val="18"/>
          <w:color w:val="auto"/>
        </w:rPr>
      </w:pPr>
    </w:p>
    <w:p>
      <w:pPr>
        <w:ind w:left="660" w:right="20" w:hanging="324"/>
        <w:spacing w:after="0" w:line="246" w:lineRule="auto"/>
        <w:rPr>
          <w:rFonts w:ascii="Arial" w:cs="Arial" w:eastAsia="Arial" w:hAnsi="Arial"/>
          <w:sz w:val="18"/>
          <w:szCs w:val="18"/>
          <w:color w:val="auto"/>
        </w:rPr>
      </w:pPr>
      <w:r>
        <w:rPr>
          <w:rFonts w:ascii="Arial" w:cs="Arial" w:eastAsia="Arial" w:hAnsi="Arial"/>
          <w:sz w:val="18"/>
          <w:szCs w:val="18"/>
          <w:color w:val="auto"/>
        </w:rPr>
        <w:t>– Evaluated the reasonableness of the methodologies used in management’s estimate based on actuarial methods followed in the insurance industry associated with such liabilities.</w:t>
      </w:r>
    </w:p>
    <w:p>
      <w:pPr>
        <w:spacing w:after="0" w:line="223" w:lineRule="exact"/>
        <w:rPr>
          <w:rFonts w:ascii="Arial" w:cs="Arial" w:eastAsia="Arial" w:hAnsi="Arial"/>
          <w:sz w:val="18"/>
          <w:szCs w:val="18"/>
          <w:color w:val="auto"/>
        </w:rPr>
      </w:pPr>
    </w:p>
    <w:p>
      <w:pPr>
        <w:ind w:left="660" w:hanging="324"/>
        <w:spacing w:after="0"/>
        <w:rPr>
          <w:rFonts w:ascii="Arial" w:cs="Arial" w:eastAsia="Arial" w:hAnsi="Arial"/>
          <w:sz w:val="18"/>
          <w:szCs w:val="18"/>
          <w:color w:val="auto"/>
        </w:rPr>
      </w:pPr>
      <w:r>
        <w:rPr>
          <w:rFonts w:ascii="Arial" w:cs="Arial" w:eastAsia="Arial" w:hAnsi="Arial"/>
          <w:sz w:val="18"/>
          <w:szCs w:val="18"/>
          <w:color w:val="auto"/>
        </w:rPr>
        <w:t>– Evaluated the reasonableness of the assumptions used in management’s estimate by comparing prior-year assumptions of expected development and ultimate loss to actuals incurred during the current year to identify potential bias in the determination of these liabilities.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 Europe, Middle East and Africa (“EMEA”) Reporting Unit - Refer to Notes 2 and 7 to the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evaluation of goodwill for impairment involves the comparison of the carrying value of each reporting unit to its fair value using the present value of expected future cash flows. When determining fair value, the Company utilizes various assumptions, including, but not limited to, the discount rate and management’s projections of future cash flows, which include forecasts of future revenue and adjusted earnings before interest, taxes, depreciation, and amortization (“Adjusted EBITDA”). A change in these underlying assumptions will cause a change in the results of the impairment test and, as such, could cause the fair value to be less than the respective carrying amount. For the Company’s Europe, Middle East and Africa (“EMEA”) reporting unit, the percentage by which the estimated fair value exceeded the carrying value as of the annual impairment testing date was 10% and the amount of goodwill allocated to this reporting unit was $488 million. Significant changes in events or conditions, including further impacts of the COVID-19 pandemic on the Company’s business and the travel industry, may impact the Company’s assumptions about future estimated cash flows and the discount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Given the significant judgments and assumptions made by management to estimate the fair value of the EMEA reporting unit combined with the estimation uncertainty related to the timing and magnitude of economic recovery, auditing the fair value of the EMEA reporting unit required extensive audit effort and judgment, including the need to involve our fair value specialists, when performing audit procedures to evaluate the reasonableness of management’s estimates and assumptions related to forecasts of future cash flows, specifically related to revenue and Adjusted EBITDA, and the selection of the discount 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5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audit procedures related to forecasts of future revenue and Adjusted EBITDA and the selection of the discount rate used by management to estimate the fair value of the EMEA reporting unit included the following, among others:</w:t>
      </w:r>
    </w:p>
    <w:p>
      <w:pPr>
        <w:spacing w:after="0" w:line="224" w:lineRule="exact"/>
        <w:rPr>
          <w:sz w:val="20"/>
          <w:szCs w:val="20"/>
          <w:color w:val="auto"/>
        </w:rPr>
      </w:pPr>
    </w:p>
    <w:p>
      <w:pPr>
        <w:ind w:left="340" w:hanging="332"/>
        <w:spacing w:after="0" w:line="246"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goodwill impairment evaluation, including those over the fair value calculation, forecasts of future revenue and Adjusted EBITDA, and the selection of the discount rate.</w:t>
      </w:r>
    </w:p>
    <w:p>
      <w:pPr>
        <w:spacing w:after="0" w:line="223" w:lineRule="exact"/>
        <w:rPr>
          <w:rFonts w:ascii="Arial" w:cs="Arial" w:eastAsia="Arial" w:hAnsi="Arial"/>
          <w:sz w:val="18"/>
          <w:szCs w:val="18"/>
          <w:color w:val="auto"/>
        </w:rPr>
      </w:pPr>
    </w:p>
    <w:p>
      <w:pPr>
        <w:jc w:val="both"/>
        <w:ind w:left="340" w:right="20" w:hanging="332"/>
        <w:spacing w:after="0"/>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 the assistance of fair value specialists, we evaluated the reasonableness of the valuation methodology and discount rate, including testing the source information underlying the determination of the discount rate, testing the mathematical accuracy of the calculation, and developing a range of independent estimates and comparing those to the discount rate selected by management.</w:t>
      </w:r>
    </w:p>
    <w:p>
      <w:pPr>
        <w:spacing w:after="0" w:line="229"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evaluated the reasonableness of management’s revenue and Adjusted EBITDA forecasts by comparing the forecasts to:</w:t>
      </w:r>
    </w:p>
    <w:p>
      <w:pPr>
        <w:spacing w:after="0" w:line="238"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Historical revenue and Adjusted EBITDA.</w:t>
      </w:r>
    </w:p>
    <w:p>
      <w:pPr>
        <w:spacing w:after="0" w:line="238"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Internal communications to management and the Board of Directors.</w:t>
      </w:r>
    </w:p>
    <w:p>
      <w:pPr>
        <w:spacing w:after="0" w:line="238"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Forecasted information included in analyst and industry reports for the Company and certain of its peer companies.</w:t>
      </w:r>
    </w:p>
    <w:p>
      <w:pPr>
        <w:spacing w:after="0" w:line="238" w:lineRule="exact"/>
        <w:rPr>
          <w:rFonts w:ascii="Arial" w:cs="Arial" w:eastAsia="Arial" w:hAnsi="Arial"/>
          <w:sz w:val="18"/>
          <w:szCs w:val="18"/>
          <w:color w:val="auto"/>
        </w:rPr>
      </w:pPr>
    </w:p>
    <w:p>
      <w:pPr>
        <w:ind w:left="340" w:hanging="332"/>
        <w:spacing w:after="0" w:line="246"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evaluated the reasonableness of management’s assumptions related to the severity of business disruption associated with the COVID-19 pandemic on the EMEA reporting unit and timing of economic recovery by:</w:t>
      </w:r>
    </w:p>
    <w:p>
      <w:pPr>
        <w:spacing w:after="0" w:line="223" w:lineRule="exact"/>
        <w:rPr>
          <w:rFonts w:ascii="Arial" w:cs="Arial" w:eastAsia="Arial" w:hAnsi="Arial"/>
          <w:sz w:val="18"/>
          <w:szCs w:val="18"/>
          <w:color w:val="auto"/>
        </w:rPr>
      </w:pPr>
    </w:p>
    <w:p>
      <w:pPr>
        <w:ind w:left="660" w:hanging="324"/>
        <w:spacing w:after="0" w:line="246" w:lineRule="auto"/>
        <w:rPr>
          <w:rFonts w:ascii="Arial" w:cs="Arial" w:eastAsia="Arial" w:hAnsi="Arial"/>
          <w:sz w:val="18"/>
          <w:szCs w:val="18"/>
          <w:color w:val="auto"/>
        </w:rPr>
      </w:pPr>
      <w:r>
        <w:rPr>
          <w:rFonts w:ascii="Arial" w:cs="Arial" w:eastAsia="Arial" w:hAnsi="Arial"/>
          <w:sz w:val="18"/>
          <w:szCs w:val="18"/>
          <w:color w:val="auto"/>
        </w:rPr>
        <w:t>– Comparing management’s analysis of the expected business disruption from the COVID-19 pandemic on the EMEA reporting unit to the business impacts previously observed.</w:t>
      </w:r>
    </w:p>
    <w:p>
      <w:pPr>
        <w:spacing w:after="0" w:line="223" w:lineRule="exact"/>
        <w:rPr>
          <w:rFonts w:ascii="Arial" w:cs="Arial" w:eastAsia="Arial" w:hAnsi="Arial"/>
          <w:sz w:val="18"/>
          <w:szCs w:val="18"/>
          <w:color w:val="auto"/>
        </w:rPr>
      </w:pPr>
    </w:p>
    <w:p>
      <w:pPr>
        <w:ind w:left="660" w:hanging="324"/>
        <w:spacing w:after="0"/>
        <w:rPr>
          <w:rFonts w:ascii="Arial" w:cs="Arial" w:eastAsia="Arial" w:hAnsi="Arial"/>
          <w:sz w:val="18"/>
          <w:szCs w:val="18"/>
          <w:color w:val="auto"/>
        </w:rPr>
      </w:pPr>
      <w:r>
        <w:rPr>
          <w:rFonts w:ascii="Arial" w:cs="Arial" w:eastAsia="Arial" w:hAnsi="Arial"/>
          <w:sz w:val="18"/>
          <w:szCs w:val="18"/>
          <w:color w:val="auto"/>
        </w:rPr>
        <w:t>– Comparing management’s analysis of the timing of economic recovery to external economic recovery and industry forecasts to evaluate contradictory evidence related to management’s assumptions regarding the expected impact of the COVID-19 business disruption and timing of recovery.</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73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1400" w:type="dxa"/>
            <w:vAlign w:val="bottom"/>
            <w:tcBorders>
              <w:top w:val="single" w:sz="8" w:color="0000FF"/>
            </w:tcBorders>
          </w:tcPr>
          <w:p>
            <w:pPr>
              <w:spacing w:after="0"/>
              <w:rPr>
                <w:sz w:val="24"/>
                <w:szCs w:val="24"/>
                <w:color w:val="auto"/>
              </w:rPr>
            </w:pPr>
          </w:p>
        </w:tc>
        <w:tc>
          <w:tcPr>
            <w:tcW w:w="5900" w:type="dxa"/>
            <w:vAlign w:val="bottom"/>
          </w:tcPr>
          <w:p>
            <w:pPr>
              <w:jc w:val="center"/>
              <w:ind w:left="2450"/>
              <w:spacing w:after="0"/>
              <w:rPr>
                <w:sz w:val="20"/>
                <w:szCs w:val="20"/>
                <w:color w:val="auto"/>
              </w:rPr>
            </w:pPr>
            <w:r>
              <w:rPr>
                <w:rFonts w:ascii="Arial" w:cs="Arial" w:eastAsia="Arial" w:hAnsi="Arial"/>
                <w:sz w:val="18"/>
                <w:szCs w:val="18"/>
                <w:b w:val="1"/>
                <w:bCs w:val="1"/>
                <w:color w:val="auto"/>
                <w:w w:val="99"/>
              </w:rPr>
              <w:t>Avis Budget Group, Inc.</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240" w:type="dxa"/>
            <w:vAlign w:val="bottom"/>
            <w:gridSpan w:val="4"/>
          </w:tcPr>
          <w:p>
            <w:pPr>
              <w:jc w:val="center"/>
              <w:ind w:left="111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5900" w:type="dxa"/>
            <w:vAlign w:val="bottom"/>
          </w:tcPr>
          <w:p>
            <w:pPr>
              <w:jc w:val="center"/>
              <w:ind w:left="2450"/>
              <w:spacing w:after="0"/>
              <w:rPr>
                <w:sz w:val="20"/>
                <w:szCs w:val="20"/>
                <w:color w:val="auto"/>
              </w:rPr>
            </w:pPr>
            <w:r>
              <w:rPr>
                <w:rFonts w:ascii="Arial" w:cs="Arial" w:eastAsia="Arial" w:hAnsi="Arial"/>
                <w:sz w:val="18"/>
                <w:szCs w:val="18"/>
                <w:b w:val="1"/>
                <w:bCs w:val="1"/>
                <w:color w:val="auto"/>
                <w:w w:val="99"/>
              </w:rPr>
              <w:t>(In millions, except per share data)</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14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7"/>
          </w:tcPr>
          <w:p>
            <w:pPr>
              <w:jc w:val="right"/>
              <w:ind w:right="69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426"/>
        </w:trPr>
        <w:tc>
          <w:tcPr>
            <w:tcW w:w="7300" w:type="dxa"/>
            <w:vAlign w:val="bottom"/>
            <w:gridSpan w:val="2"/>
          </w:tcPr>
          <w:p>
            <w:pPr>
              <w:ind w:left="2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9,313</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5,402</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9,172</w:t>
            </w:r>
          </w:p>
        </w:tc>
        <w:tc>
          <w:tcPr>
            <w:tcW w:w="0" w:type="dxa"/>
            <w:vAlign w:val="bottom"/>
          </w:tcPr>
          <w:p>
            <w:pPr>
              <w:spacing w:after="0"/>
              <w:rPr>
                <w:sz w:val="1"/>
                <w:szCs w:val="1"/>
                <w:color w:val="auto"/>
              </w:rPr>
            </w:pPr>
          </w:p>
        </w:tc>
      </w:tr>
      <w:tr>
        <w:trPr>
          <w:trHeight w:val="425"/>
        </w:trPr>
        <w:tc>
          <w:tcPr>
            <w:tcW w:w="7300" w:type="dxa"/>
            <w:vAlign w:val="bottom"/>
            <w:gridSpan w:val="2"/>
          </w:tcPr>
          <w:p>
            <w:pPr>
              <w:ind w:left="220"/>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4,698</w:t>
            </w:r>
          </w:p>
        </w:tc>
        <w:tc>
          <w:tcPr>
            <w:tcW w:w="0" w:type="dxa"/>
            <w:vAlign w:val="bottom"/>
          </w:tcPr>
          <w:p>
            <w:pPr>
              <w:spacing w:after="0"/>
              <w:rPr>
                <w:sz w:val="1"/>
                <w:szCs w:val="1"/>
                <w:color w:val="auto"/>
              </w:rPr>
            </w:pPr>
          </w:p>
        </w:tc>
      </w:tr>
      <w:tr>
        <w:trPr>
          <w:trHeight w:val="229"/>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Vehicle depreciation and lease charges,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30"/>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29"/>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Vehicle interest,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9"/>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Non-vehicle related depreciation and amortization</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0"/>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Interest expense related to corporate debt, net:</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gridSpan w:val="2"/>
          </w:tcPr>
          <w:p>
            <w:pPr>
              <w:ind w:left="6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9"/>
        </w:trPr>
        <w:tc>
          <w:tcPr>
            <w:tcW w:w="7300" w:type="dxa"/>
            <w:vAlign w:val="bottom"/>
            <w:gridSpan w:val="2"/>
          </w:tcPr>
          <w:p>
            <w:pPr>
              <w:ind w:left="68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Restructuring and other related charges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Transaction-related costs, net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7300" w:type="dxa"/>
            <w:vAlign w:val="bottom"/>
            <w:gridSpan w:val="2"/>
          </w:tcPr>
          <w:p>
            <w:pPr>
              <w:ind w:left="22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8,885</w:t>
            </w:r>
          </w:p>
        </w:tc>
        <w:tc>
          <w:tcPr>
            <w:tcW w:w="0" w:type="dxa"/>
            <w:vAlign w:val="bottom"/>
          </w:tcPr>
          <w:p>
            <w:pPr>
              <w:spacing w:after="0"/>
              <w:rPr>
                <w:sz w:val="1"/>
                <w:szCs w:val="1"/>
                <w:color w:val="auto"/>
              </w:rPr>
            </w:pPr>
          </w:p>
        </w:tc>
      </w:tr>
      <w:tr>
        <w:trPr>
          <w:trHeight w:val="304"/>
        </w:trPr>
        <w:tc>
          <w:tcPr>
            <w:tcW w:w="7300" w:type="dxa"/>
            <w:vAlign w:val="bottom"/>
            <w:gridSpan w:val="2"/>
          </w:tcPr>
          <w:p>
            <w:pPr>
              <w:ind w:left="220"/>
              <w:spacing w:after="0"/>
              <w:rPr>
                <w:sz w:val="20"/>
                <w:szCs w:val="20"/>
                <w:color w:val="auto"/>
              </w:rPr>
            </w:pPr>
            <w:r>
              <w:rPr>
                <w:rFonts w:ascii="Arial" w:cs="Arial" w:eastAsia="Arial" w:hAnsi="Arial"/>
                <w:sz w:val="18"/>
                <w:szCs w:val="18"/>
                <w:b w:val="1"/>
                <w:bCs w:val="1"/>
                <w:color w:val="auto"/>
              </w:rPr>
              <w:t>Income (loss) before income taxes</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9"/>
        </w:trPr>
        <w:tc>
          <w:tcPr>
            <w:tcW w:w="7300" w:type="dxa"/>
            <w:vAlign w:val="bottom"/>
            <w:gridSpan w:val="2"/>
          </w:tcPr>
          <w:p>
            <w:pPr>
              <w:ind w:left="220"/>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730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3"/>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Less: net loss attributable to non-controlling interests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0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 income (loss) attributable to Avis Budget Group, Inc.</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
        </w:trPr>
        <w:tc>
          <w:tcPr>
            <w:tcW w:w="730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Earnings (loss) per share</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73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19.79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0"/>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19.44</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040"/>
          </w:cols>
          <w:pgMar w:left="320" w:top="108"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8" w:right="53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75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1400" w:type="dxa"/>
            <w:vAlign w:val="bottom"/>
            <w:tcBorders>
              <w:top w:val="single" w:sz="8" w:color="0000FF"/>
            </w:tcBorders>
          </w:tcPr>
          <w:p>
            <w:pPr>
              <w:spacing w:after="0"/>
              <w:rPr>
                <w:sz w:val="24"/>
                <w:szCs w:val="24"/>
                <w:color w:val="auto"/>
              </w:rPr>
            </w:pPr>
          </w:p>
        </w:tc>
        <w:tc>
          <w:tcPr>
            <w:tcW w:w="6100" w:type="dxa"/>
            <w:vAlign w:val="bottom"/>
          </w:tcPr>
          <w:p>
            <w:pPr>
              <w:jc w:val="center"/>
              <w:ind w:left="2250"/>
              <w:spacing w:after="0"/>
              <w:rPr>
                <w:sz w:val="20"/>
                <w:szCs w:val="20"/>
                <w:color w:val="auto"/>
              </w:rPr>
            </w:pPr>
            <w:r>
              <w:rPr>
                <w:rFonts w:ascii="Arial" w:cs="Arial" w:eastAsia="Arial" w:hAnsi="Arial"/>
                <w:sz w:val="18"/>
                <w:szCs w:val="18"/>
                <w:b w:val="1"/>
                <w:bCs w:val="1"/>
                <w:color w:val="auto"/>
                <w:w w:val="99"/>
              </w:rPr>
              <w:t>Avis Budget Group,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340" w:type="dxa"/>
            <w:vAlign w:val="bottom"/>
            <w:gridSpan w:val="4"/>
          </w:tcPr>
          <w:p>
            <w:pPr>
              <w:jc w:val="center"/>
              <w:ind w:left="1010"/>
              <w:spacing w:after="0"/>
              <w:rPr>
                <w:sz w:val="20"/>
                <w:szCs w:val="20"/>
                <w:color w:val="auto"/>
              </w:rPr>
            </w:pPr>
            <w:r>
              <w:rPr>
                <w:rFonts w:ascii="Arial" w:cs="Arial" w:eastAsia="Arial" w:hAnsi="Arial"/>
                <w:sz w:val="18"/>
                <w:szCs w:val="18"/>
                <w:b w:val="1"/>
                <w:bCs w:val="1"/>
                <w:color w:val="auto"/>
                <w:w w:val="99"/>
              </w:rPr>
              <w:t>CONSOLIDATED STATEMENTS OF COMPREHENSIVE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6100" w:type="dxa"/>
            <w:vAlign w:val="bottom"/>
          </w:tcPr>
          <w:p>
            <w:pPr>
              <w:jc w:val="center"/>
              <w:ind w:left="2250"/>
              <w:spacing w:after="0"/>
              <w:rPr>
                <w:sz w:val="20"/>
                <w:szCs w:val="20"/>
                <w:color w:val="auto"/>
              </w:rPr>
            </w:pPr>
            <w:r>
              <w:rPr>
                <w:rFonts w:ascii="Arial" w:cs="Arial" w:eastAsia="Arial" w:hAnsi="Arial"/>
                <w:sz w:val="18"/>
                <w:szCs w:val="18"/>
                <w:b w:val="1"/>
                <w:bCs w:val="1"/>
                <w:color w:val="auto"/>
                <w:w w:val="98"/>
              </w:rPr>
              <w:t>(In millions)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14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7"/>
          </w:tcPr>
          <w:p>
            <w:pPr>
              <w:jc w:val="right"/>
              <w:ind w:right="63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426"/>
        </w:trPr>
        <w:tc>
          <w:tcPr>
            <w:tcW w:w="7500" w:type="dxa"/>
            <w:vAlign w:val="bottom"/>
            <w:gridSpan w:val="2"/>
          </w:tcPr>
          <w:p>
            <w:pPr>
              <w:ind w:left="8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9"/>
        </w:trPr>
        <w:tc>
          <w:tcPr>
            <w:tcW w:w="7500" w:type="dxa"/>
            <w:vAlign w:val="bottom"/>
            <w:gridSpan w:val="2"/>
          </w:tcPr>
          <w:p>
            <w:pPr>
              <w:ind w:left="300"/>
              <w:spacing w:after="0"/>
              <w:rPr>
                <w:sz w:val="20"/>
                <w:szCs w:val="20"/>
                <w:color w:val="auto"/>
              </w:rPr>
            </w:pPr>
            <w:r>
              <w:rPr>
                <w:rFonts w:ascii="Arial" w:cs="Arial" w:eastAsia="Arial" w:hAnsi="Arial"/>
                <w:sz w:val="18"/>
                <w:szCs w:val="18"/>
                <w:color w:val="auto"/>
              </w:rPr>
              <w:t>Less: net loss attributable to non-controlling interests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00" w:type="dxa"/>
            <w:vAlign w:val="bottom"/>
            <w:gridSpan w:val="2"/>
          </w:tcPr>
          <w:p>
            <w:pPr>
              <w:ind w:left="80"/>
              <w:spacing w:after="0"/>
              <w:rPr>
                <w:sz w:val="20"/>
                <w:szCs w:val="20"/>
                <w:color w:val="auto"/>
              </w:rPr>
            </w:pPr>
            <w:r>
              <w:rPr>
                <w:rFonts w:ascii="Arial" w:cs="Arial" w:eastAsia="Arial" w:hAnsi="Arial"/>
                <w:sz w:val="18"/>
                <w:szCs w:val="18"/>
                <w:b w:val="1"/>
                <w:bCs w:val="1"/>
                <w:color w:val="auto"/>
              </w:rPr>
              <w:t>Net income (loss) attributable to Avis Budget Group, Inc.</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392"/>
        </w:trPr>
        <w:tc>
          <w:tcPr>
            <w:tcW w:w="7500" w:type="dxa"/>
            <w:vAlign w:val="bottom"/>
            <w:gridSpan w:val="2"/>
          </w:tcPr>
          <w:p>
            <w:pPr>
              <w:ind w:left="80"/>
              <w:spacing w:after="0"/>
              <w:rPr>
                <w:sz w:val="20"/>
                <w:szCs w:val="20"/>
                <w:color w:val="auto"/>
              </w:rPr>
            </w:pPr>
            <w:r>
              <w:rPr>
                <w:rFonts w:ascii="Arial" w:cs="Arial" w:eastAsia="Arial" w:hAnsi="Arial"/>
                <w:sz w:val="18"/>
                <w:szCs w:val="18"/>
                <w:b w:val="1"/>
                <w:bCs w:val="1"/>
                <w:color w:val="auto"/>
              </w:rPr>
              <w:t>Other comprehensive income (loss), net of tax</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30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460"/>
              <w:spacing w:after="0"/>
              <w:rPr>
                <w:sz w:val="20"/>
                <w:szCs w:val="20"/>
                <w:color w:val="auto"/>
              </w:rPr>
            </w:pPr>
            <w:r>
              <w:rPr>
                <w:rFonts w:ascii="Arial" w:cs="Arial" w:eastAsia="Arial" w:hAnsi="Arial"/>
                <w:sz w:val="18"/>
                <w:szCs w:val="18"/>
                <w:color w:val="auto"/>
              </w:rPr>
              <w:t>Currency translation adjustments, net of tax of $(20), $23 and $(6), respectively</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7500" w:type="dxa"/>
            <w:vAlign w:val="bottom"/>
            <w:gridSpan w:val="2"/>
          </w:tcPr>
          <w:p>
            <w:pPr>
              <w:ind w:left="520"/>
              <w:spacing w:after="0"/>
              <w:rPr>
                <w:sz w:val="20"/>
                <w:szCs w:val="20"/>
                <w:color w:val="auto"/>
              </w:rPr>
            </w:pPr>
            <w:r>
              <w:rPr>
                <w:rFonts w:ascii="Arial" w:cs="Arial" w:eastAsia="Arial" w:hAnsi="Arial"/>
                <w:sz w:val="18"/>
                <w:szCs w:val="18"/>
                <w:color w:val="auto"/>
              </w:rPr>
              <w:t>Reclassification of currency translation adjustments to earnings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00" w:type="dxa"/>
            <w:vAlign w:val="bottom"/>
            <w:gridSpan w:val="2"/>
          </w:tcPr>
          <w:p>
            <w:pPr>
              <w:ind w:left="30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520"/>
              <w:spacing w:after="0"/>
              <w:rPr>
                <w:sz w:val="20"/>
                <w:szCs w:val="20"/>
                <w:color w:val="auto"/>
              </w:rPr>
            </w:pPr>
            <w:r>
              <w:rPr>
                <w:rFonts w:ascii="Arial" w:cs="Arial" w:eastAsia="Arial" w:hAnsi="Arial"/>
                <w:sz w:val="18"/>
                <w:szCs w:val="18"/>
                <w:color w:val="auto"/>
              </w:rPr>
              <w:t>Net unrealized holding gains (losses), net of tax of $(6), $14, and $7, respectively</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8"/>
        </w:trPr>
        <w:tc>
          <w:tcPr>
            <w:tcW w:w="7500" w:type="dxa"/>
            <w:vAlign w:val="bottom"/>
            <w:gridSpan w:val="2"/>
          </w:tcPr>
          <w:p>
            <w:pPr>
              <w:ind w:left="520"/>
              <w:spacing w:after="0" w:line="189" w:lineRule="exact"/>
              <w:rPr>
                <w:sz w:val="20"/>
                <w:szCs w:val="20"/>
                <w:color w:val="auto"/>
              </w:rPr>
            </w:pPr>
            <w:r>
              <w:rPr>
                <w:rFonts w:ascii="Arial" w:cs="Arial" w:eastAsia="Arial" w:hAnsi="Arial"/>
                <w:sz w:val="18"/>
                <w:szCs w:val="18"/>
                <w:color w:val="auto"/>
              </w:rPr>
              <w:t>Reclassification of cash flow hedges to earnings, net of tax of $(5), $(3), and $1,</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500" w:type="dxa"/>
            <w:vAlign w:val="bottom"/>
            <w:gridSpan w:val="2"/>
          </w:tcPr>
          <w:p>
            <w:pPr>
              <w:ind w:left="68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7500" w:type="dxa"/>
            <w:vAlign w:val="bottom"/>
            <w:gridSpan w:val="2"/>
          </w:tcPr>
          <w:p>
            <w:pPr>
              <w:ind w:left="300"/>
              <w:spacing w:after="0"/>
              <w:rPr>
                <w:sz w:val="20"/>
                <w:szCs w:val="20"/>
                <w:color w:val="auto"/>
              </w:rPr>
            </w:pPr>
            <w:r>
              <w:rPr>
                <w:rFonts w:ascii="Arial" w:cs="Arial" w:eastAsia="Arial" w:hAnsi="Arial"/>
                <w:sz w:val="18"/>
                <w:szCs w:val="18"/>
                <w:color w:val="auto"/>
              </w:rPr>
              <w:t>Minimum pension liability adjustment: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520"/>
              <w:spacing w:after="0"/>
              <w:rPr>
                <w:sz w:val="20"/>
                <w:szCs w:val="20"/>
                <w:color w:val="auto"/>
              </w:rPr>
            </w:pPr>
            <w:r>
              <w:rPr>
                <w:rFonts w:ascii="Arial" w:cs="Arial" w:eastAsia="Arial" w:hAnsi="Arial"/>
                <w:sz w:val="18"/>
                <w:szCs w:val="18"/>
                <w:color w:val="auto"/>
              </w:rPr>
              <w:t>Pension and post-retirement benefits, net of tax of $(13), $12, and $6, respectively</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8"/>
        </w:trPr>
        <w:tc>
          <w:tcPr>
            <w:tcW w:w="7500" w:type="dxa"/>
            <w:vAlign w:val="bottom"/>
            <w:gridSpan w:val="2"/>
          </w:tcPr>
          <w:p>
            <w:pPr>
              <w:ind w:left="520"/>
              <w:spacing w:after="0" w:line="189" w:lineRule="exact"/>
              <w:rPr>
                <w:sz w:val="20"/>
                <w:szCs w:val="20"/>
                <w:color w:val="auto"/>
              </w:rPr>
            </w:pPr>
            <w:r>
              <w:rPr>
                <w:rFonts w:ascii="Arial" w:cs="Arial" w:eastAsia="Arial" w:hAnsi="Arial"/>
                <w:sz w:val="18"/>
                <w:szCs w:val="18"/>
                <w:color w:val="auto"/>
              </w:rPr>
              <w:t>Reclassification of pension and post-retirement benefits to earnings, net of tax of $(2),</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500" w:type="dxa"/>
            <w:vAlign w:val="bottom"/>
            <w:gridSpan w:val="2"/>
          </w:tcPr>
          <w:p>
            <w:pPr>
              <w:ind w:left="680"/>
              <w:spacing w:after="0"/>
              <w:rPr>
                <w:sz w:val="20"/>
                <w:szCs w:val="20"/>
                <w:color w:val="auto"/>
              </w:rPr>
            </w:pPr>
            <w:r>
              <w:rPr>
                <w:rFonts w:ascii="Arial" w:cs="Arial" w:eastAsia="Arial" w:hAnsi="Arial"/>
                <w:sz w:val="18"/>
                <w:szCs w:val="18"/>
                <w:color w:val="auto"/>
              </w:rPr>
              <w:t>$(3), and $(2), respectively</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75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Total comprehensive income (loss) attributable to Avis Budget Group, Inc.</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7500" w:type="dxa"/>
            <w:vAlign w:val="bottom"/>
            <w:gridSpan w:val="2"/>
            <w:vMerge w:val="continue"/>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
        </w:trPr>
        <w:tc>
          <w:tcPr>
            <w:tcW w:w="14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Avis Budget Group, Inc.</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(In millions, except par value)</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53"/>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3"/>
                <w:szCs w:val="13"/>
                <w:b w:val="1"/>
                <w:bCs w:val="1"/>
                <w:color w:val="auto"/>
              </w:rPr>
              <w:t>Assets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3"/>
                <w:szCs w:val="13"/>
                <w:color w:val="auto"/>
              </w:rPr>
              <w:t>Current assets: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Cash and cash equivalents</w:t>
            </w:r>
          </w:p>
        </w:tc>
        <w:tc>
          <w:tcPr>
            <w:tcW w:w="360" w:type="dxa"/>
            <w:vAlign w:val="bottom"/>
          </w:tcPr>
          <w:p>
            <w:pPr>
              <w:jc w:val="right"/>
              <w:ind w:right="213"/>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534</w:t>
            </w:r>
          </w:p>
        </w:tc>
        <w:tc>
          <w:tcPr>
            <w:tcW w:w="100" w:type="dxa"/>
            <w:vAlign w:val="bottom"/>
          </w:tcPr>
          <w:p>
            <w:pPr>
              <w:spacing w:after="0"/>
              <w:rPr>
                <w:sz w:val="16"/>
                <w:szCs w:val="16"/>
                <w:color w:val="auto"/>
              </w:rPr>
            </w:pPr>
          </w:p>
        </w:tc>
        <w:tc>
          <w:tcPr>
            <w:tcW w:w="680" w:type="dxa"/>
            <w:vAlign w:val="bottom"/>
          </w:tcPr>
          <w:p>
            <w:pPr>
              <w:jc w:val="right"/>
              <w:ind w:right="513"/>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692</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Receivables (net of allowance for doubtful accounts of $84 and $60, respectively)</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775</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647</w:t>
            </w:r>
          </w:p>
        </w:tc>
        <w:tc>
          <w:tcPr>
            <w:tcW w:w="0" w:type="dxa"/>
            <w:vAlign w:val="bottom"/>
          </w:tcPr>
          <w:p>
            <w:pPr>
              <w:spacing w:after="0"/>
              <w:rPr>
                <w:sz w:val="1"/>
                <w:szCs w:val="1"/>
                <w:color w:val="auto"/>
              </w:rPr>
            </w:pPr>
          </w:p>
        </w:tc>
      </w:tr>
      <w:tr>
        <w:trPr>
          <w:trHeight w:val="197"/>
        </w:trPr>
        <w:tc>
          <w:tcPr>
            <w:tcW w:w="7760" w:type="dxa"/>
            <w:vAlign w:val="bottom"/>
          </w:tcPr>
          <w:p>
            <w:pPr>
              <w:ind w:left="200"/>
              <w:spacing w:after="0"/>
              <w:rPr>
                <w:sz w:val="20"/>
                <w:szCs w:val="20"/>
                <w:color w:val="auto"/>
              </w:rPr>
            </w:pPr>
            <w:r>
              <w:rPr>
                <w:rFonts w:ascii="Arial" w:cs="Arial" w:eastAsia="Arial" w:hAnsi="Arial"/>
                <w:sz w:val="13"/>
                <w:szCs w:val="13"/>
                <w:color w:val="auto"/>
              </w:rPr>
              <w:t>Other current assets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538</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456</w:t>
            </w:r>
          </w:p>
        </w:tc>
        <w:tc>
          <w:tcPr>
            <w:tcW w:w="0" w:type="dxa"/>
            <w:vAlign w:val="bottom"/>
          </w:tcPr>
          <w:p>
            <w:pPr>
              <w:spacing w:after="0"/>
              <w:rPr>
                <w:sz w:val="1"/>
                <w:szCs w:val="1"/>
                <w:color w:val="auto"/>
              </w:rPr>
            </w:pPr>
          </w:p>
        </w:tc>
      </w:tr>
      <w:tr>
        <w:trPr>
          <w:trHeight w:val="175"/>
        </w:trPr>
        <w:tc>
          <w:tcPr>
            <w:tcW w:w="7760" w:type="dxa"/>
            <w:vAlign w:val="bottom"/>
          </w:tcPr>
          <w:p>
            <w:pPr>
              <w:spacing w:after="0"/>
              <w:rPr>
                <w:sz w:val="20"/>
                <w:szCs w:val="20"/>
                <w:color w:val="auto"/>
              </w:rPr>
            </w:pPr>
            <w:r>
              <w:rPr>
                <w:rFonts w:ascii="Arial" w:cs="Arial" w:eastAsia="Arial" w:hAnsi="Arial"/>
                <w:sz w:val="13"/>
                <w:szCs w:val="13"/>
                <w:color w:val="auto"/>
              </w:rPr>
              <w:t>Total current assets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1,847</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1,795</w:t>
            </w:r>
          </w:p>
        </w:tc>
        <w:tc>
          <w:tcPr>
            <w:tcW w:w="0" w:type="dxa"/>
            <w:vAlign w:val="bottom"/>
          </w:tcPr>
          <w:p>
            <w:pPr>
              <w:spacing w:after="0"/>
              <w:rPr>
                <w:sz w:val="1"/>
                <w:szCs w:val="1"/>
                <w:color w:val="auto"/>
              </w:rPr>
            </w:pPr>
          </w:p>
        </w:tc>
      </w:tr>
      <w:tr>
        <w:trPr>
          <w:trHeight w:val="283"/>
        </w:trPr>
        <w:tc>
          <w:tcPr>
            <w:tcW w:w="776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537</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657</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3"/>
                <w:szCs w:val="13"/>
                <w:color w:val="auto"/>
              </w:rPr>
              <w:t>Operating lease right-of-use assets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2,368</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2,560</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3"/>
                <w:szCs w:val="13"/>
                <w:color w:val="auto"/>
              </w:rPr>
              <w:t>Deferred income taxes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1,615</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1,198</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3"/>
                <w:szCs w:val="13"/>
                <w:color w:val="auto"/>
              </w:rPr>
              <w:t>Goodwill</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1,108</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1,137</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3"/>
                <w:szCs w:val="13"/>
                <w:color w:val="auto"/>
              </w:rPr>
              <w:t>Other intangibles, net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724</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774</w:t>
            </w:r>
          </w:p>
        </w:tc>
        <w:tc>
          <w:tcPr>
            <w:tcW w:w="0" w:type="dxa"/>
            <w:vAlign w:val="bottom"/>
          </w:tcPr>
          <w:p>
            <w:pPr>
              <w:spacing w:after="0"/>
              <w:rPr>
                <w:sz w:val="1"/>
                <w:szCs w:val="1"/>
                <w:color w:val="auto"/>
              </w:rPr>
            </w:pPr>
          </w:p>
        </w:tc>
      </w:tr>
      <w:tr>
        <w:trPr>
          <w:trHeight w:val="197"/>
        </w:trPr>
        <w:tc>
          <w:tcPr>
            <w:tcW w:w="7760" w:type="dxa"/>
            <w:vAlign w:val="bottom"/>
          </w:tcPr>
          <w:p>
            <w:pPr>
              <w:spacing w:after="0"/>
              <w:rPr>
                <w:sz w:val="20"/>
                <w:szCs w:val="20"/>
                <w:color w:val="auto"/>
              </w:rPr>
            </w:pPr>
            <w:r>
              <w:rPr>
                <w:rFonts w:ascii="Arial" w:cs="Arial" w:eastAsia="Arial" w:hAnsi="Arial"/>
                <w:sz w:val="13"/>
                <w:szCs w:val="13"/>
                <w:color w:val="auto"/>
              </w:rPr>
              <w:t>Other non-current assets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382</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244</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3"/>
                <w:szCs w:val="13"/>
                <w:color w:val="auto"/>
              </w:rPr>
              <w:t>Total assets exclusive of assets under vehicle programs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8,581</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8,365</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3"/>
                <w:szCs w:val="13"/>
                <w:color w:val="auto"/>
              </w:rPr>
              <w:t>Assets under vehicle programs: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Program cash</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Vehicles, net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12,866</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8,153</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Receivables from vehicle manufacturers and other</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222</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281</w:t>
            </w:r>
          </w:p>
        </w:tc>
        <w:tc>
          <w:tcPr>
            <w:tcW w:w="0" w:type="dxa"/>
            <w:vAlign w:val="bottom"/>
          </w:tcPr>
          <w:p>
            <w:pPr>
              <w:spacing w:after="0"/>
              <w:rPr>
                <w:sz w:val="1"/>
                <w:szCs w:val="1"/>
                <w:color w:val="auto"/>
              </w:rPr>
            </w:pPr>
          </w:p>
        </w:tc>
      </w:tr>
      <w:tr>
        <w:trPr>
          <w:trHeight w:val="197"/>
        </w:trPr>
        <w:tc>
          <w:tcPr>
            <w:tcW w:w="7760" w:type="dxa"/>
            <w:vAlign w:val="bottom"/>
          </w:tcPr>
          <w:p>
            <w:pPr>
              <w:ind w:left="200"/>
              <w:spacing w:after="0"/>
              <w:rPr>
                <w:sz w:val="20"/>
                <w:szCs w:val="20"/>
                <w:color w:val="auto"/>
              </w:rPr>
            </w:pPr>
            <w:r>
              <w:rPr>
                <w:rFonts w:ascii="Arial" w:cs="Arial" w:eastAsia="Arial" w:hAnsi="Arial"/>
                <w:sz w:val="13"/>
                <w:szCs w:val="13"/>
                <w:color w:val="auto"/>
              </w:rPr>
              <w:t>Investment in Avis Budget Rental Car Funding (AESOP) LLC—related party</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842</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667</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14,019</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9,173</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3"/>
                <w:szCs w:val="13"/>
                <w:b w:val="1"/>
                <w:bCs w:val="1"/>
                <w:color w:val="auto"/>
              </w:rPr>
              <w:t>Total assets</w:t>
            </w:r>
          </w:p>
        </w:tc>
        <w:tc>
          <w:tcPr>
            <w:tcW w:w="3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22,600</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17,538</w:t>
            </w:r>
          </w:p>
        </w:tc>
        <w:tc>
          <w:tcPr>
            <w:tcW w:w="0" w:type="dxa"/>
            <w:vAlign w:val="bottom"/>
          </w:tcPr>
          <w:p>
            <w:pPr>
              <w:spacing w:after="0"/>
              <w:rPr>
                <w:sz w:val="1"/>
                <w:szCs w:val="1"/>
                <w:color w:val="auto"/>
              </w:rPr>
            </w:pPr>
          </w:p>
        </w:tc>
      </w:tr>
      <w:tr>
        <w:trPr>
          <w:trHeight w:val="27"/>
        </w:trPr>
        <w:tc>
          <w:tcPr>
            <w:tcW w:w="7760" w:type="dxa"/>
            <w:vAlign w:val="bottom"/>
            <w:vMerge w:val="restart"/>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6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3"/>
                <w:szCs w:val="13"/>
                <w:color w:val="auto"/>
              </w:rPr>
              <w:t>Current liabilities: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Accounts payable and other current liabilities</w:t>
            </w:r>
          </w:p>
        </w:tc>
        <w:tc>
          <w:tcPr>
            <w:tcW w:w="360" w:type="dxa"/>
            <w:vAlign w:val="bottom"/>
          </w:tcPr>
          <w:p>
            <w:pPr>
              <w:jc w:val="right"/>
              <w:ind w:right="213"/>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2,389</w:t>
            </w:r>
          </w:p>
        </w:tc>
        <w:tc>
          <w:tcPr>
            <w:tcW w:w="100" w:type="dxa"/>
            <w:vAlign w:val="bottom"/>
          </w:tcPr>
          <w:p>
            <w:pPr>
              <w:spacing w:after="0"/>
              <w:rPr>
                <w:sz w:val="16"/>
                <w:szCs w:val="16"/>
                <w:color w:val="auto"/>
              </w:rPr>
            </w:pPr>
          </w:p>
        </w:tc>
        <w:tc>
          <w:tcPr>
            <w:tcW w:w="680" w:type="dxa"/>
            <w:vAlign w:val="bottom"/>
          </w:tcPr>
          <w:p>
            <w:pPr>
              <w:jc w:val="right"/>
              <w:ind w:right="513"/>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2,034</w:t>
            </w:r>
          </w:p>
        </w:tc>
        <w:tc>
          <w:tcPr>
            <w:tcW w:w="0" w:type="dxa"/>
            <w:vAlign w:val="bottom"/>
          </w:tcPr>
          <w:p>
            <w:pPr>
              <w:spacing w:after="0"/>
              <w:rPr>
                <w:sz w:val="1"/>
                <w:szCs w:val="1"/>
                <w:color w:val="auto"/>
              </w:rPr>
            </w:pPr>
          </w:p>
        </w:tc>
      </w:tr>
      <w:tr>
        <w:trPr>
          <w:trHeight w:val="197"/>
        </w:trPr>
        <w:tc>
          <w:tcPr>
            <w:tcW w:w="7760" w:type="dxa"/>
            <w:vAlign w:val="bottom"/>
          </w:tcPr>
          <w:p>
            <w:pPr>
              <w:ind w:left="200"/>
              <w:spacing w:after="0"/>
              <w:rPr>
                <w:sz w:val="20"/>
                <w:szCs w:val="20"/>
                <w:color w:val="auto"/>
              </w:rPr>
            </w:pPr>
            <w:r>
              <w:rPr>
                <w:rFonts w:ascii="Arial" w:cs="Arial" w:eastAsia="Arial" w:hAnsi="Arial"/>
                <w:sz w:val="13"/>
                <w:szCs w:val="13"/>
                <w:color w:val="auto"/>
              </w:rPr>
              <w:t>Short-term debt and current portion of long-term debt</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75"/>
        </w:trPr>
        <w:tc>
          <w:tcPr>
            <w:tcW w:w="7760" w:type="dxa"/>
            <w:vAlign w:val="bottom"/>
          </w:tcPr>
          <w:p>
            <w:pPr>
              <w:spacing w:after="0"/>
              <w:rPr>
                <w:sz w:val="20"/>
                <w:szCs w:val="20"/>
                <w:color w:val="auto"/>
              </w:rPr>
            </w:pPr>
            <w:r>
              <w:rPr>
                <w:rFonts w:ascii="Arial" w:cs="Arial" w:eastAsia="Arial" w:hAnsi="Arial"/>
                <w:sz w:val="13"/>
                <w:szCs w:val="13"/>
                <w:color w:val="auto"/>
              </w:rPr>
              <w:t>Total current liabilities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2,408</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2,053</w:t>
            </w:r>
          </w:p>
        </w:tc>
        <w:tc>
          <w:tcPr>
            <w:tcW w:w="0" w:type="dxa"/>
            <w:vAlign w:val="bottom"/>
          </w:tcPr>
          <w:p>
            <w:pPr>
              <w:spacing w:after="0"/>
              <w:rPr>
                <w:sz w:val="1"/>
                <w:szCs w:val="1"/>
                <w:color w:val="auto"/>
              </w:rPr>
            </w:pPr>
          </w:p>
        </w:tc>
      </w:tr>
      <w:tr>
        <w:trPr>
          <w:trHeight w:val="243"/>
        </w:trPr>
        <w:tc>
          <w:tcPr>
            <w:tcW w:w="7760" w:type="dxa"/>
            <w:vAlign w:val="bottom"/>
          </w:tcPr>
          <w:p>
            <w:pPr>
              <w:spacing w:after="0"/>
              <w:rPr>
                <w:sz w:val="20"/>
                <w:szCs w:val="20"/>
                <w:color w:val="auto"/>
              </w:rPr>
            </w:pPr>
            <w:r>
              <w:rPr>
                <w:rFonts w:ascii="Arial" w:cs="Arial" w:eastAsia="Arial" w:hAnsi="Arial"/>
                <w:sz w:val="13"/>
                <w:szCs w:val="13"/>
                <w:color w:val="auto"/>
              </w:rPr>
              <w:t>Long-term debt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3,990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4,191</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3"/>
                <w:szCs w:val="13"/>
                <w:color w:val="auto"/>
              </w:rPr>
              <w:t>Long-term operating lease liabilities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1,910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2,078</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3"/>
                <w:szCs w:val="13"/>
                <w:color w:val="auto"/>
              </w:rPr>
              <w:t>Other non-current liabilities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625</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731</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3"/>
                <w:szCs w:val="13"/>
                <w:color w:val="auto"/>
              </w:rPr>
              <w:t>Total liabilities exclusive of liabilities under vehicle programs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8,933</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9,053</w:t>
            </w: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3"/>
                <w:szCs w:val="13"/>
                <w:color w:val="auto"/>
              </w:rPr>
              <w:t>Liabilities under vehicle programs: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Debt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2,542</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1,777</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Debt due to Avis Budget Rental Car Funding (AESOP) LLC—related party</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8,848</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5,080</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Deferred income taxes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2,242</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1,383</w:t>
            </w:r>
          </w:p>
        </w:tc>
        <w:tc>
          <w:tcPr>
            <w:tcW w:w="0" w:type="dxa"/>
            <w:vAlign w:val="bottom"/>
          </w:tcPr>
          <w:p>
            <w:pPr>
              <w:spacing w:after="0"/>
              <w:rPr>
                <w:sz w:val="1"/>
                <w:szCs w:val="1"/>
                <w:color w:val="auto"/>
              </w:rPr>
            </w:pPr>
          </w:p>
        </w:tc>
      </w:tr>
      <w:tr>
        <w:trPr>
          <w:trHeight w:val="197"/>
        </w:trPr>
        <w:tc>
          <w:tcPr>
            <w:tcW w:w="7760" w:type="dxa"/>
            <w:vAlign w:val="bottom"/>
          </w:tcPr>
          <w:p>
            <w:pPr>
              <w:ind w:left="200"/>
              <w:spacing w:after="0"/>
              <w:rPr>
                <w:sz w:val="20"/>
                <w:szCs w:val="20"/>
                <w:color w:val="auto"/>
              </w:rPr>
            </w:pPr>
            <w:r>
              <w:rPr>
                <w:rFonts w:ascii="Arial" w:cs="Arial" w:eastAsia="Arial" w:hAnsi="Arial"/>
                <w:sz w:val="13"/>
                <w:szCs w:val="13"/>
                <w:color w:val="auto"/>
              </w:rPr>
              <w:t>Other</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244</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13,876</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8,640</w:t>
            </w: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3"/>
                <w:szCs w:val="13"/>
                <w:color w:val="auto"/>
              </w:rPr>
              <w:t>Commitments and contingencies (Note 15)</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760" w:type="dxa"/>
            <w:vAlign w:val="bottom"/>
          </w:tcPr>
          <w:p>
            <w:pPr>
              <w:spacing w:after="0"/>
              <w:rPr>
                <w:sz w:val="20"/>
                <w:szCs w:val="20"/>
                <w:color w:val="auto"/>
              </w:rPr>
            </w:pPr>
            <w:r>
              <w:rPr>
                <w:rFonts w:ascii="Arial" w:cs="Arial" w:eastAsia="Arial" w:hAnsi="Arial"/>
                <w:sz w:val="13"/>
                <w:szCs w:val="13"/>
                <w:color w:val="auto"/>
              </w:rPr>
              <w:t>Stockholders’ equity:</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Preferred stock, $.01 par value—authorized 10 shares; none issued and outstanding</w:t>
            </w: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Common stock, $.01 par value—authorized 250 shares; issued 137 shares, respectively</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Additional paid-in capital</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6,676</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6,668</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Accumulated deficit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(185)</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(1,470)</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Accumulated other comprehensive loss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(187)</w:t>
            </w:r>
          </w:p>
        </w:tc>
        <w:tc>
          <w:tcPr>
            <w:tcW w:w="0" w:type="dxa"/>
            <w:vAlign w:val="bottom"/>
          </w:tcPr>
          <w:p>
            <w:pPr>
              <w:spacing w:after="0"/>
              <w:rPr>
                <w:sz w:val="1"/>
                <w:szCs w:val="1"/>
                <w:color w:val="auto"/>
              </w:rPr>
            </w:pPr>
          </w:p>
        </w:tc>
      </w:tr>
      <w:tr>
        <w:trPr>
          <w:trHeight w:val="196"/>
        </w:trPr>
        <w:tc>
          <w:tcPr>
            <w:tcW w:w="7760" w:type="dxa"/>
            <w:vAlign w:val="bottom"/>
          </w:tcPr>
          <w:p>
            <w:pPr>
              <w:ind w:left="200"/>
              <w:spacing w:after="0"/>
              <w:rPr>
                <w:sz w:val="20"/>
                <w:szCs w:val="20"/>
                <w:color w:val="auto"/>
              </w:rPr>
            </w:pPr>
            <w:r>
              <w:rPr>
                <w:rFonts w:ascii="Arial" w:cs="Arial" w:eastAsia="Arial" w:hAnsi="Arial"/>
                <w:sz w:val="13"/>
                <w:szCs w:val="13"/>
                <w:color w:val="auto"/>
              </w:rPr>
              <w:t>Treasury stock, at cost 81 and 67 shares, respectively</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(6,579)</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(5,167)</w:t>
            </w:r>
          </w:p>
        </w:tc>
        <w:tc>
          <w:tcPr>
            <w:tcW w:w="0" w:type="dxa"/>
            <w:vAlign w:val="bottom"/>
          </w:tcPr>
          <w:p>
            <w:pPr>
              <w:spacing w:after="0"/>
              <w:rPr>
                <w:sz w:val="1"/>
                <w:szCs w:val="1"/>
                <w:color w:val="auto"/>
              </w:rPr>
            </w:pPr>
          </w:p>
        </w:tc>
      </w:tr>
      <w:tr>
        <w:trPr>
          <w:trHeight w:val="175"/>
        </w:trPr>
        <w:tc>
          <w:tcPr>
            <w:tcW w:w="7760" w:type="dxa"/>
            <w:vAlign w:val="bottom"/>
          </w:tcPr>
          <w:p>
            <w:pPr>
              <w:spacing w:after="0"/>
              <w:rPr>
                <w:sz w:val="20"/>
                <w:szCs w:val="20"/>
                <w:color w:val="auto"/>
              </w:rPr>
            </w:pPr>
            <w:r>
              <w:rPr>
                <w:rFonts w:ascii="Arial" w:cs="Arial" w:eastAsia="Arial" w:hAnsi="Arial"/>
                <w:sz w:val="13"/>
                <w:szCs w:val="13"/>
                <w:color w:val="auto"/>
              </w:rPr>
              <w:t>Stockholders’ equity attributable to Avis Budget Group, Inc.</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(220)</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97"/>
        </w:trPr>
        <w:tc>
          <w:tcPr>
            <w:tcW w:w="7760" w:type="dxa"/>
            <w:vAlign w:val="bottom"/>
          </w:tcPr>
          <w:p>
            <w:pPr>
              <w:ind w:left="200"/>
              <w:spacing w:after="0"/>
              <w:rPr>
                <w:sz w:val="20"/>
                <w:szCs w:val="20"/>
                <w:color w:val="auto"/>
              </w:rPr>
            </w:pPr>
            <w:r>
              <w:rPr>
                <w:rFonts w:ascii="Arial" w:cs="Arial" w:eastAsia="Arial" w:hAnsi="Arial"/>
                <w:sz w:val="13"/>
                <w:szCs w:val="13"/>
                <w:color w:val="auto"/>
              </w:rPr>
              <w:t>Non-controlling interests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3"/>
                <w:szCs w:val="13"/>
                <w:color w:val="auto"/>
              </w:rPr>
              <w:t>Total stockholders’ equity</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(209)</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3"/>
                <w:szCs w:val="13"/>
                <w:b w:val="1"/>
                <w:bCs w:val="1"/>
                <w:color w:val="auto"/>
              </w:rPr>
              <w:t>Total liabilities and stockholders’ equity</w:t>
            </w:r>
          </w:p>
        </w:tc>
        <w:tc>
          <w:tcPr>
            <w:tcW w:w="3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22,600</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17,538</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7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95"/>
              </w:rPr>
              <w:t>2019</w:t>
            </w:r>
          </w:p>
        </w:tc>
        <w:tc>
          <w:tcPr>
            <w:tcW w:w="20" w:type="dxa"/>
            <w:vAlign w:val="bottom"/>
          </w:tcPr>
          <w:p>
            <w:pPr>
              <w:spacing w:after="0"/>
              <w:rPr>
                <w:sz w:val="18"/>
                <w:szCs w:val="18"/>
                <w:color w:val="auto"/>
              </w:rPr>
            </w:pPr>
          </w:p>
        </w:tc>
      </w:tr>
      <w:tr>
        <w:trPr>
          <w:trHeight w:val="195"/>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1,283</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302</w:t>
            </w:r>
          </w:p>
        </w:tc>
        <w:tc>
          <w:tcPr>
            <w:tcW w:w="20" w:type="dxa"/>
            <w:vAlign w:val="bottom"/>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6"/>
                <w:szCs w:val="16"/>
                <w:color w:val="auto"/>
              </w:rPr>
              <w:t>Vehicle depreciation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1,890</w:t>
            </w:r>
          </w:p>
        </w:tc>
        <w:tc>
          <w:tcPr>
            <w:tcW w:w="20" w:type="dxa"/>
            <w:vAlign w:val="bottom"/>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6"/>
                <w:szCs w:val="16"/>
                <w:color w:val="auto"/>
              </w:rPr>
              <w:t>Amortization of right-of-use assets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989</w:t>
            </w:r>
          </w:p>
        </w:tc>
        <w:tc>
          <w:tcPr>
            <w:tcW w:w="20" w:type="dxa"/>
            <w:vAlign w:val="bottom"/>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6"/>
                <w:szCs w:val="16"/>
                <w:color w:val="auto"/>
              </w:rPr>
              <w:t>(Gain) loss on sale of vehicles, net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(82)</w:t>
            </w:r>
          </w:p>
        </w:tc>
        <w:tc>
          <w:tcPr>
            <w:tcW w:w="20" w:type="dxa"/>
            <w:vAlign w:val="bottom"/>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6"/>
                <w:szCs w:val="16"/>
                <w:color w:val="auto"/>
              </w:rPr>
              <w:t>Non-vehicle related depreciation and amortization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263</w:t>
            </w:r>
          </w:p>
        </w:tc>
        <w:tc>
          <w:tcPr>
            <w:tcW w:w="20" w:type="dxa"/>
            <w:vAlign w:val="bottom"/>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(103)</w:t>
            </w:r>
          </w:p>
        </w:tc>
        <w:tc>
          <w:tcPr>
            <w:tcW w:w="20" w:type="dxa"/>
            <w:vAlign w:val="bottom"/>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6"/>
                <w:szCs w:val="16"/>
                <w:color w:val="auto"/>
              </w:rPr>
              <w:t>Amortization of debt financing fees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6"/>
                <w:szCs w:val="16"/>
                <w:color w:val="auto"/>
              </w:rPr>
              <w:t>Early extinguishment of debt costs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6"/>
                <w:szCs w:val="16"/>
                <w:color w:val="auto"/>
              </w:rPr>
              <w:t>Net change in assets and liabilities: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720" w:type="dxa"/>
            <w:vAlign w:val="bottom"/>
          </w:tcPr>
          <w:p>
            <w:pPr>
              <w:ind w:left="420"/>
              <w:spacing w:after="0"/>
              <w:rPr>
                <w:sz w:val="20"/>
                <w:szCs w:val="20"/>
                <w:color w:val="auto"/>
              </w:rPr>
            </w:pPr>
            <w:r>
              <w:rPr>
                <w:rFonts w:ascii="Arial" w:cs="Arial" w:eastAsia="Arial" w:hAnsi="Arial"/>
                <w:sz w:val="16"/>
                <w:szCs w:val="16"/>
                <w:color w:val="auto"/>
              </w:rPr>
              <w:t>Receivables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8"/>
                <w:szCs w:val="18"/>
                <w:color w:val="auto"/>
              </w:rPr>
            </w:pPr>
          </w:p>
        </w:tc>
      </w:tr>
      <w:tr>
        <w:trPr>
          <w:trHeight w:val="216"/>
        </w:trPr>
        <w:tc>
          <w:tcPr>
            <w:tcW w:w="7720" w:type="dxa"/>
            <w:vAlign w:val="bottom"/>
          </w:tcPr>
          <w:p>
            <w:pPr>
              <w:ind w:left="420"/>
              <w:spacing w:after="0"/>
              <w:rPr>
                <w:sz w:val="20"/>
                <w:szCs w:val="20"/>
                <w:color w:val="auto"/>
              </w:rPr>
            </w:pPr>
            <w:r>
              <w:rPr>
                <w:rFonts w:ascii="Arial" w:cs="Arial" w:eastAsia="Arial" w:hAnsi="Arial"/>
                <w:sz w:val="16"/>
                <w:szCs w:val="16"/>
                <w:color w:val="auto"/>
              </w:rPr>
              <w:t>Income taxes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8"/>
                <w:szCs w:val="18"/>
                <w:color w:val="auto"/>
              </w:rPr>
            </w:pPr>
          </w:p>
        </w:tc>
      </w:tr>
      <w:tr>
        <w:trPr>
          <w:trHeight w:val="216"/>
        </w:trPr>
        <w:tc>
          <w:tcPr>
            <w:tcW w:w="7720" w:type="dxa"/>
            <w:vAlign w:val="bottom"/>
          </w:tcPr>
          <w:p>
            <w:pPr>
              <w:ind w:left="420"/>
              <w:spacing w:after="0"/>
              <w:rPr>
                <w:sz w:val="20"/>
                <w:szCs w:val="20"/>
                <w:color w:val="auto"/>
              </w:rPr>
            </w:pPr>
            <w:r>
              <w:rPr>
                <w:rFonts w:ascii="Arial" w:cs="Arial" w:eastAsia="Arial" w:hAnsi="Arial"/>
                <w:sz w:val="16"/>
                <w:szCs w:val="16"/>
                <w:color w:val="auto"/>
              </w:rPr>
              <w:t>Accounts payable and other current liabilities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84</w:t>
            </w:r>
          </w:p>
        </w:tc>
        <w:tc>
          <w:tcPr>
            <w:tcW w:w="20" w:type="dxa"/>
            <w:vAlign w:val="bottom"/>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6"/>
                <w:szCs w:val="16"/>
                <w:color w:val="auto"/>
              </w:rPr>
              <w:t>Operating lease liabilities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(981)</w:t>
            </w:r>
          </w:p>
        </w:tc>
        <w:tc>
          <w:tcPr>
            <w:tcW w:w="20" w:type="dxa"/>
            <w:vAlign w:val="bottom"/>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20" w:type="dxa"/>
            <w:vAlign w:val="bottom"/>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2,586</w:t>
            </w:r>
          </w:p>
        </w:tc>
        <w:tc>
          <w:tcPr>
            <w:tcW w:w="20" w:type="dxa"/>
            <w:vAlign w:val="bottom"/>
          </w:tcPr>
          <w:p>
            <w:pPr>
              <w:spacing w:after="0"/>
              <w:rPr>
                <w:sz w:val="18"/>
                <w:szCs w:val="18"/>
                <w:color w:val="auto"/>
              </w:rPr>
            </w:pPr>
          </w:p>
        </w:tc>
      </w:tr>
      <w:tr>
        <w:trPr>
          <w:trHeight w:val="412"/>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color w:val="auto"/>
              </w:rPr>
              <w:t>Property and equipment additions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(250)</w:t>
            </w:r>
          </w:p>
        </w:tc>
        <w:tc>
          <w:tcPr>
            <w:tcW w:w="20" w:type="dxa"/>
            <w:vAlign w:val="bottom"/>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color w:val="auto"/>
              </w:rPr>
              <w:t>Proceeds received on asset sales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color w:val="auto"/>
              </w:rPr>
              <w:t>Net assets acquired (net of cash acquired)</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(77)</w:t>
            </w:r>
          </w:p>
        </w:tc>
        <w:tc>
          <w:tcPr>
            <w:tcW w:w="20" w:type="dxa"/>
            <w:vAlign w:val="bottom"/>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81</w:t>
            </w:r>
          </w:p>
        </w:tc>
        <w:tc>
          <w:tcPr>
            <w:tcW w:w="20" w:type="dxa"/>
            <w:vAlign w:val="bottom"/>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 exclusive of vehicle programs</w:t>
            </w: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20" w:type="dxa"/>
            <w:vAlign w:val="bottom"/>
          </w:tcPr>
          <w:p>
            <w:pPr>
              <w:spacing w:after="0"/>
              <w:rPr>
                <w:sz w:val="18"/>
                <w:szCs w:val="18"/>
                <w:color w:val="auto"/>
              </w:rPr>
            </w:pPr>
          </w:p>
        </w:tc>
      </w:tr>
      <w:tr>
        <w:trPr>
          <w:trHeight w:val="412"/>
        </w:trPr>
        <w:tc>
          <w:tcPr>
            <w:tcW w:w="7720" w:type="dxa"/>
            <w:vAlign w:val="bottom"/>
          </w:tcPr>
          <w:p>
            <w:pPr>
              <w:ind w:left="20"/>
              <w:spacing w:after="0"/>
              <w:rPr>
                <w:sz w:val="20"/>
                <w:szCs w:val="20"/>
                <w:color w:val="auto"/>
              </w:rPr>
            </w:pPr>
            <w:r>
              <w:rPr>
                <w:rFonts w:ascii="Arial" w:cs="Arial" w:eastAsia="Arial" w:hAnsi="Arial"/>
                <w:sz w:val="16"/>
                <w:szCs w:val="16"/>
                <w:i w:val="1"/>
                <w:iCs w:val="1"/>
                <w:color w:val="auto"/>
              </w:rPr>
              <w:t>Vehicle programs: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6"/>
                <w:szCs w:val="16"/>
                <w:color w:val="auto"/>
              </w:rPr>
              <w:t>Investment in vehicles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(12,887)</w:t>
            </w:r>
          </w:p>
        </w:tc>
        <w:tc>
          <w:tcPr>
            <w:tcW w:w="20" w:type="dxa"/>
            <w:vAlign w:val="bottom"/>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6"/>
                <w:szCs w:val="16"/>
                <w:color w:val="auto"/>
              </w:rPr>
              <w:t>Proceeds received on disposition of vehicles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10,460</w:t>
            </w:r>
          </w:p>
        </w:tc>
        <w:tc>
          <w:tcPr>
            <w:tcW w:w="20" w:type="dxa"/>
            <w:vAlign w:val="bottom"/>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6"/>
                <w:szCs w:val="16"/>
                <w:color w:val="auto"/>
              </w:rPr>
              <w:t>Investment in debt securities of Avis Budget Rental Car Funding (AESOP)—related party</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(251)</w:t>
            </w:r>
          </w:p>
        </w:tc>
        <w:tc>
          <w:tcPr>
            <w:tcW w:w="20" w:type="dxa"/>
            <w:vAlign w:val="bottom"/>
          </w:tcPr>
          <w:p>
            <w:pPr>
              <w:spacing w:after="0"/>
              <w:rPr>
                <w:sz w:val="18"/>
                <w:szCs w:val="18"/>
                <w:color w:val="auto"/>
              </w:rPr>
            </w:pPr>
          </w:p>
        </w:tc>
      </w:tr>
      <w:tr>
        <w:trPr>
          <w:trHeight w:val="219"/>
        </w:trPr>
        <w:tc>
          <w:tcPr>
            <w:tcW w:w="7720" w:type="dxa"/>
            <w:vAlign w:val="bottom"/>
          </w:tcPr>
          <w:p>
            <w:pPr>
              <w:ind w:left="180"/>
              <w:spacing w:after="0"/>
              <w:rPr>
                <w:sz w:val="20"/>
                <w:szCs w:val="20"/>
                <w:color w:val="auto"/>
              </w:rPr>
            </w:pPr>
            <w:r>
              <w:rPr>
                <w:rFonts w:ascii="Arial" w:cs="Arial" w:eastAsia="Arial" w:hAnsi="Arial"/>
                <w:sz w:val="16"/>
                <w:szCs w:val="16"/>
                <w:color w:val="auto"/>
              </w:rPr>
              <w:t>Proceeds from debt securities of Avis Budget Rental Car Funding (AESOP)—related party</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20" w:type="dxa"/>
            <w:vAlign w:val="bottom"/>
          </w:tcPr>
          <w:p>
            <w:pPr>
              <w:spacing w:after="0"/>
              <w:rPr>
                <w:sz w:val="19"/>
                <w:szCs w:val="19"/>
                <w:color w:val="auto"/>
              </w:rPr>
            </w:pPr>
          </w:p>
        </w:tc>
      </w:tr>
      <w:tr>
        <w:trPr>
          <w:trHeight w:val="207"/>
        </w:trPr>
        <w:tc>
          <w:tcPr>
            <w:tcW w:w="77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(6,152)</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(2,517)</w:t>
            </w:r>
          </w:p>
        </w:tc>
        <w:tc>
          <w:tcPr>
            <w:tcW w:w="20" w:type="dxa"/>
            <w:vAlign w:val="bottom"/>
          </w:tcPr>
          <w:p>
            <w:pPr>
              <w:spacing w:after="0"/>
              <w:rPr>
                <w:sz w:val="17"/>
                <w:szCs w:val="17"/>
                <w:color w:val="auto"/>
              </w:rPr>
            </w:pPr>
          </w:p>
        </w:tc>
      </w:tr>
      <w:tr>
        <w:trPr>
          <w:trHeight w:val="209"/>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3,177</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(2,752)</w:t>
            </w:r>
          </w:p>
        </w:tc>
        <w:tc>
          <w:tcPr>
            <w:tcW w:w="20" w:type="dxa"/>
            <w:vAlign w:val="bottom"/>
          </w:tcPr>
          <w:p>
            <w:pPr>
              <w:spacing w:after="0"/>
              <w:rPr>
                <w:sz w:val="18"/>
                <w:szCs w:val="18"/>
                <w:color w:val="auto"/>
              </w:rPr>
            </w:pPr>
          </w:p>
        </w:tc>
      </w:tr>
      <w:tr>
        <w:trPr>
          <w:trHeight w:val="412"/>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color w:val="auto"/>
              </w:rPr>
              <w:t>Proceeds from long-term borrowings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402</w:t>
            </w:r>
          </w:p>
        </w:tc>
        <w:tc>
          <w:tcPr>
            <w:tcW w:w="20" w:type="dxa"/>
            <w:vAlign w:val="bottom"/>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color w:val="auto"/>
              </w:rPr>
              <w:t>Payments on long-term borrowings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(509)</w:t>
            </w:r>
          </w:p>
        </w:tc>
        <w:tc>
          <w:tcPr>
            <w:tcW w:w="20" w:type="dxa"/>
            <w:vAlign w:val="bottom"/>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color w:val="auto"/>
              </w:rPr>
              <w:t>Net change in short-term borrowings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color w:val="auto"/>
              </w:rPr>
              <w:t>Debt financing fees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color w:val="auto"/>
              </w:rPr>
              <w:t>Proceeds from issuance of common stock</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color w:val="auto"/>
              </w:rPr>
              <w:t>Repurchases of common stock</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w:t>
            </w:r>
          </w:p>
        </w:tc>
        <w:tc>
          <w:tcPr>
            <w:tcW w:w="20" w:type="dxa"/>
            <w:vAlign w:val="bottom"/>
          </w:tcPr>
          <w:p>
            <w:pPr>
              <w:spacing w:after="0"/>
              <w:rPr>
                <w:sz w:val="18"/>
                <w:szCs w:val="18"/>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6"/>
                <w:szCs w:val="16"/>
                <w:color w:val="auto"/>
              </w:rPr>
              <w:t>Contributions from non-controlling interests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 exclusive of vehicle programs</w:t>
            </w: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(1,699)</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20" w:type="dxa"/>
            <w:vAlign w:val="bottom"/>
          </w:tcPr>
          <w:p>
            <w:pPr>
              <w:spacing w:after="0"/>
              <w:rPr>
                <w:sz w:val="17"/>
                <w:szCs w:val="17"/>
                <w:color w:val="auto"/>
              </w:rPr>
            </w:pPr>
          </w:p>
        </w:tc>
      </w:tr>
      <w:tr>
        <w:trPr>
          <w:trHeight w:val="904"/>
        </w:trPr>
        <w:tc>
          <w:tcPr>
            <w:tcW w:w="7720" w:type="dxa"/>
            <w:vAlign w:val="bottom"/>
          </w:tcPr>
          <w:p>
            <w:pPr>
              <w:ind w:left="5480"/>
              <w:spacing w:after="0"/>
              <w:rPr>
                <w:sz w:val="20"/>
                <w:szCs w:val="20"/>
                <w:color w:val="auto"/>
              </w:rPr>
            </w:pPr>
            <w:r>
              <w:rPr>
                <w:rFonts w:ascii="Arial" w:cs="Arial" w:eastAsia="Arial" w:hAnsi="Arial"/>
                <w:sz w:val="18"/>
                <w:szCs w:val="18"/>
                <w:color w:val="auto"/>
              </w:rPr>
              <w:t>F-9</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7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1"/>
        </w:trPr>
        <w:tc>
          <w:tcPr>
            <w:tcW w:w="7620" w:type="dxa"/>
            <w:vAlign w:val="bottom"/>
          </w:tcPr>
          <w:p>
            <w:pPr>
              <w:spacing w:after="0"/>
              <w:rPr>
                <w:sz w:val="20"/>
                <w:szCs w:val="20"/>
                <w:color w:val="auto"/>
              </w:rPr>
            </w:pPr>
            <w:r>
              <w:rPr>
                <w:rFonts w:ascii="Arial" w:cs="Arial" w:eastAsia="Arial" w:hAnsi="Arial"/>
                <w:sz w:val="16"/>
                <w:szCs w:val="16"/>
                <w:i w:val="1"/>
                <w:iCs w:val="1"/>
                <w:color w:val="auto"/>
              </w:rPr>
              <w:t>Vehicle programs: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60"/>
              <w:spacing w:after="0"/>
              <w:rPr>
                <w:sz w:val="20"/>
                <w:szCs w:val="20"/>
                <w:color w:val="auto"/>
              </w:rPr>
            </w:pPr>
            <w:r>
              <w:rPr>
                <w:rFonts w:ascii="Arial" w:cs="Arial" w:eastAsia="Arial" w:hAnsi="Arial"/>
                <w:sz w:val="16"/>
                <w:szCs w:val="16"/>
                <w:color w:val="auto"/>
              </w:rPr>
              <w:t>Proceeds from borrowings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14,467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13,558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19,869</w:t>
            </w:r>
          </w:p>
        </w:tc>
        <w:tc>
          <w:tcPr>
            <w:tcW w:w="0" w:type="dxa"/>
            <w:vAlign w:val="bottom"/>
          </w:tcPr>
          <w:p>
            <w:pPr>
              <w:spacing w:after="0"/>
              <w:rPr>
                <w:sz w:val="1"/>
                <w:szCs w:val="1"/>
                <w:color w:val="auto"/>
              </w:rPr>
            </w:pPr>
          </w:p>
        </w:tc>
      </w:tr>
      <w:tr>
        <w:trPr>
          <w:trHeight w:val="216"/>
        </w:trPr>
        <w:tc>
          <w:tcPr>
            <w:tcW w:w="7620" w:type="dxa"/>
            <w:vAlign w:val="bottom"/>
          </w:tcPr>
          <w:p>
            <w:pPr>
              <w:ind w:left="160"/>
              <w:spacing w:after="0"/>
              <w:rPr>
                <w:sz w:val="20"/>
                <w:szCs w:val="20"/>
                <w:color w:val="auto"/>
              </w:rPr>
            </w:pPr>
            <w:r>
              <w:rPr>
                <w:rFonts w:ascii="Arial" w:cs="Arial" w:eastAsia="Arial" w:hAnsi="Arial"/>
                <w:sz w:val="16"/>
                <w:szCs w:val="16"/>
                <w:color w:val="auto"/>
              </w:rPr>
              <w:t>Payments on borrowings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(18,138)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(19,346)</w:t>
            </w:r>
          </w:p>
        </w:tc>
        <w:tc>
          <w:tcPr>
            <w:tcW w:w="0" w:type="dxa"/>
            <w:vAlign w:val="bottom"/>
          </w:tcPr>
          <w:p>
            <w:pPr>
              <w:spacing w:after="0"/>
              <w:rPr>
                <w:sz w:val="1"/>
                <w:szCs w:val="1"/>
                <w:color w:val="auto"/>
              </w:rPr>
            </w:pPr>
          </w:p>
        </w:tc>
      </w:tr>
      <w:tr>
        <w:trPr>
          <w:trHeight w:val="219"/>
        </w:trPr>
        <w:tc>
          <w:tcPr>
            <w:tcW w:w="7620" w:type="dxa"/>
            <w:vAlign w:val="bottom"/>
          </w:tcPr>
          <w:p>
            <w:pPr>
              <w:ind w:left="160"/>
              <w:spacing w:after="0"/>
              <w:rPr>
                <w:sz w:val="20"/>
                <w:szCs w:val="20"/>
                <w:color w:val="auto"/>
              </w:rPr>
            </w:pPr>
            <w:r>
              <w:rPr>
                <w:rFonts w:ascii="Arial" w:cs="Arial" w:eastAsia="Arial" w:hAnsi="Arial"/>
                <w:sz w:val="16"/>
                <w:szCs w:val="16"/>
                <w:color w:val="auto"/>
              </w:rPr>
              <w:t>Debt financing fees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7"/>
        </w:trPr>
        <w:tc>
          <w:tcPr>
            <w:tcW w:w="7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4,386</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(4,598)</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3"/>
        </w:trPr>
        <w:tc>
          <w:tcPr>
            <w:tcW w:w="7620" w:type="dxa"/>
            <w:vAlign w:val="bottom"/>
          </w:tcPr>
          <w:p>
            <w:pPr>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412"/>
        </w:trPr>
        <w:tc>
          <w:tcPr>
            <w:tcW w:w="7620" w:type="dxa"/>
            <w:vAlign w:val="bottom"/>
          </w:tcPr>
          <w:p>
            <w:pPr>
              <w:spacing w:after="0"/>
              <w:rPr>
                <w:sz w:val="20"/>
                <w:szCs w:val="20"/>
                <w:color w:val="auto"/>
              </w:rPr>
            </w:pPr>
            <w:r>
              <w:rPr>
                <w:rFonts w:ascii="Arial" w:cs="Arial" w:eastAsia="Arial" w:hAnsi="Arial"/>
                <w:sz w:val="16"/>
                <w:szCs w:val="16"/>
                <w:color w:val="auto"/>
              </w:rPr>
              <w:t>Effect of changes in exchange rates on cash and cash equivalents, program and restricted cash</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409"/>
        </w:trPr>
        <w:tc>
          <w:tcPr>
            <w:tcW w:w="7620" w:type="dxa"/>
            <w:vAlign w:val="bottom"/>
          </w:tcPr>
          <w:p>
            <w:pPr>
              <w:spacing w:after="0"/>
              <w:rPr>
                <w:sz w:val="20"/>
                <w:szCs w:val="20"/>
                <w:color w:val="auto"/>
              </w:rPr>
            </w:pPr>
            <w:r>
              <w:rPr>
                <w:rFonts w:ascii="Arial" w:cs="Arial" w:eastAsia="Arial" w:hAnsi="Arial"/>
                <w:sz w:val="16"/>
                <w:szCs w:val="16"/>
                <w:color w:val="auto"/>
              </w:rPr>
              <w:t>Net (decrease) increase in cash and cash equivalents, program and restricted cash</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beginning of period</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209"/>
        </w:trPr>
        <w:tc>
          <w:tcPr>
            <w:tcW w:w="7620" w:type="dxa"/>
            <w:vAlign w:val="bottom"/>
          </w:tcPr>
          <w:p>
            <w:pPr>
              <w:spacing w:after="0"/>
              <w:rPr>
                <w:sz w:val="20"/>
                <w:szCs w:val="20"/>
                <w:color w:val="auto"/>
              </w:rPr>
            </w:pPr>
            <w:r>
              <w:rPr>
                <w:rFonts w:ascii="Arial" w:cs="Arial" w:eastAsia="Arial" w:hAnsi="Arial"/>
                <w:sz w:val="16"/>
                <w:szCs w:val="16"/>
                <w:b w:val="1"/>
                <w:bCs w:val="1"/>
                <w:color w:val="auto"/>
              </w:rPr>
              <w:t>Cash and cash equivalents, program and restricted cash, end of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7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Interest payments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Income tax payments, net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Stockholders’</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40" w:type="dxa"/>
            <w:vAlign w:val="bottom"/>
          </w:tcPr>
          <w:p>
            <w:pPr>
              <w:spacing w:after="0"/>
              <w:rPr>
                <w:sz w:val="10"/>
                <w:szCs w:val="10"/>
                <w:color w:val="auto"/>
              </w:rPr>
            </w:pPr>
          </w:p>
        </w:tc>
        <w:tc>
          <w:tcPr>
            <w:tcW w:w="1460" w:type="dxa"/>
            <w:vAlign w:val="bottom"/>
            <w:gridSpan w:val="5"/>
          </w:tcPr>
          <w:p>
            <w:pPr>
              <w:ind w:left="280"/>
              <w:spacing w:after="0" w:line="122" w:lineRule="exact"/>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0"/>
                <w:szCs w:val="10"/>
                <w:color w:val="auto"/>
              </w:rPr>
            </w:pPr>
          </w:p>
        </w:tc>
        <w:tc>
          <w:tcPr>
            <w:tcW w:w="7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8"/>
              </w:rPr>
              <w:t>Accumulated Other</w:t>
            </w:r>
          </w:p>
        </w:tc>
        <w:tc>
          <w:tcPr>
            <w:tcW w:w="1580" w:type="dxa"/>
            <w:vAlign w:val="bottom"/>
            <w:gridSpan w:val="5"/>
          </w:tcPr>
          <w:p>
            <w:pPr>
              <w:ind w:left="340"/>
              <w:spacing w:after="0" w:line="122" w:lineRule="exact"/>
              <w:rPr>
                <w:sz w:val="20"/>
                <w:szCs w:val="20"/>
                <w:color w:val="auto"/>
              </w:rPr>
            </w:pPr>
            <w:r>
              <w:rPr>
                <w:rFonts w:ascii="Arial" w:cs="Arial" w:eastAsia="Arial" w:hAnsi="Arial"/>
                <w:sz w:val="11"/>
                <w:szCs w:val="11"/>
                <w:b w:val="1"/>
                <w:bCs w:val="1"/>
                <w:color w:val="auto"/>
              </w:rPr>
              <w:t>Treasury Stock</w:t>
            </w:r>
          </w:p>
        </w:tc>
        <w:tc>
          <w:tcPr>
            <w:tcW w:w="11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7"/>
              </w:rPr>
              <w:t>Equity Attributable</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64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restart"/>
          </w:tcPr>
          <w:p>
            <w:pPr>
              <w:ind w:left="100"/>
              <w:spacing w:after="0" w:line="95"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4"/>
                <w:szCs w:val="4"/>
                <w:color w:val="auto"/>
              </w:rPr>
            </w:pPr>
          </w:p>
        </w:tc>
        <w:tc>
          <w:tcPr>
            <w:tcW w:w="1000" w:type="dxa"/>
            <w:vAlign w:val="bottom"/>
            <w:gridSpan w:val="2"/>
            <w:vMerge w:val="restart"/>
          </w:tcPr>
          <w:p>
            <w:pPr>
              <w:ind w:left="40"/>
              <w:spacing w:after="0" w:line="95" w:lineRule="exact"/>
              <w:rPr>
                <w:sz w:val="20"/>
                <w:szCs w:val="20"/>
                <w:color w:val="auto"/>
              </w:rPr>
            </w:pPr>
            <w:r>
              <w:rPr>
                <w:rFonts w:ascii="Arial" w:cs="Arial" w:eastAsia="Arial" w:hAnsi="Arial"/>
                <w:sz w:val="10"/>
                <w:szCs w:val="10"/>
                <w:b w:val="1"/>
                <w:bCs w:val="1"/>
                <w:color w:val="auto"/>
              </w:rPr>
              <w:t>Accumulated</w:t>
            </w:r>
          </w:p>
        </w:tc>
        <w:tc>
          <w:tcPr>
            <w:tcW w:w="80" w:type="dxa"/>
            <w:vAlign w:val="bottom"/>
          </w:tcPr>
          <w:p>
            <w:pPr>
              <w:spacing w:after="0"/>
              <w:rPr>
                <w:sz w:val="4"/>
                <w:szCs w:val="4"/>
                <w:color w:val="auto"/>
              </w:rPr>
            </w:pPr>
          </w:p>
        </w:tc>
        <w:tc>
          <w:tcPr>
            <w:tcW w:w="120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Comprehensive</w:t>
            </w: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rPr>
              <w:t>to Avis Budget</w:t>
            </w:r>
          </w:p>
        </w:tc>
        <w:tc>
          <w:tcPr>
            <w:tcW w:w="1040" w:type="dxa"/>
            <w:vAlign w:val="bottom"/>
            <w:gridSpan w:val="3"/>
            <w:vMerge w:val="restart"/>
          </w:tcPr>
          <w:p>
            <w:pPr>
              <w:jc w:val="center"/>
              <w:ind w:right="120"/>
              <w:spacing w:after="0" w:line="95" w:lineRule="exact"/>
              <w:rPr>
                <w:sz w:val="20"/>
                <w:szCs w:val="20"/>
                <w:color w:val="auto"/>
              </w:rPr>
            </w:pPr>
            <w:r>
              <w:rPr>
                <w:rFonts w:ascii="Arial" w:cs="Arial" w:eastAsia="Arial" w:hAnsi="Arial"/>
                <w:sz w:val="10"/>
                <w:szCs w:val="10"/>
                <w:b w:val="1"/>
                <w:bCs w:val="1"/>
                <w:color w:val="auto"/>
              </w:rPr>
              <w:t>Non-controlling</w:t>
            </w:r>
          </w:p>
        </w:tc>
        <w:tc>
          <w:tcPr>
            <w:tcW w:w="1040" w:type="dxa"/>
            <w:vAlign w:val="bottom"/>
            <w:gridSpan w:val="2"/>
            <w:vMerge w:val="restart"/>
          </w:tcPr>
          <w:p>
            <w:pPr>
              <w:ind w:left="20"/>
              <w:spacing w:after="0" w:line="95" w:lineRule="exact"/>
              <w:rPr>
                <w:sz w:val="20"/>
                <w:szCs w:val="20"/>
                <w:color w:val="auto"/>
              </w:rPr>
            </w:pPr>
            <w:r>
              <w:rPr>
                <w:rFonts w:ascii="Arial" w:cs="Arial" w:eastAsia="Arial" w:hAnsi="Arial"/>
                <w:sz w:val="10"/>
                <w:szCs w:val="10"/>
                <w:b w:val="1"/>
                <w:bCs w:val="1"/>
                <w:color w:val="auto"/>
              </w:rPr>
              <w:t>Total Stockholders’</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line="20" w:lineRule="exact"/>
              <w:rPr>
                <w:sz w:val="1"/>
                <w:szCs w:val="1"/>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line="20" w:lineRule="exact"/>
              <w:rPr>
                <w:sz w:val="1"/>
                <w:szCs w:val="1"/>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2"/>
                <w:szCs w:val="12"/>
                <w:color w:val="auto"/>
              </w:rPr>
            </w:pPr>
          </w:p>
        </w:tc>
        <w:tc>
          <w:tcPr>
            <w:tcW w:w="1000" w:type="dxa"/>
            <w:vAlign w:val="bottom"/>
            <w:gridSpan w:val="2"/>
          </w:tcPr>
          <w:p>
            <w:pPr>
              <w:ind w:left="220"/>
              <w:spacing w:after="0"/>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2"/>
                <w:szCs w:val="12"/>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9"/>
              </w:rPr>
              <w:t>Income (Loss)</w:t>
            </w: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Group, Inc.</w:t>
            </w:r>
          </w:p>
        </w:tc>
        <w:tc>
          <w:tcPr>
            <w:tcW w:w="160" w:type="dxa"/>
            <w:vAlign w:val="bottom"/>
          </w:tcPr>
          <w:p>
            <w:pPr>
              <w:spacing w:after="0"/>
              <w:rPr>
                <w:sz w:val="12"/>
                <w:szCs w:val="12"/>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Interests</w:t>
            </w:r>
          </w:p>
        </w:tc>
        <w:tc>
          <w:tcPr>
            <w:tcW w:w="220" w:type="dxa"/>
            <w:vAlign w:val="bottom"/>
          </w:tcPr>
          <w:p>
            <w:pPr>
              <w:spacing w:after="0"/>
              <w:rPr>
                <w:sz w:val="12"/>
                <w:szCs w:val="12"/>
                <w:color w:val="auto"/>
              </w:rPr>
            </w:pPr>
          </w:p>
        </w:tc>
        <w:tc>
          <w:tcPr>
            <w:tcW w:w="820" w:type="dxa"/>
            <w:vAlign w:val="bottom"/>
          </w:tcPr>
          <w:p>
            <w:pPr>
              <w:jc w:val="right"/>
              <w:ind w:right="30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0"/>
        </w:trPr>
        <w:tc>
          <w:tcPr>
            <w:tcW w:w="1640" w:type="dxa"/>
            <w:vAlign w:val="bottom"/>
            <w:vMerge w:val="restart"/>
          </w:tcPr>
          <w:p>
            <w:pPr>
              <w:spacing w:after="0"/>
              <w:rPr>
                <w:sz w:val="20"/>
                <w:szCs w:val="20"/>
                <w:color w:val="auto"/>
              </w:rPr>
            </w:pPr>
            <w:r>
              <w:rPr>
                <w:rFonts w:ascii="Arial" w:cs="Arial" w:eastAsia="Arial" w:hAnsi="Arial"/>
                <w:sz w:val="11"/>
                <w:szCs w:val="11"/>
                <w:b w:val="1"/>
                <w:bCs w:val="1"/>
                <w:color w:val="auto"/>
              </w:rPr>
              <w:t>Balance at January 1, 2019</w:t>
            </w: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1640" w:type="dxa"/>
            <w:vAlign w:val="bottom"/>
            <w:vMerge w:val="continue"/>
          </w:tcPr>
          <w:p>
            <w:pPr>
              <w:spacing w:after="0"/>
              <w:rPr>
                <w:sz w:val="11"/>
                <w:szCs w:val="11"/>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6,771</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(1,091)</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(133)</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(61.5)</w:t>
            </w:r>
          </w:p>
        </w:tc>
        <w:tc>
          <w:tcPr>
            <w:tcW w:w="14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(5,134)</w:t>
            </w:r>
          </w:p>
        </w:tc>
        <w:tc>
          <w:tcPr>
            <w:tcW w:w="12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414</w:t>
            </w:r>
          </w:p>
        </w:tc>
        <w:tc>
          <w:tcPr>
            <w:tcW w:w="100" w:type="dxa"/>
            <w:vAlign w:val="bottom"/>
          </w:tcPr>
          <w:p>
            <w:pPr>
              <w:spacing w:after="0"/>
              <w:rPr>
                <w:sz w:val="11"/>
                <w:szCs w:val="11"/>
                <w:color w:val="auto"/>
              </w:rPr>
            </w:pPr>
          </w:p>
        </w:tc>
        <w:tc>
          <w:tcPr>
            <w:tcW w:w="160" w:type="dxa"/>
            <w:vAlign w:val="bottom"/>
          </w:tcPr>
          <w:p>
            <w:pPr>
              <w:jc w:val="right"/>
              <w:ind w:right="27"/>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ind w:left="2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414</w:t>
            </w:r>
          </w:p>
        </w:tc>
        <w:tc>
          <w:tcPr>
            <w:tcW w:w="0" w:type="dxa"/>
            <w:vAlign w:val="bottom"/>
          </w:tcPr>
          <w:p>
            <w:pPr>
              <w:spacing w:after="0"/>
              <w:rPr>
                <w:sz w:val="1"/>
                <w:szCs w:val="1"/>
                <w:color w:val="auto"/>
              </w:rPr>
            </w:pPr>
          </w:p>
        </w:tc>
      </w:tr>
      <w:tr>
        <w:trPr>
          <w:trHeight w:val="235"/>
        </w:trPr>
        <w:tc>
          <w:tcPr>
            <w:tcW w:w="1640" w:type="dxa"/>
            <w:vAlign w:val="bottom"/>
          </w:tcPr>
          <w:p>
            <w:pPr>
              <w:spacing w:after="0"/>
              <w:rPr>
                <w:sz w:val="20"/>
                <w:szCs w:val="20"/>
                <w:color w:val="auto"/>
              </w:rPr>
            </w:pPr>
            <w:r>
              <w:rPr>
                <w:rFonts w:ascii="Arial" w:cs="Arial" w:eastAsia="Arial" w:hAnsi="Arial"/>
                <w:sz w:val="11"/>
                <w:szCs w:val="11"/>
                <w:color w:val="auto"/>
              </w:rPr>
              <w:t>Cumulative effect of accounting</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1640" w:type="dxa"/>
            <w:vAlign w:val="bottom"/>
          </w:tcPr>
          <w:p>
            <w:pPr>
              <w:spacing w:after="0"/>
              <w:rPr>
                <w:sz w:val="20"/>
                <w:szCs w:val="20"/>
                <w:color w:val="auto"/>
              </w:rPr>
            </w:pPr>
            <w:r>
              <w:rPr>
                <w:rFonts w:ascii="Arial" w:cs="Arial" w:eastAsia="Arial" w:hAnsi="Arial"/>
                <w:sz w:val="11"/>
                <w:szCs w:val="11"/>
                <w:color w:val="auto"/>
              </w:rPr>
              <w:t>change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1"/>
                <w:szCs w:val="11"/>
                <w:b w:val="1"/>
                <w:bCs w:val="1"/>
                <w:color w:val="auto"/>
              </w:rPr>
              <w:t>Comprehensive income: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20"/>
                <w:szCs w:val="20"/>
                <w:color w:val="auto"/>
              </w:rPr>
            </w:pPr>
            <w:r>
              <w:rPr>
                <w:rFonts w:ascii="Arial" w:cs="Arial" w:eastAsia="Arial" w:hAnsi="Arial"/>
                <w:sz w:val="11"/>
                <w:szCs w:val="11"/>
                <w:color w:val="auto"/>
              </w:rPr>
              <w:t>Net income</w:t>
            </w: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302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302</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20"/>
                <w:szCs w:val="20"/>
                <w:color w:val="auto"/>
              </w:rPr>
            </w:pPr>
            <w:r>
              <w:rPr>
                <w:rFonts w:ascii="Arial" w:cs="Arial" w:eastAsia="Arial" w:hAnsi="Arial"/>
                <w:sz w:val="11"/>
                <w:szCs w:val="11"/>
                <w:color w:val="auto"/>
              </w:rPr>
              <w:t>Other comprehensive loss</w:t>
            </w: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22"/>
        </w:trPr>
        <w:tc>
          <w:tcPr>
            <w:tcW w:w="1640" w:type="dxa"/>
            <w:vAlign w:val="bottom"/>
            <w:vMerge w:val="restart"/>
          </w:tcPr>
          <w:p>
            <w:pPr>
              <w:spacing w:after="0"/>
              <w:rPr>
                <w:sz w:val="20"/>
                <w:szCs w:val="20"/>
                <w:color w:val="auto"/>
              </w:rPr>
            </w:pPr>
            <w:r>
              <w:rPr>
                <w:rFonts w:ascii="Arial" w:cs="Arial" w:eastAsia="Arial" w:hAnsi="Arial"/>
                <w:sz w:val="11"/>
                <w:szCs w:val="11"/>
                <w:b w:val="1"/>
                <w:bCs w:val="1"/>
                <w:color w:val="auto"/>
              </w:rPr>
              <w:t>Total comprehensive income</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16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40" w:type="dxa"/>
            <w:vAlign w:val="bottom"/>
          </w:tcPr>
          <w:p>
            <w:pPr>
              <w:spacing w:after="0"/>
              <w:rPr>
                <w:sz w:val="20"/>
                <w:szCs w:val="20"/>
                <w:color w:val="auto"/>
              </w:rPr>
            </w:pPr>
            <w:r>
              <w:rPr>
                <w:rFonts w:ascii="Arial" w:cs="Arial" w:eastAsia="Arial" w:hAnsi="Arial"/>
                <w:sz w:val="11"/>
                <w:szCs w:val="11"/>
                <w:b w:val="1"/>
                <w:bCs w:val="1"/>
                <w:color w:val="auto"/>
              </w:rPr>
              <w:t>(loss)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302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277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277</w:t>
            </w:r>
          </w:p>
        </w:tc>
        <w:tc>
          <w:tcPr>
            <w:tcW w:w="0" w:type="dxa"/>
            <w:vAlign w:val="bottom"/>
          </w:tcPr>
          <w:p>
            <w:pPr>
              <w:spacing w:after="0"/>
              <w:rPr>
                <w:sz w:val="1"/>
                <w:szCs w:val="1"/>
                <w:color w:val="auto"/>
              </w:rPr>
            </w:pPr>
          </w:p>
        </w:tc>
      </w:tr>
      <w:tr>
        <w:trPr>
          <w:trHeight w:val="193"/>
        </w:trPr>
        <w:tc>
          <w:tcPr>
            <w:tcW w:w="1640" w:type="dxa"/>
            <w:vAlign w:val="bottom"/>
          </w:tcPr>
          <w:p>
            <w:pPr>
              <w:spacing w:after="0"/>
              <w:rPr>
                <w:sz w:val="20"/>
                <w:szCs w:val="20"/>
                <w:color w:val="auto"/>
              </w:rPr>
            </w:pPr>
            <w:r>
              <w:rPr>
                <w:rFonts w:ascii="Arial" w:cs="Arial" w:eastAsia="Arial" w:hAnsi="Arial"/>
                <w:sz w:val="11"/>
                <w:szCs w:val="11"/>
                <w:color w:val="auto"/>
              </w:rPr>
              <w:t>Net activity related to restricted</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640" w:type="dxa"/>
            <w:vAlign w:val="bottom"/>
          </w:tcPr>
          <w:p>
            <w:pPr>
              <w:spacing w:after="0"/>
              <w:rPr>
                <w:sz w:val="20"/>
                <w:szCs w:val="20"/>
                <w:color w:val="auto"/>
              </w:rPr>
            </w:pPr>
            <w:r>
              <w:rPr>
                <w:rFonts w:ascii="Arial" w:cs="Arial" w:eastAsia="Arial" w:hAnsi="Arial"/>
                <w:sz w:val="11"/>
                <w:szCs w:val="11"/>
                <w:color w:val="auto"/>
              </w:rPr>
              <w:t>stock units</w:t>
            </w: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0.4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20"/>
                <w:szCs w:val="20"/>
                <w:color w:val="auto"/>
              </w:rPr>
            </w:pPr>
            <w:r>
              <w:rPr>
                <w:rFonts w:ascii="Arial" w:cs="Arial" w:eastAsia="Arial" w:hAnsi="Arial"/>
                <w:sz w:val="11"/>
                <w:szCs w:val="11"/>
                <w:color w:val="auto"/>
              </w:rPr>
              <w:t>Exercise of stock options</w:t>
            </w: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0.1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1640" w:type="dxa"/>
            <w:vAlign w:val="bottom"/>
          </w:tcPr>
          <w:p>
            <w:pPr>
              <w:spacing w:after="0"/>
              <w:rPr>
                <w:sz w:val="20"/>
                <w:szCs w:val="20"/>
                <w:color w:val="auto"/>
              </w:rPr>
            </w:pPr>
            <w:r>
              <w:rPr>
                <w:rFonts w:ascii="Arial" w:cs="Arial" w:eastAsia="Arial" w:hAnsi="Arial"/>
                <w:sz w:val="11"/>
                <w:szCs w:val="11"/>
                <w:color w:val="auto"/>
                <w:w w:val="99"/>
              </w:rPr>
              <w:t>Activity related to employee 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40" w:type="dxa"/>
            <w:vAlign w:val="bottom"/>
          </w:tcPr>
          <w:p>
            <w:pPr>
              <w:spacing w:after="0"/>
              <w:rPr>
                <w:sz w:val="20"/>
                <w:szCs w:val="20"/>
                <w:color w:val="auto"/>
              </w:rPr>
            </w:pPr>
            <w:r>
              <w:rPr>
                <w:rFonts w:ascii="Arial" w:cs="Arial" w:eastAsia="Arial" w:hAnsi="Arial"/>
                <w:sz w:val="11"/>
                <w:szCs w:val="11"/>
                <w:color w:val="auto"/>
              </w:rPr>
              <w:t>purchase plan</w:t>
            </w: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20"/>
                <w:szCs w:val="20"/>
                <w:color w:val="auto"/>
              </w:rPr>
            </w:pPr>
            <w:r>
              <w:rPr>
                <w:rFonts w:ascii="Arial" w:cs="Arial" w:eastAsia="Arial" w:hAnsi="Arial"/>
                <w:sz w:val="11"/>
                <w:szCs w:val="11"/>
                <w:color w:val="auto"/>
              </w:rPr>
              <w:t>Repurchase of common stock</w:t>
            </w: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(62)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(62)</w:t>
            </w:r>
          </w:p>
        </w:tc>
        <w:tc>
          <w:tcPr>
            <w:tcW w:w="0" w:type="dxa"/>
            <w:vAlign w:val="bottom"/>
          </w:tcPr>
          <w:p>
            <w:pPr>
              <w:spacing w:after="0"/>
              <w:rPr>
                <w:sz w:val="1"/>
                <w:szCs w:val="1"/>
                <w:color w:val="auto"/>
              </w:rPr>
            </w:pPr>
          </w:p>
        </w:tc>
      </w:tr>
      <w:tr>
        <w:trPr>
          <w:trHeight w:val="22"/>
        </w:trPr>
        <w:tc>
          <w:tcPr>
            <w:tcW w:w="1640" w:type="dxa"/>
            <w:vAlign w:val="bottom"/>
            <w:vMerge w:val="restart"/>
          </w:tcPr>
          <w:p>
            <w:pPr>
              <w:spacing w:after="0"/>
              <w:rPr>
                <w:sz w:val="20"/>
                <w:szCs w:val="20"/>
                <w:color w:val="auto"/>
              </w:rPr>
            </w:pPr>
            <w:r>
              <w:rPr>
                <w:rFonts w:ascii="Arial" w:cs="Arial" w:eastAsia="Arial" w:hAnsi="Arial"/>
                <w:sz w:val="11"/>
                <w:szCs w:val="11"/>
                <w:b w:val="1"/>
                <w:bCs w:val="1"/>
                <w:color w:val="auto"/>
              </w:rPr>
              <w:t>Balance at December 31, 2019</w:t>
            </w: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1640" w:type="dxa"/>
            <w:vAlign w:val="bottom"/>
            <w:vMerge w:val="continue"/>
          </w:tcPr>
          <w:p>
            <w:pPr>
              <w:spacing w:after="0"/>
              <w:rPr>
                <w:sz w:val="15"/>
                <w:szCs w:val="15"/>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6,741</w:t>
            </w:r>
          </w:p>
        </w:tc>
        <w:tc>
          <w:tcPr>
            <w:tcW w:w="100" w:type="dxa"/>
            <w:vAlign w:val="bottom"/>
          </w:tcPr>
          <w:p>
            <w:pPr>
              <w:spacing w:after="0"/>
              <w:rPr>
                <w:sz w:val="15"/>
                <w:szCs w:val="15"/>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(785)</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(157)</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(63.2)</w:t>
            </w: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(5,144)</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656</w:t>
            </w:r>
          </w:p>
        </w:tc>
        <w:tc>
          <w:tcPr>
            <w:tcW w:w="100" w:type="dxa"/>
            <w:vAlign w:val="bottom"/>
          </w:tcPr>
          <w:p>
            <w:pPr>
              <w:spacing w:after="0"/>
              <w:rPr>
                <w:sz w:val="15"/>
                <w:szCs w:val="15"/>
                <w:color w:val="auto"/>
              </w:rPr>
            </w:pPr>
          </w:p>
        </w:tc>
        <w:tc>
          <w:tcPr>
            <w:tcW w:w="160" w:type="dxa"/>
            <w:vAlign w:val="bottom"/>
          </w:tcPr>
          <w:p>
            <w:pPr>
              <w:jc w:val="right"/>
              <w:ind w:right="27"/>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ind w:left="2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656</w:t>
            </w:r>
          </w:p>
        </w:tc>
        <w:tc>
          <w:tcPr>
            <w:tcW w:w="0" w:type="dxa"/>
            <w:vAlign w:val="bottom"/>
          </w:tcPr>
          <w:p>
            <w:pPr>
              <w:spacing w:after="0"/>
              <w:rPr>
                <w:sz w:val="1"/>
                <w:szCs w:val="1"/>
                <w:color w:val="auto"/>
              </w:rPr>
            </w:pPr>
          </w:p>
        </w:tc>
      </w:tr>
      <w:tr>
        <w:trPr>
          <w:trHeight w:val="194"/>
        </w:trPr>
        <w:tc>
          <w:tcPr>
            <w:tcW w:w="1640" w:type="dxa"/>
            <w:vAlign w:val="bottom"/>
          </w:tcPr>
          <w:p>
            <w:pPr>
              <w:spacing w:after="0"/>
              <w:rPr>
                <w:sz w:val="20"/>
                <w:szCs w:val="20"/>
                <w:color w:val="auto"/>
              </w:rPr>
            </w:pPr>
            <w:r>
              <w:rPr>
                <w:rFonts w:ascii="Arial" w:cs="Arial" w:eastAsia="Arial" w:hAnsi="Arial"/>
                <w:sz w:val="11"/>
                <w:szCs w:val="11"/>
                <w:color w:val="auto"/>
              </w:rPr>
              <w:t>Cumulative effect of accounting</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640" w:type="dxa"/>
            <w:vAlign w:val="bottom"/>
          </w:tcPr>
          <w:p>
            <w:pPr>
              <w:spacing w:after="0"/>
              <w:rPr>
                <w:sz w:val="20"/>
                <w:szCs w:val="20"/>
                <w:color w:val="auto"/>
              </w:rPr>
            </w:pPr>
            <w:r>
              <w:rPr>
                <w:rFonts w:ascii="Arial" w:cs="Arial" w:eastAsia="Arial" w:hAnsi="Arial"/>
                <w:sz w:val="11"/>
                <w:szCs w:val="11"/>
                <w:color w:val="auto"/>
              </w:rPr>
              <w:t>change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57"/>
        </w:trPr>
        <w:tc>
          <w:tcPr>
            <w:tcW w:w="1640" w:type="dxa"/>
            <w:vAlign w:val="bottom"/>
          </w:tcPr>
          <w:p>
            <w:pPr>
              <w:spacing w:after="0"/>
              <w:rPr>
                <w:sz w:val="20"/>
                <w:szCs w:val="20"/>
                <w:color w:val="auto"/>
              </w:rPr>
            </w:pPr>
            <w:r>
              <w:rPr>
                <w:rFonts w:ascii="Arial" w:cs="Arial" w:eastAsia="Arial" w:hAnsi="Arial"/>
                <w:sz w:val="11"/>
                <w:szCs w:val="11"/>
                <w:b w:val="1"/>
                <w:bCs w:val="1"/>
                <w:color w:val="auto"/>
              </w:rPr>
              <w:t>Comprehensive income:</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20"/>
                <w:szCs w:val="20"/>
                <w:color w:val="auto"/>
              </w:rPr>
            </w:pPr>
            <w:r>
              <w:rPr>
                <w:rFonts w:ascii="Arial" w:cs="Arial" w:eastAsia="Arial" w:hAnsi="Arial"/>
                <w:sz w:val="11"/>
                <w:szCs w:val="11"/>
                <w:color w:val="auto"/>
              </w:rPr>
              <w:t>Net loss</w:t>
            </w: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(684)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(684)</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20"/>
                <w:szCs w:val="20"/>
                <w:color w:val="auto"/>
              </w:rPr>
            </w:pPr>
            <w:r>
              <w:rPr>
                <w:rFonts w:ascii="Arial" w:cs="Arial" w:eastAsia="Arial" w:hAnsi="Arial"/>
                <w:sz w:val="11"/>
                <w:szCs w:val="11"/>
                <w:color w:val="auto"/>
              </w:rPr>
              <w:t>Other comprehensive loss</w:t>
            </w: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22"/>
        </w:trPr>
        <w:tc>
          <w:tcPr>
            <w:tcW w:w="1640" w:type="dxa"/>
            <w:vAlign w:val="bottom"/>
            <w:vMerge w:val="restart"/>
          </w:tcPr>
          <w:p>
            <w:pPr>
              <w:spacing w:after="0"/>
              <w:rPr>
                <w:sz w:val="20"/>
                <w:szCs w:val="20"/>
                <w:color w:val="auto"/>
              </w:rPr>
            </w:pPr>
            <w:r>
              <w:rPr>
                <w:rFonts w:ascii="Arial" w:cs="Arial" w:eastAsia="Arial" w:hAnsi="Arial"/>
                <w:sz w:val="11"/>
                <w:szCs w:val="11"/>
                <w:b w:val="1"/>
                <w:bCs w:val="1"/>
                <w:color w:val="auto"/>
              </w:rPr>
              <w:t>Total comprehensive loss</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164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(684)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(714)</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1"/>
                <w:szCs w:val="11"/>
                <w:color w:val="auto"/>
              </w:rPr>
              <w:t>Non-controlling interests</w:t>
            </w:r>
          </w:p>
        </w:tc>
        <w:tc>
          <w:tcPr>
            <w:tcW w:w="72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66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7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1200" w:type="dxa"/>
            <w:vAlign w:val="bottom"/>
            <w:gridSpan w:val="2"/>
          </w:tcPr>
          <w:p>
            <w:pPr>
              <w:ind w:left="980"/>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0"/>
        </w:trPr>
        <w:tc>
          <w:tcPr>
            <w:tcW w:w="1640" w:type="dxa"/>
            <w:vAlign w:val="bottom"/>
          </w:tcPr>
          <w:p>
            <w:pPr>
              <w:spacing w:after="0"/>
              <w:rPr>
                <w:sz w:val="20"/>
                <w:szCs w:val="20"/>
                <w:color w:val="auto"/>
              </w:rPr>
            </w:pPr>
            <w:r>
              <w:rPr>
                <w:rFonts w:ascii="Arial" w:cs="Arial" w:eastAsia="Arial" w:hAnsi="Arial"/>
                <w:sz w:val="11"/>
                <w:szCs w:val="11"/>
                <w:color w:val="auto"/>
              </w:rPr>
              <w:t>Net activity related to restricted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40" w:type="dxa"/>
            <w:vAlign w:val="bottom"/>
          </w:tcPr>
          <w:p>
            <w:pPr>
              <w:spacing w:after="0"/>
              <w:rPr>
                <w:sz w:val="20"/>
                <w:szCs w:val="20"/>
                <w:color w:val="auto"/>
              </w:rPr>
            </w:pPr>
            <w:r>
              <w:rPr>
                <w:rFonts w:ascii="Arial" w:cs="Arial" w:eastAsia="Arial" w:hAnsi="Arial"/>
                <w:sz w:val="11"/>
                <w:szCs w:val="11"/>
                <w:color w:val="auto"/>
              </w:rPr>
              <w:t>stock units</w:t>
            </w:r>
          </w:p>
        </w:tc>
        <w:tc>
          <w:tcPr>
            <w:tcW w:w="72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ind w:left="7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0" w:type="dxa"/>
            <w:vAlign w:val="bottom"/>
            <w:gridSpan w:val="2"/>
          </w:tcPr>
          <w:p>
            <w:pPr>
              <w:ind w:left="98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54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40"/>
        </w:trPr>
        <w:tc>
          <w:tcPr>
            <w:tcW w:w="1640" w:type="dxa"/>
            <w:vAlign w:val="bottom"/>
          </w:tcPr>
          <w:p>
            <w:pPr>
              <w:spacing w:after="0"/>
              <w:rPr>
                <w:sz w:val="20"/>
                <w:szCs w:val="20"/>
                <w:color w:val="auto"/>
              </w:rPr>
            </w:pPr>
            <w:r>
              <w:rPr>
                <w:rFonts w:ascii="Arial" w:cs="Arial" w:eastAsia="Arial" w:hAnsi="Arial"/>
                <w:sz w:val="11"/>
                <w:szCs w:val="11"/>
                <w:color w:val="auto"/>
                <w:w w:val="99"/>
              </w:rPr>
              <w:t>Activity related to employee 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40" w:type="dxa"/>
            <w:vAlign w:val="bottom"/>
          </w:tcPr>
          <w:p>
            <w:pPr>
              <w:spacing w:after="0"/>
              <w:rPr>
                <w:sz w:val="20"/>
                <w:szCs w:val="20"/>
                <w:color w:val="auto"/>
              </w:rPr>
            </w:pPr>
            <w:r>
              <w:rPr>
                <w:rFonts w:ascii="Arial" w:cs="Arial" w:eastAsia="Arial" w:hAnsi="Arial"/>
                <w:sz w:val="11"/>
                <w:szCs w:val="11"/>
                <w:color w:val="auto"/>
              </w:rPr>
              <w:t>purchase plan</w:t>
            </w:r>
          </w:p>
        </w:tc>
        <w:tc>
          <w:tcPr>
            <w:tcW w:w="72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ind w:left="7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0" w:type="dxa"/>
            <w:vAlign w:val="bottom"/>
            <w:gridSpan w:val="2"/>
          </w:tcPr>
          <w:p>
            <w:pPr>
              <w:ind w:left="9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20"/>
                <w:szCs w:val="20"/>
                <w:color w:val="auto"/>
              </w:rPr>
            </w:pPr>
            <w:r>
              <w:rPr>
                <w:rFonts w:ascii="Arial" w:cs="Arial" w:eastAsia="Arial" w:hAnsi="Arial"/>
                <w:sz w:val="11"/>
                <w:szCs w:val="11"/>
                <w:color w:val="auto"/>
              </w:rPr>
              <w:t>Issuance of common stock</w:t>
            </w: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0.4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20"/>
                <w:szCs w:val="20"/>
                <w:color w:val="auto"/>
              </w:rPr>
            </w:pPr>
            <w:r>
              <w:rPr>
                <w:rFonts w:ascii="Arial" w:cs="Arial" w:eastAsia="Arial" w:hAnsi="Arial"/>
                <w:sz w:val="11"/>
                <w:szCs w:val="11"/>
                <w:color w:val="auto"/>
              </w:rPr>
              <w:t>Repurchase of common stock</w:t>
            </w:r>
          </w:p>
        </w:tc>
        <w:tc>
          <w:tcPr>
            <w:tcW w:w="72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6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78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00" w:type="dxa"/>
            <w:vAlign w:val="bottom"/>
            <w:gridSpan w:val="2"/>
          </w:tcPr>
          <w:p>
            <w:pPr>
              <w:ind w:left="7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200" w:type="dxa"/>
            <w:vAlign w:val="bottom"/>
            <w:gridSpan w:val="2"/>
          </w:tcPr>
          <w:p>
            <w:pPr>
              <w:ind w:left="98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(5.0)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(113)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(113)</w:t>
            </w:r>
          </w:p>
        </w:tc>
        <w:tc>
          <w:tcPr>
            <w:tcW w:w="0" w:type="dxa"/>
            <w:vAlign w:val="bottom"/>
          </w:tcPr>
          <w:p>
            <w:pPr>
              <w:spacing w:after="0"/>
              <w:rPr>
                <w:sz w:val="1"/>
                <w:szCs w:val="1"/>
                <w:color w:val="auto"/>
              </w:rPr>
            </w:pPr>
          </w:p>
        </w:tc>
      </w:tr>
      <w:tr>
        <w:trPr>
          <w:trHeight w:val="22"/>
        </w:trPr>
        <w:tc>
          <w:tcPr>
            <w:tcW w:w="1640" w:type="dxa"/>
            <w:vAlign w:val="bottom"/>
            <w:vMerge w:val="restart"/>
          </w:tcPr>
          <w:p>
            <w:pPr>
              <w:spacing w:after="0"/>
              <w:rPr>
                <w:sz w:val="20"/>
                <w:szCs w:val="20"/>
                <w:color w:val="auto"/>
              </w:rPr>
            </w:pPr>
            <w:r>
              <w:rPr>
                <w:rFonts w:ascii="Arial" w:cs="Arial" w:eastAsia="Arial" w:hAnsi="Arial"/>
                <w:sz w:val="11"/>
                <w:szCs w:val="11"/>
                <w:b w:val="1"/>
                <w:bCs w:val="1"/>
                <w:color w:val="auto"/>
              </w:rPr>
              <w:t>Balance at December 31, 2020</w:t>
            </w: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640" w:type="dxa"/>
            <w:vAlign w:val="bottom"/>
            <w:vMerge w:val="continue"/>
          </w:tcPr>
          <w:p>
            <w:pPr>
              <w:spacing w:after="0"/>
              <w:rPr>
                <w:sz w:val="18"/>
                <w:szCs w:val="18"/>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6,668</w:t>
            </w:r>
          </w:p>
        </w:tc>
        <w:tc>
          <w:tcPr>
            <w:tcW w:w="100" w:type="dxa"/>
            <w:vAlign w:val="bottom"/>
          </w:tcPr>
          <w:p>
            <w:pPr>
              <w:spacing w:after="0"/>
              <w:rPr>
                <w:sz w:val="18"/>
                <w:szCs w:val="18"/>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(1,470)</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(187)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(67.3)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(5,167)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(155)</w:t>
            </w:r>
          </w:p>
        </w:tc>
        <w:tc>
          <w:tcPr>
            <w:tcW w:w="100" w:type="dxa"/>
            <w:vAlign w:val="bottom"/>
          </w:tcPr>
          <w:p>
            <w:pPr>
              <w:spacing w:after="0"/>
              <w:rPr>
                <w:sz w:val="18"/>
                <w:szCs w:val="18"/>
                <w:color w:val="auto"/>
              </w:rPr>
            </w:pPr>
          </w:p>
        </w:tc>
        <w:tc>
          <w:tcPr>
            <w:tcW w:w="160" w:type="dxa"/>
            <w:vAlign w:val="bottom"/>
          </w:tcPr>
          <w:p>
            <w:pPr>
              <w:jc w:val="right"/>
              <w:ind w:right="27"/>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ind w:left="2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(155)</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1"/>
                <w:szCs w:val="11"/>
                <w:b w:val="1"/>
                <w:bCs w:val="1"/>
                <w:color w:val="auto"/>
              </w:rPr>
              <w:t>Comprehensive income: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20"/>
                <w:szCs w:val="20"/>
                <w:color w:val="auto"/>
              </w:rPr>
            </w:pPr>
            <w:r>
              <w:rPr>
                <w:rFonts w:ascii="Arial" w:cs="Arial" w:eastAsia="Arial" w:hAnsi="Arial"/>
                <w:sz w:val="11"/>
                <w:szCs w:val="11"/>
                <w:color w:val="auto"/>
              </w:rPr>
              <w:t>Net income (loss)</w:t>
            </w:r>
          </w:p>
        </w:tc>
        <w:tc>
          <w:tcPr>
            <w:tcW w:w="72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6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78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1,285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980"/>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2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1,283</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20"/>
                <w:szCs w:val="20"/>
                <w:color w:val="auto"/>
              </w:rPr>
            </w:pPr>
            <w:r>
              <w:rPr>
                <w:rFonts w:ascii="Arial" w:cs="Arial" w:eastAsia="Arial" w:hAnsi="Arial"/>
                <w:sz w:val="11"/>
                <w:szCs w:val="11"/>
                <w:color w:val="auto"/>
              </w:rPr>
              <w:t>Other comprehensive income</w:t>
            </w:r>
          </w:p>
        </w:tc>
        <w:tc>
          <w:tcPr>
            <w:tcW w:w="72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6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78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00" w:type="dxa"/>
            <w:vAlign w:val="bottom"/>
            <w:gridSpan w:val="2"/>
          </w:tcPr>
          <w:p>
            <w:pPr>
              <w:ind w:left="7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2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54</w:t>
            </w:r>
          </w:p>
        </w:tc>
        <w:tc>
          <w:tcPr>
            <w:tcW w:w="0" w:type="dxa"/>
            <w:vAlign w:val="bottom"/>
          </w:tcPr>
          <w:p>
            <w:pPr>
              <w:spacing w:after="0"/>
              <w:rPr>
                <w:sz w:val="1"/>
                <w:szCs w:val="1"/>
                <w:color w:val="auto"/>
              </w:rPr>
            </w:pPr>
          </w:p>
        </w:tc>
      </w:tr>
      <w:tr>
        <w:trPr>
          <w:trHeight w:val="22"/>
        </w:trPr>
        <w:tc>
          <w:tcPr>
            <w:tcW w:w="1640" w:type="dxa"/>
            <w:vAlign w:val="bottom"/>
            <w:vMerge w:val="restart"/>
          </w:tcPr>
          <w:p>
            <w:pPr>
              <w:spacing w:after="0"/>
              <w:rPr>
                <w:sz w:val="20"/>
                <w:szCs w:val="20"/>
                <w:color w:val="auto"/>
              </w:rPr>
            </w:pPr>
            <w:r>
              <w:rPr>
                <w:rFonts w:ascii="Arial" w:cs="Arial" w:eastAsia="Arial" w:hAnsi="Arial"/>
                <w:sz w:val="11"/>
                <w:szCs w:val="11"/>
                <w:b w:val="1"/>
                <w:bCs w:val="1"/>
                <w:color w:val="auto"/>
              </w:rPr>
              <w:t>Total comprehensive income</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16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40" w:type="dxa"/>
            <w:vAlign w:val="bottom"/>
          </w:tcPr>
          <w:p>
            <w:pPr>
              <w:spacing w:after="0"/>
              <w:rPr>
                <w:sz w:val="20"/>
                <w:szCs w:val="20"/>
                <w:color w:val="auto"/>
              </w:rPr>
            </w:pPr>
            <w:r>
              <w:rPr>
                <w:rFonts w:ascii="Arial" w:cs="Arial" w:eastAsia="Arial" w:hAnsi="Arial"/>
                <w:sz w:val="11"/>
                <w:szCs w:val="11"/>
                <w:b w:val="1"/>
                <w:bCs w:val="1"/>
                <w:color w:val="auto"/>
              </w:rPr>
              <w:t>(loss)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1,285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1,339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1,337</w:t>
            </w:r>
          </w:p>
        </w:tc>
        <w:tc>
          <w:tcPr>
            <w:tcW w:w="0" w:type="dxa"/>
            <w:vAlign w:val="bottom"/>
          </w:tcPr>
          <w:p>
            <w:pPr>
              <w:spacing w:after="0"/>
              <w:rPr>
                <w:sz w:val="1"/>
                <w:szCs w:val="1"/>
                <w:color w:val="auto"/>
              </w:rPr>
            </w:pPr>
          </w:p>
        </w:tc>
      </w:tr>
      <w:tr>
        <w:trPr>
          <w:trHeight w:val="193"/>
        </w:trPr>
        <w:tc>
          <w:tcPr>
            <w:tcW w:w="1640" w:type="dxa"/>
            <w:vAlign w:val="bottom"/>
          </w:tcPr>
          <w:p>
            <w:pPr>
              <w:spacing w:after="0"/>
              <w:rPr>
                <w:sz w:val="20"/>
                <w:szCs w:val="20"/>
                <w:color w:val="auto"/>
              </w:rPr>
            </w:pPr>
            <w:r>
              <w:rPr>
                <w:rFonts w:ascii="Arial" w:cs="Arial" w:eastAsia="Arial" w:hAnsi="Arial"/>
                <w:sz w:val="11"/>
                <w:szCs w:val="11"/>
                <w:color w:val="auto"/>
                <w:w w:val="98"/>
              </w:rPr>
              <w:t>Contributions from non-controlling</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640" w:type="dxa"/>
            <w:vAlign w:val="bottom"/>
          </w:tcPr>
          <w:p>
            <w:pPr>
              <w:spacing w:after="0"/>
              <w:rPr>
                <w:sz w:val="20"/>
                <w:szCs w:val="20"/>
                <w:color w:val="auto"/>
              </w:rPr>
            </w:pPr>
            <w:r>
              <w:rPr>
                <w:rFonts w:ascii="Arial" w:cs="Arial" w:eastAsia="Arial" w:hAnsi="Arial"/>
                <w:sz w:val="11"/>
                <w:szCs w:val="11"/>
                <w:color w:val="auto"/>
              </w:rPr>
              <w:t>interests</w:t>
            </w:r>
          </w:p>
        </w:tc>
        <w:tc>
          <w:tcPr>
            <w:tcW w:w="72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0" w:type="dxa"/>
            <w:vAlign w:val="bottom"/>
            <w:gridSpan w:val="2"/>
          </w:tcPr>
          <w:p>
            <w:pPr>
              <w:ind w:left="980"/>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13</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40"/>
        </w:trPr>
        <w:tc>
          <w:tcPr>
            <w:tcW w:w="1640" w:type="dxa"/>
            <w:vAlign w:val="bottom"/>
          </w:tcPr>
          <w:p>
            <w:pPr>
              <w:spacing w:after="0"/>
              <w:rPr>
                <w:sz w:val="20"/>
                <w:szCs w:val="20"/>
                <w:color w:val="auto"/>
              </w:rPr>
            </w:pPr>
            <w:r>
              <w:rPr>
                <w:rFonts w:ascii="Arial" w:cs="Arial" w:eastAsia="Arial" w:hAnsi="Arial"/>
                <w:sz w:val="11"/>
                <w:szCs w:val="11"/>
                <w:color w:val="auto"/>
              </w:rPr>
              <w:t>Net activity related to restricted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40" w:type="dxa"/>
            <w:vAlign w:val="bottom"/>
          </w:tcPr>
          <w:p>
            <w:pPr>
              <w:spacing w:after="0"/>
              <w:rPr>
                <w:sz w:val="20"/>
                <w:szCs w:val="20"/>
                <w:color w:val="auto"/>
              </w:rPr>
            </w:pPr>
            <w:r>
              <w:rPr>
                <w:rFonts w:ascii="Arial" w:cs="Arial" w:eastAsia="Arial" w:hAnsi="Arial"/>
                <w:sz w:val="11"/>
                <w:szCs w:val="11"/>
                <w:color w:val="auto"/>
              </w:rPr>
              <w:t>stock units</w:t>
            </w:r>
          </w:p>
        </w:tc>
        <w:tc>
          <w:tcPr>
            <w:tcW w:w="72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0" w:type="dxa"/>
            <w:vAlign w:val="bottom"/>
            <w:gridSpan w:val="2"/>
          </w:tcPr>
          <w:p>
            <w:pPr>
              <w:ind w:left="98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0.4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20"/>
                <w:szCs w:val="20"/>
                <w:color w:val="auto"/>
              </w:rPr>
            </w:pPr>
            <w:r>
              <w:rPr>
                <w:rFonts w:ascii="Arial" w:cs="Arial" w:eastAsia="Arial" w:hAnsi="Arial"/>
                <w:sz w:val="11"/>
                <w:szCs w:val="11"/>
                <w:color w:val="auto"/>
              </w:rPr>
              <w:t>Repurchase of common stock</w:t>
            </w:r>
          </w:p>
        </w:tc>
        <w:tc>
          <w:tcPr>
            <w:tcW w:w="72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6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78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00" w:type="dxa"/>
            <w:vAlign w:val="bottom"/>
            <w:gridSpan w:val="2"/>
          </w:tcPr>
          <w:p>
            <w:pPr>
              <w:ind w:left="7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200" w:type="dxa"/>
            <w:vAlign w:val="bottom"/>
            <w:gridSpan w:val="2"/>
          </w:tcPr>
          <w:p>
            <w:pPr>
              <w:ind w:left="98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(14.3)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(1,443)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(1,443)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(1,443)</w:t>
            </w:r>
          </w:p>
        </w:tc>
        <w:tc>
          <w:tcPr>
            <w:tcW w:w="0" w:type="dxa"/>
            <w:vAlign w:val="bottom"/>
          </w:tcPr>
          <w:p>
            <w:pPr>
              <w:spacing w:after="0"/>
              <w:rPr>
                <w:sz w:val="1"/>
                <w:szCs w:val="1"/>
                <w:color w:val="auto"/>
              </w:rPr>
            </w:pPr>
          </w:p>
        </w:tc>
      </w:tr>
      <w:tr>
        <w:trPr>
          <w:trHeight w:val="22"/>
        </w:trPr>
        <w:tc>
          <w:tcPr>
            <w:tcW w:w="1640" w:type="dxa"/>
            <w:vAlign w:val="bottom"/>
            <w:vMerge w:val="restart"/>
          </w:tcPr>
          <w:p>
            <w:pPr>
              <w:spacing w:after="0"/>
              <w:rPr>
                <w:sz w:val="20"/>
                <w:szCs w:val="20"/>
                <w:color w:val="auto"/>
              </w:rPr>
            </w:pPr>
            <w:r>
              <w:rPr>
                <w:rFonts w:ascii="Arial" w:cs="Arial" w:eastAsia="Arial" w:hAnsi="Arial"/>
                <w:sz w:val="11"/>
                <w:szCs w:val="11"/>
                <w:b w:val="1"/>
                <w:bCs w:val="1"/>
                <w:color w:val="auto"/>
              </w:rPr>
              <w:t>Balance at December 31, 2021</w:t>
            </w: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1640" w:type="dxa"/>
            <w:vAlign w:val="bottom"/>
            <w:vMerge w:val="continue"/>
          </w:tcPr>
          <w:p>
            <w:pPr>
              <w:spacing w:after="0"/>
              <w:rPr>
                <w:sz w:val="15"/>
                <w:szCs w:val="15"/>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6,676</w:t>
            </w:r>
          </w:p>
        </w:tc>
        <w:tc>
          <w:tcPr>
            <w:tcW w:w="100" w:type="dxa"/>
            <w:vAlign w:val="bottom"/>
          </w:tcPr>
          <w:p>
            <w:pPr>
              <w:spacing w:after="0"/>
              <w:rPr>
                <w:sz w:val="15"/>
                <w:szCs w:val="15"/>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(185)</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(133)</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(81.2)</w:t>
            </w: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(6,579)</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(220)</w:t>
            </w:r>
          </w:p>
        </w:tc>
        <w:tc>
          <w:tcPr>
            <w:tcW w:w="100" w:type="dxa"/>
            <w:vAlign w:val="bottom"/>
          </w:tcPr>
          <w:p>
            <w:pPr>
              <w:spacing w:after="0"/>
              <w:rPr>
                <w:sz w:val="15"/>
                <w:szCs w:val="15"/>
                <w:color w:val="auto"/>
              </w:rPr>
            </w:pPr>
          </w:p>
        </w:tc>
        <w:tc>
          <w:tcPr>
            <w:tcW w:w="160" w:type="dxa"/>
            <w:vAlign w:val="bottom"/>
          </w:tcPr>
          <w:p>
            <w:pPr>
              <w:jc w:val="right"/>
              <w:ind w:right="27"/>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11</w:t>
            </w:r>
          </w:p>
        </w:tc>
        <w:tc>
          <w:tcPr>
            <w:tcW w:w="14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(209)</w:t>
            </w:r>
          </w:p>
        </w:tc>
        <w:tc>
          <w:tcPr>
            <w:tcW w:w="0" w:type="dxa"/>
            <w:vAlign w:val="bottom"/>
          </w:tcPr>
          <w:p>
            <w:pPr>
              <w:spacing w:after="0"/>
              <w:rPr>
                <w:sz w:val="1"/>
                <w:szCs w:val="1"/>
                <w:color w:val="auto"/>
              </w:rPr>
            </w:pPr>
          </w:p>
        </w:tc>
      </w:tr>
      <w:tr>
        <w:trPr>
          <w:trHeight w:val="22"/>
        </w:trPr>
        <w:tc>
          <w:tcPr>
            <w:tcW w:w="1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(Unless otherwise noted, all dollar amounts are in millions, except per share amounts)</w:t>
      </w:r>
    </w:p>
    <w:p>
      <w:pPr>
        <w:spacing w:after="0" w:line="203" w:lineRule="exact"/>
        <w:rPr>
          <w:sz w:val="20"/>
          <w:szCs w:val="20"/>
          <w:color w:val="auto"/>
        </w:rPr>
      </w:pPr>
    </w:p>
    <w:p>
      <w:pPr>
        <w:ind w:left="480" w:hanging="472"/>
        <w:spacing w:after="0"/>
        <w:tabs>
          <w:tab w:leader="none" w:pos="4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93" w:lineRule="exact"/>
        <w:rPr>
          <w:rFonts w:ascii="Arial" w:cs="Arial" w:eastAsia="Arial" w:hAnsi="Arial"/>
          <w:sz w:val="18"/>
          <w:szCs w:val="18"/>
          <w:b w:val="1"/>
          <w:bCs w:val="1"/>
          <w:color w:val="auto"/>
        </w:rPr>
      </w:pPr>
    </w:p>
    <w:p>
      <w:pPr>
        <w:jc w:val="both"/>
        <w:ind w:left="5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Avis Budget Group, Inc. provides mobility solutions to businesses and consumers worldwide. The accompanying Consolidated Financial Statements include the accounts and transactions of Avis Budget Group, Inc. and its subsidiaries, as well as entities in which Avis Budget Group, Inc. directly or indirectly has a controlling financial interest (collectively, “we”, “our”, “us”, or the “Company”).</w:t>
      </w:r>
    </w:p>
    <w:p>
      <w:pPr>
        <w:spacing w:after="0" w:line="1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We operate the following reportable business segments:</w:t>
      </w:r>
    </w:p>
    <w:p>
      <w:pPr>
        <w:spacing w:after="0" w:line="230" w:lineRule="exact"/>
        <w:rPr>
          <w:rFonts w:ascii="Arial" w:cs="Arial" w:eastAsia="Arial" w:hAnsi="Arial"/>
          <w:sz w:val="18"/>
          <w:szCs w:val="18"/>
          <w:b w:val="1"/>
          <w:bCs w:val="1"/>
          <w:color w:val="auto"/>
        </w:rPr>
      </w:pPr>
    </w:p>
    <w:p>
      <w:pPr>
        <w:jc w:val="both"/>
        <w:ind w:left="1300" w:hanging="482"/>
        <w:spacing w:after="0" w:line="268" w:lineRule="auto"/>
        <w:tabs>
          <w:tab w:leader="none" w:pos="1295"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Americas</w:t>
      </w:r>
      <w:r>
        <w:rPr>
          <w:rFonts w:ascii="Arial" w:cs="Arial" w:eastAsia="Arial" w:hAnsi="Arial"/>
          <w:sz w:val="18"/>
          <w:szCs w:val="18"/>
          <w:color w:val="auto"/>
        </w:rPr>
        <w:t>—consisting primarily of (i) vehicle rental operations in North America, South America, Central America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Caribbean, (ii) car sharing operations in certain of these markets, and (iii) licensees in the areas in which we do not operate directly.</w:t>
      </w:r>
    </w:p>
    <w:p>
      <w:pPr>
        <w:spacing w:after="0" w:line="197" w:lineRule="exact"/>
        <w:rPr>
          <w:rFonts w:ascii="Arial" w:cs="Arial" w:eastAsia="Arial" w:hAnsi="Arial"/>
          <w:sz w:val="18"/>
          <w:szCs w:val="18"/>
          <w:color w:val="auto"/>
        </w:rPr>
      </w:pPr>
    </w:p>
    <w:p>
      <w:pPr>
        <w:ind w:left="1300" w:hanging="482"/>
        <w:spacing w:after="0" w:line="287" w:lineRule="auto"/>
        <w:tabs>
          <w:tab w:leader="none" w:pos="1295"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International</w:t>
      </w:r>
      <w:r>
        <w:rPr>
          <w:rFonts w:ascii="Arial" w:cs="Arial" w:eastAsia="Arial" w:hAnsi="Arial"/>
          <w:sz w:val="18"/>
          <w:szCs w:val="18"/>
          <w:color w:val="auto"/>
        </w:rPr>
        <w:t>—consisting primarily of (i) vehicle rental operations in Europe, the Middle East, Africa, Asia and Australasia,</w:t>
      </w:r>
      <w:r>
        <w:rPr>
          <w:rFonts w:ascii="Arial" w:cs="Arial" w:eastAsia="Arial" w:hAnsi="Arial"/>
          <w:sz w:val="18"/>
          <w:szCs w:val="18"/>
          <w:b w:val="1"/>
          <w:bCs w:val="1"/>
          <w:color w:val="auto"/>
        </w:rPr>
        <w:t xml:space="preserve"> </w:t>
      </w:r>
      <w:r>
        <w:rPr>
          <w:rFonts w:ascii="Arial" w:cs="Arial" w:eastAsia="Arial" w:hAnsi="Arial"/>
          <w:sz w:val="18"/>
          <w:szCs w:val="18"/>
          <w:color w:val="auto"/>
        </w:rPr>
        <w:t>(ii) car sharing operations in certain of these markets, and (iii) licensees in the areas in which we do not operate directly.</w:t>
      </w:r>
    </w:p>
    <w:p>
      <w:pPr>
        <w:spacing w:after="0" w:line="202"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color w:val="auto"/>
        </w:rPr>
        <w:t>We have completed the business acquisitions discussed in Note 6 to these Consolidated Financial Statements. The operating results of the acquired businesses are included in the accompanying Consolidated Financial Statements from the dates of acquisition.</w:t>
      </w:r>
    </w:p>
    <w:p>
      <w:pPr>
        <w:spacing w:after="0" w:line="144"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Liquidity and Management’s Plans</w:t>
      </w:r>
    </w:p>
    <w:p>
      <w:pPr>
        <w:spacing w:after="0" w:line="274"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The COVID-19 pandemic, which rapidly spread across the globe in 2020, resulted in an economic slowdown and significant disruptions in travel that had a negative impact on our business, specifically a significant decline in vehicle rental volumes. During the year ended December 31, 2021, global travel restrictions were eased, leading to an increase in travel demand and an improvement in general economic conditions. We believe the full extent of the ongoing impact of this virus on our long-term operational performance and liquidity will depend on future developments, including those outside of our control, such as the spread of new variants of the virus which may be resistant to currently approved vaccines and the implementation of new or continued travel restrictions.</w:t>
      </w:r>
    </w:p>
    <w:p>
      <w:pPr>
        <w:spacing w:after="0" w:line="235"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In April 2020, we entered into an amendment (the “Amendment”) to our senior credit facilities, consisting of an approximately $1.2 billion term loan maturing in 2027 and a $1.8 billion revolving credit facility maturing in 2023, which remain in place after the Amendment. The Amendment provided for relief from a quarterly-tested leverage covenant contained in the credit agreement governing the senior credit facilities until June 30, 2021, during which time additional restrictions and requirements were also imposed. We subsequently further amended the credit agreement in February 2021 to permit refinancing of certain existing indebtedness and in July 2021 to remove the restrictions imposed in April 2020, increase the revolving credit facility to $1.95 billion and extend the maturity of the facility to 2026. As a result, we have no meaningful corporate debt maturities until 2024.</w:t>
      </w:r>
    </w:p>
    <w:p>
      <w:pPr>
        <w:spacing w:after="0" w:line="212" w:lineRule="exact"/>
        <w:rPr>
          <w:sz w:val="20"/>
          <w:szCs w:val="20"/>
          <w:color w:val="auto"/>
        </w:rPr>
      </w:pPr>
    </w:p>
    <w:p>
      <w:pPr>
        <w:ind w:left="500" w:right="6980" w:hanging="492"/>
        <w:spacing w:after="0" w:line="451" w:lineRule="auto"/>
        <w:tabs>
          <w:tab w:leader="none" w:pos="488"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ind w:left="500" w:right="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(“GAAP”) and include the accounts of our and all entities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in which we have a direct or indirect controlling financial interest and variable interest entities for which we have determined we are the primary beneficiary. We consolidate joint venture activities when we have more than a 50% controlling interest and record non-controlling interests within stockholders’ equity and the statement of comprehensive income equal to the percentage of ownership interest retained in such entities by the respective non-controlling party. Intercompany transactions have been eliminated in consolidation.</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193"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The use of estimates and assumptions as determined by management is required in the preparation of the Consolidated Financial Statements in conformity with GAAP. These estimates are based on management’s evaluation of historical trends and other information available when the Consolidated Financial Statements are prepared and may affect the amounts reported and related disclosures. Actual results could differ from those estimates.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74" w:lineRule="exact"/>
        <w:rPr>
          <w:sz w:val="20"/>
          <w:szCs w:val="20"/>
          <w:color w:val="auto"/>
        </w:rPr>
      </w:pPr>
    </w:p>
    <w:p>
      <w:pPr>
        <w:jc w:val="both"/>
        <w:ind w:left="500"/>
        <w:spacing w:after="0" w:line="251" w:lineRule="auto"/>
        <w:rPr>
          <w:sz w:val="20"/>
          <w:szCs w:val="20"/>
          <w:color w:val="auto"/>
        </w:rPr>
      </w:pPr>
      <w:r>
        <w:rPr>
          <w:rFonts w:ascii="Arial" w:cs="Arial" w:eastAsia="Arial" w:hAnsi="Arial"/>
          <w:sz w:val="18"/>
          <w:szCs w:val="18"/>
          <w:color w:val="auto"/>
        </w:rPr>
        <w:t>We derive revenues primarily by providing vehicle rentals and other related products and mobility services to commercial and leisure customers, as well as through licensing of our rental brands. Other related products and mobility services include sales of collision and loss damage waivers under which a customer is relieved from financial responsibility arising from vehicle damage incurred during the rental; products and services for driving convenience such as fuel service options, roadside safety net, electronic toll collection, tablet rentals, access to satellite radio, portable navigation units and child safety seat rentals; and rentals of other supplemental items including automobile towing equipment and other moving accessories and supplies. We also receive payment from customers for certain operating expenses that we incur, including airport concession fees that are paid by us in exchange for the right to operate at airports and other locations, as well as vehicle licensing fees. In addition, we collect membership fees in connection with our car sharing business.</w:t>
      </w:r>
    </w:p>
    <w:p>
      <w:pPr>
        <w:spacing w:after="0" w:line="239"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We combine all lease and non-lease components of our vehicle rental contracts for which the timing and pattern of transfer are the same and the lease component meets the classification of an operating lease. Vehicle rentals and other related products and mobility services are recognized evenly over the period of rental, which is on average approximately five days. (See Note 3–Leases).</w:t>
      </w:r>
    </w:p>
    <w:p>
      <w:pPr>
        <w:spacing w:after="0" w:line="229"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Licensing revenues principally consist of royalties paid by our licensees and are recorded as the licensees’ revenues are earned (over the rental period). We renew license agreements in the normal course of business and occasionally terminate, purchase or sell license agreements. In connection with ongoing fees that we receive from our licensees pursuant to license agreements, we are required to provide certain services, such as training, marketing and the operation of reservation systems.</w:t>
      </w:r>
    </w:p>
    <w:p>
      <w:pPr>
        <w:spacing w:after="0" w:line="231"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We exclude from the measurement of our transaction price any tax assessed by a governmental authority that is both imposed on and concurrent with a specific revenue-producing transaction and collected from a customer. As a result, revenue is recorded net of such taxes collected. Revenues and expenses associated with gasoline, airport concessions and vehicle licensing are recorded on a gross basis within revenues and operating expenses. Membership fees related to our car sharing business are generally nonrefundable, are deferred and recognized ratably over the period of membership.</w:t>
      </w:r>
    </w:p>
    <w:p>
      <w:pPr>
        <w:spacing w:after="0" w:line="232"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Revenues are recognized under Leases (Topic 842) with the exception of royalty fee revenue derived from our licensees and revenue related to our customer loyalty program, which were approximately $127 million, $159 million and $144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revenues disaggregated by geography:</w:t>
      </w:r>
    </w:p>
    <w:p>
      <w:pPr>
        <w:spacing w:after="0" w:line="28"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51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10"/>
          </w:tcPr>
          <w:p>
            <w:pPr>
              <w:jc w:val="center"/>
              <w:ind w:left="70"/>
              <w:spacing w:after="0"/>
              <w:rPr>
                <w:sz w:val="20"/>
                <w:szCs w:val="20"/>
                <w:color w:val="auto"/>
              </w:rPr>
            </w:pPr>
            <w:r>
              <w:rPr>
                <w:rFonts w:ascii="Arial" w:cs="Arial" w:eastAsia="Arial" w:hAnsi="Arial"/>
                <w:sz w:val="18"/>
                <w:szCs w:val="18"/>
                <w:b w:val="1"/>
                <w:bCs w:val="1"/>
                <w:color w:val="auto"/>
                <w:w w:val="99"/>
              </w:rPr>
              <w:t>Year Ended December 31,</w:t>
            </w:r>
          </w:p>
        </w:tc>
        <w:tc>
          <w:tcPr>
            <w:tcW w:w="12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5160" w:type="dxa"/>
            <w:vAlign w:val="bottom"/>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9"/>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19"/>
                <w:szCs w:val="19"/>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Americas</w:t>
            </w:r>
          </w:p>
        </w:tc>
        <w:tc>
          <w:tcPr>
            <w:tcW w:w="1060" w:type="dxa"/>
            <w:vAlign w:val="bottom"/>
            <w:gridSpan w:val="2"/>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7,557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6,352</w:t>
            </w:r>
          </w:p>
        </w:tc>
        <w:tc>
          <w:tcPr>
            <w:tcW w:w="40" w:type="dxa"/>
            <w:vAlign w:val="bottom"/>
          </w:tcPr>
          <w:p>
            <w:pPr>
              <w:spacing w:after="0"/>
              <w:rPr>
                <w:sz w:val="19"/>
                <w:szCs w:val="19"/>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2,222</w:t>
            </w:r>
          </w:p>
        </w:tc>
        <w:tc>
          <w:tcPr>
            <w:tcW w:w="40" w:type="dxa"/>
            <w:vAlign w:val="bottom"/>
          </w:tcPr>
          <w:p>
            <w:pPr>
              <w:spacing w:after="0"/>
              <w:rPr>
                <w:sz w:val="19"/>
                <w:szCs w:val="19"/>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Asia and Australasia</w:t>
            </w:r>
          </w:p>
        </w:tc>
        <w:tc>
          <w:tcPr>
            <w:tcW w:w="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40" w:type="dxa"/>
            <w:vAlign w:val="bottom"/>
          </w:tcPr>
          <w:p>
            <w:pPr>
              <w:spacing w:after="0"/>
              <w:rPr>
                <w:sz w:val="19"/>
                <w:szCs w:val="19"/>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060" w:type="dxa"/>
            <w:vAlign w:val="bottom"/>
            <w:tcBorders>
              <w:bottom w:val="single" w:sz="8" w:color="auto"/>
            </w:tcBorders>
            <w:gridSpan w:val="2"/>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9,172</w:t>
            </w:r>
          </w:p>
        </w:tc>
        <w:tc>
          <w:tcPr>
            <w:tcW w:w="40" w:type="dxa"/>
            <w:vAlign w:val="bottom"/>
          </w:tcPr>
          <w:p>
            <w:pPr>
              <w:spacing w:after="0"/>
              <w:rPr>
                <w:sz w:val="19"/>
                <w:szCs w:val="19"/>
                <w:color w:val="auto"/>
              </w:rPr>
            </w:pPr>
          </w:p>
        </w:tc>
      </w:tr>
      <w:tr>
        <w:trPr>
          <w:trHeight w:val="21"/>
        </w:trPr>
        <w:tc>
          <w:tcPr>
            <w:tcW w:w="5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6220" w:type="dxa"/>
            <w:vAlign w:val="bottom"/>
            <w:gridSpan w:val="3"/>
          </w:tcPr>
          <w:p>
            <w:pPr>
              <w:spacing w:after="0"/>
              <w:rPr>
                <w:sz w:val="20"/>
                <w:szCs w:val="20"/>
                <w:color w:val="auto"/>
              </w:rPr>
            </w:pPr>
            <w:r>
              <w:rPr>
                <w:rFonts w:ascii="Arial" w:cs="Arial" w:eastAsia="Arial" w:hAnsi="Arial"/>
                <w:sz w:val="18"/>
                <w:szCs w:val="18"/>
                <w:color w:val="auto"/>
              </w:rPr>
              <w:t>The following table presents our revenues disaggregated by brand:</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6"/>
        </w:trPr>
        <w:tc>
          <w:tcPr>
            <w:tcW w:w="5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10"/>
          </w:tcPr>
          <w:p>
            <w:pPr>
              <w:jc w:val="right"/>
              <w:ind w:right="20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r>
      <w:tr>
        <w:trPr>
          <w:trHeight w:val="223"/>
        </w:trPr>
        <w:tc>
          <w:tcPr>
            <w:tcW w:w="5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bottom w:val="single" w:sz="8" w:color="auto"/>
            </w:tcBorders>
          </w:tcPr>
          <w:p>
            <w:pPr>
              <w:spacing w:after="0"/>
              <w:rPr>
                <w:sz w:val="19"/>
                <w:szCs w:val="19"/>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Avis</w:t>
            </w:r>
          </w:p>
        </w:tc>
        <w:tc>
          <w:tcPr>
            <w:tcW w:w="106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4,894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5,250</w:t>
            </w:r>
          </w:p>
        </w:tc>
        <w:tc>
          <w:tcPr>
            <w:tcW w:w="40" w:type="dxa"/>
            <w:vAlign w:val="bottom"/>
          </w:tcPr>
          <w:p>
            <w:pPr>
              <w:spacing w:after="0"/>
              <w:rPr>
                <w:sz w:val="19"/>
                <w:szCs w:val="19"/>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Budget</w:t>
            </w: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3,715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3,179</w:t>
            </w:r>
          </w:p>
        </w:tc>
        <w:tc>
          <w:tcPr>
            <w:tcW w:w="40" w:type="dxa"/>
            <w:vAlign w:val="bottom"/>
          </w:tcPr>
          <w:p>
            <w:pPr>
              <w:spacing w:after="0"/>
              <w:rPr>
                <w:sz w:val="19"/>
                <w:szCs w:val="19"/>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40" w:type="dxa"/>
            <w:vAlign w:val="bottom"/>
            <w:tcBorders>
              <w:bottom w:val="single" w:sz="8" w:color="auto"/>
            </w:tcBorders>
          </w:tcPr>
          <w:p>
            <w:pPr>
              <w:spacing w:after="0"/>
              <w:rPr>
                <w:sz w:val="19"/>
                <w:szCs w:val="19"/>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06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9,313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9,172</w:t>
            </w:r>
          </w:p>
        </w:tc>
        <w:tc>
          <w:tcPr>
            <w:tcW w:w="4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 includes Zipcar and other operating brands.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74"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We record deferred revenues when cash payments are received in advance of satisfying our performance obligations, including amounts that are refundable. In addition, certain customers earn loyalty points on rentals, for which we defer a portion of our rental revenues generally equivalent to the estimated retail value of points expected to be redeemed. We estimate points that will never be redeemed based upon actual redemption and expiration patterns. Currently loyalty points expire after 12 months of member inactivity. Future changes to expiration assumptions or expiration policy, or to program rules, may result in changes to deferred revenue as well as recognized revenues from the program.</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changes in deferred revenue associated with our customer loyalty program:</w:t>
      </w:r>
    </w:p>
    <w:p>
      <w:pPr>
        <w:spacing w:after="0" w:line="28"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6880" w:type="dxa"/>
            <w:vAlign w:val="bottom"/>
          </w:tcPr>
          <w:p>
            <w:pPr>
              <w:spacing w:after="0"/>
              <w:rPr>
                <w:sz w:val="20"/>
                <w:szCs w:val="20"/>
                <w:color w:val="auto"/>
              </w:rPr>
            </w:pPr>
          </w:p>
        </w:tc>
        <w:tc>
          <w:tcPr>
            <w:tcW w:w="28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440" w:type="dxa"/>
            <w:vAlign w:val="bottom"/>
            <w:tcBorders>
              <w:bottom w:val="single" w:sz="8" w:color="auto"/>
            </w:tcBorders>
          </w:tcPr>
          <w:p>
            <w:pPr>
              <w:spacing w:after="0"/>
              <w:rPr>
                <w:sz w:val="20"/>
                <w:szCs w:val="20"/>
                <w:color w:val="auto"/>
              </w:rPr>
            </w:pPr>
          </w:p>
        </w:tc>
      </w:tr>
      <w:tr>
        <w:trPr>
          <w:trHeight w:val="223"/>
        </w:trPr>
        <w:tc>
          <w:tcPr>
            <w:tcW w:w="6880" w:type="dxa"/>
            <w:vAlign w:val="bottom"/>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Balance, January 1</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center"/>
              <w:ind w:left="30"/>
              <w:spacing w:after="0"/>
              <w:rPr>
                <w:sz w:val="20"/>
                <w:szCs w:val="20"/>
                <w:color w:val="auto"/>
              </w:rPr>
            </w:pPr>
            <w:r>
              <w:rPr>
                <w:rFonts w:ascii="Arial" w:cs="Arial" w:eastAsia="Arial" w:hAnsi="Arial"/>
                <w:sz w:val="18"/>
                <w:szCs w:val="18"/>
                <w:color w:val="auto"/>
                <w:w w:val="99"/>
              </w:rPr>
              <w:t>34</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Pr>
          <w:p>
            <w:pPr>
              <w:jc w:val="center"/>
              <w:ind w:left="30"/>
              <w:spacing w:after="0"/>
              <w:rPr>
                <w:sz w:val="20"/>
                <w:szCs w:val="20"/>
                <w:color w:val="auto"/>
              </w:rPr>
            </w:pPr>
            <w:r>
              <w:rPr>
                <w:rFonts w:ascii="Arial" w:cs="Arial" w:eastAsia="Arial" w:hAnsi="Arial"/>
                <w:sz w:val="18"/>
                <w:szCs w:val="18"/>
                <w:color w:val="auto"/>
                <w:w w:val="99"/>
              </w:rPr>
              <w:t>59</w:t>
            </w:r>
          </w:p>
        </w:tc>
      </w:tr>
      <w:tr>
        <w:trPr>
          <w:trHeight w:val="230"/>
        </w:trPr>
        <w:tc>
          <w:tcPr>
            <w:tcW w:w="6880" w:type="dxa"/>
            <w:vAlign w:val="bottom"/>
          </w:tcPr>
          <w:p>
            <w:pPr>
              <w:ind w:left="200"/>
              <w:spacing w:after="0"/>
              <w:rPr>
                <w:sz w:val="20"/>
                <w:szCs w:val="20"/>
                <w:color w:val="auto"/>
              </w:rPr>
            </w:pPr>
            <w:r>
              <w:rPr>
                <w:rFonts w:ascii="Arial" w:cs="Arial" w:eastAsia="Arial" w:hAnsi="Arial"/>
                <w:sz w:val="18"/>
                <w:szCs w:val="18"/>
                <w:color w:val="auto"/>
              </w:rPr>
              <w:t>Revenue deferred</w:t>
            </w:r>
          </w:p>
        </w:tc>
        <w:tc>
          <w:tcPr>
            <w:tcW w:w="1140" w:type="dxa"/>
            <w:vAlign w:val="bottom"/>
          </w:tcPr>
          <w:p>
            <w:pPr>
              <w:spacing w:after="0"/>
              <w:rPr>
                <w:sz w:val="19"/>
                <w:szCs w:val="19"/>
                <w:color w:val="auto"/>
              </w:rPr>
            </w:pPr>
          </w:p>
        </w:tc>
        <w:tc>
          <w:tcPr>
            <w:tcW w:w="480" w:type="dxa"/>
            <w:vAlign w:val="bottom"/>
          </w:tcPr>
          <w:p>
            <w:pPr>
              <w:jc w:val="center"/>
              <w:ind w:left="30"/>
              <w:spacing w:after="0"/>
              <w:rPr>
                <w:sz w:val="20"/>
                <w:szCs w:val="20"/>
                <w:color w:val="auto"/>
              </w:rPr>
            </w:pPr>
            <w:r>
              <w:rPr>
                <w:rFonts w:ascii="Arial" w:cs="Arial" w:eastAsia="Arial" w:hAnsi="Arial"/>
                <w:sz w:val="18"/>
                <w:szCs w:val="18"/>
                <w:color w:val="auto"/>
                <w:w w:val="99"/>
              </w:rPr>
              <w:t>49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jc w:val="center"/>
              <w:ind w:left="30"/>
              <w:spacing w:after="0"/>
              <w:rPr>
                <w:sz w:val="20"/>
                <w:szCs w:val="20"/>
                <w:color w:val="auto"/>
              </w:rPr>
            </w:pPr>
            <w:r>
              <w:rPr>
                <w:rFonts w:ascii="Arial" w:cs="Arial" w:eastAsia="Arial" w:hAnsi="Arial"/>
                <w:sz w:val="18"/>
                <w:szCs w:val="18"/>
                <w:color w:val="auto"/>
                <w:w w:val="99"/>
              </w:rPr>
              <w:t>26</w:t>
            </w:r>
          </w:p>
        </w:tc>
      </w:tr>
      <w:tr>
        <w:trPr>
          <w:trHeight w:val="229"/>
        </w:trPr>
        <w:tc>
          <w:tcPr>
            <w:tcW w:w="6880" w:type="dxa"/>
            <w:vAlign w:val="bottom"/>
          </w:tcPr>
          <w:p>
            <w:pPr>
              <w:ind w:left="200"/>
              <w:spacing w:after="0"/>
              <w:rPr>
                <w:sz w:val="20"/>
                <w:szCs w:val="20"/>
                <w:color w:val="auto"/>
              </w:rPr>
            </w:pPr>
            <w:r>
              <w:rPr>
                <w:rFonts w:ascii="Arial" w:cs="Arial" w:eastAsia="Arial" w:hAnsi="Arial"/>
                <w:sz w:val="18"/>
                <w:szCs w:val="18"/>
                <w:color w:val="auto"/>
              </w:rPr>
              <w:t>Revenue recognized</w:t>
            </w:r>
          </w:p>
        </w:tc>
        <w:tc>
          <w:tcPr>
            <w:tcW w:w="1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(33)</w:t>
            </w: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(51)</w:t>
            </w: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Balance, December 31</w:t>
            </w: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50</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34</w:t>
            </w:r>
          </w:p>
        </w:tc>
      </w:tr>
      <w:tr>
        <w:trPr>
          <w:trHeight w:val="20"/>
        </w:trPr>
        <w:tc>
          <w:tcPr>
            <w:tcW w:w="68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w:t>
      </w:r>
    </w:p>
    <w:p>
      <w:pPr>
        <w:spacing w:after="0" w:line="15" w:lineRule="exact"/>
        <w:rPr>
          <w:sz w:val="20"/>
          <w:szCs w:val="20"/>
          <w:color w:val="auto"/>
        </w:rPr>
      </w:pPr>
    </w:p>
    <w:p>
      <w:pPr>
        <w:jc w:val="both"/>
        <w:ind w:left="500" w:right="20"/>
        <w:spacing w:after="0" w:line="258" w:lineRule="auto"/>
        <w:rPr>
          <w:sz w:val="20"/>
          <w:szCs w:val="20"/>
          <w:color w:val="auto"/>
        </w:rPr>
      </w:pPr>
      <w:r>
        <w:rPr>
          <w:rFonts w:ascii="Arial" w:cs="Arial" w:eastAsia="Arial" w:hAnsi="Arial"/>
          <w:sz w:val="14"/>
          <w:szCs w:val="14"/>
          <w:color w:val="auto"/>
        </w:rPr>
        <w:t>At December 31, 2021 and 2020, $33 million and $17 million was included in accounts payable and other current liabilities, respectively, and $17 million and $17 million, respectively, in other non-current liabilities. Non-current amounts are expected to be recognized as revenue within two to three years.</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Currency Translation</w:t>
      </w:r>
    </w:p>
    <w:p>
      <w:pPr>
        <w:spacing w:after="0" w:line="193"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Assets and liabilities of foreign operations are translated at the rate of exchange in effect on the balance sheet date; income and expenses are translated at the prevailing monthly average rate of exchange. The related translation adjustments are reflected in accumulated other comprehensive income (loss) in the stockholders’ equity section of the Consolidated Balance Sheets and in the Consolidated Statements of Comprehensive Income (See Note 16 - Stockholders’ Equity). We have designated our euro-denominated Notes as a hedge of our investment in euro-denominated foreign operations and, accordingly, record the effective portion of gains or losses on this net investment hedge in accumulated other comprehensive income (loss) as part of currency translation adjustments.</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and Cash Equivalents, Program Cash and Restricted Cash</w:t>
      </w:r>
    </w:p>
    <w:p>
      <w:pPr>
        <w:spacing w:after="0" w:line="193"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color w:val="auto"/>
        </w:rPr>
        <w:t>We consider highly liquid investments purchased with an original maturity of three months or less to be cash equivalents. Program cash primarily represents amounts specifically designated to purchase assets under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vehicle programs and/or to repay the related debt, as such we consider it a restricted cash equivalent. The following table provides a detail of cash and cash equivalents, program and restricted cash reported within the Consolidated Balance Sheets to the amounts shown in the Consolidated Statements of Cash Flows:</w:t>
      </w:r>
    </w:p>
    <w:p>
      <w:pPr>
        <w:spacing w:after="0" w:line="166"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6860" w:type="dxa"/>
            <w:vAlign w:val="bottom"/>
          </w:tcPr>
          <w:p>
            <w:pPr>
              <w:spacing w:after="0"/>
              <w:rPr>
                <w:sz w:val="20"/>
                <w:szCs w:val="20"/>
                <w:color w:val="auto"/>
              </w:rPr>
            </w:pPr>
          </w:p>
        </w:tc>
        <w:tc>
          <w:tcPr>
            <w:tcW w:w="286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As of December 31,</w:t>
            </w:r>
          </w:p>
        </w:tc>
        <w:tc>
          <w:tcPr>
            <w:tcW w:w="500" w:type="dxa"/>
            <w:vAlign w:val="bottom"/>
            <w:tcBorders>
              <w:bottom w:val="single" w:sz="8" w:color="auto"/>
            </w:tcBorders>
          </w:tcPr>
          <w:p>
            <w:pPr>
              <w:spacing w:after="0"/>
              <w:rPr>
                <w:sz w:val="20"/>
                <w:szCs w:val="20"/>
                <w:color w:val="auto"/>
              </w:rPr>
            </w:pPr>
          </w:p>
        </w:tc>
      </w:tr>
      <w:tr>
        <w:trPr>
          <w:trHeight w:val="223"/>
        </w:trPr>
        <w:tc>
          <w:tcPr>
            <w:tcW w:w="6860" w:type="dxa"/>
            <w:vAlign w:val="bottom"/>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9"/>
                <w:szCs w:val="19"/>
                <w:color w:val="auto"/>
              </w:rPr>
            </w:pP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692</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Program cash</w:t>
            </w:r>
          </w:p>
        </w:tc>
        <w:tc>
          <w:tcPr>
            <w:tcW w:w="1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0"/>
                <w:szCs w:val="10"/>
                <w:color w:val="auto"/>
              </w:rPr>
              <w:t>(a)</w:t>
            </w:r>
          </w:p>
        </w:tc>
        <w:tc>
          <w:tcPr>
            <w:tcW w:w="1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Total cash and cash equivalents, program and restricted cash</w:t>
            </w: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r>
      <w:tr>
        <w:trPr>
          <w:trHeight w:val="20"/>
        </w:trPr>
        <w:tc>
          <w:tcPr>
            <w:tcW w:w="6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w:t>
      </w:r>
    </w:p>
    <w:p>
      <w:pPr>
        <w:ind w:left="820" w:hanging="326"/>
        <w:spacing w:after="0" w:line="198" w:lineRule="auto"/>
        <w:tabs>
          <w:tab w:leader="none" w:pos="820" w:val="left"/>
        </w:tabs>
        <w:numPr>
          <w:ilvl w:val="0"/>
          <w:numId w:val="28"/>
        </w:numPr>
        <w:rPr>
          <w:rFonts w:ascii="Arial" w:cs="Arial" w:eastAsia="Arial" w:hAnsi="Arial"/>
          <w:sz w:val="19"/>
          <w:szCs w:val="19"/>
          <w:color w:val="auto"/>
          <w:vertAlign w:val="superscript"/>
        </w:rPr>
      </w:pPr>
      <w:r>
        <w:rPr>
          <w:rFonts w:ascii="Arial" w:cs="Arial" w:eastAsia="Arial" w:hAnsi="Arial"/>
          <w:sz w:val="14"/>
          <w:szCs w:val="14"/>
          <w:color w:val="auto"/>
        </w:rPr>
        <w:t>Included within other current assets.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(including leasehold improvements) are stated at cost, net of accumulated depreciation and amortization.</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(non-vehicle related) is computed utilizing the straight-line method over the estimated useful lives of the related assets.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Leasehold improvements are amortized over the shorter of the term of the lease or the estimated useful lives of the improvements.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Useful lives are as follows:</w:t>
      </w:r>
    </w:p>
    <w:p>
      <w:pPr>
        <w:sectPr>
          <w:pgSz w:w="11900" w:h="16838" w:orient="portrait"/>
          <w:cols w:equalWidth="0" w:num="1">
            <w:col w:w="11240"/>
          </w:cols>
          <w:pgMar w:left="320" w:top="140" w:right="339" w:bottom="1440" w:gutter="0" w:footer="0" w:header="0"/>
        </w:sectPr>
      </w:pP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Buildings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Furniture, fixtures &amp; equipment</w:t>
      </w:r>
    </w:p>
    <w:p>
      <w:pPr>
        <w:spacing w:after="0" w:line="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Capitalized software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Buses and support vehicles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30 years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3 to 10 years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3 to 7 years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4 to 15 years</w:t>
      </w:r>
    </w:p>
    <w:p>
      <w:pPr>
        <w:spacing w:after="0" w:line="211" w:lineRule="exact"/>
        <w:rPr>
          <w:sz w:val="20"/>
          <w:szCs w:val="20"/>
          <w:color w:val="auto"/>
        </w:rPr>
      </w:pPr>
    </w:p>
    <w:p>
      <w:pPr>
        <w:sectPr>
          <w:pgSz w:w="11900" w:h="16838" w:orient="portrait"/>
          <w:cols w:equalWidth="0" w:num="2">
            <w:col w:w="5100" w:space="720"/>
            <w:col w:w="5420"/>
          </w:cols>
          <w:pgMar w:left="320" w:top="140" w:right="339" w:bottom="1440" w:gutter="0" w:footer="0" w:header="0"/>
          <w:type w:val="continuous"/>
        </w:sectPr>
      </w:pPr>
    </w:p>
    <w:p>
      <w:pPr>
        <w:spacing w:after="0" w:line="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capitalize the costs of software developed for internal use when the preliminary project stage is completed and management</w:t>
      </w:r>
    </w:p>
    <w:p>
      <w:pPr>
        <w:spacing w:after="0" w:line="9" w:lineRule="exact"/>
        <w:rPr>
          <w:sz w:val="20"/>
          <w:szCs w:val="20"/>
          <w:color w:val="auto"/>
        </w:rPr>
      </w:pPr>
    </w:p>
    <w:p>
      <w:pPr>
        <w:jc w:val="both"/>
        <w:ind w:left="500" w:hanging="6"/>
        <w:spacing w:after="0" w:line="254" w:lineRule="auto"/>
        <w:tabs>
          <w:tab w:leader="none" w:pos="731"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commits to funding the project and (ii) believes it is probable that the project will be completed and the software will be used to perform the function intended. The software developed or obtained for internal use is amortized on a straight-line basis commencing when such software is ready for its intended use. The net carrying value of software developed or obtained for internal use was $188 million and $265 million as of December 31, 2021 and 2020, respectively.</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74"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Goodwill represents the excess, if any, of the fair value of the consideration transferred by the acquirer and the fair value of any non-controlling interest remaining in the acquiree, if any, over the fair values of the identifiable net assets acquired. We do not amortize goodwill, but assess it for impairment at least annually and whenever events or changes in circumstances indicate that the carrying amounts of their respective reporting units exceed their fair values. We perform our annual impairment assessment in the fourth quarter of each year at the reporting unit level. We assess goodwill for such impairment by comparing the carrying value of each reporting unit to its fair value using the present value of expected future cash flows. When appropriate, comparative market multiples and other factors are used to corroborate the discounted cash flow results.</w:t>
      </w:r>
    </w:p>
    <w:p>
      <w:pPr>
        <w:spacing w:after="0" w:line="234"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Other intangible assets, primarily trademarks, with indefinite lives are not amortized but are evaluated annually for impairment and whenever events or changes in circumstances indicate that the carrying amount of this asset may exceed its fair value. If the carrying value of an other intangible asset exceeds its fair value, an impairment loss is recognized in an amount equal to that excess. Other intangible assets with finite lives are amortized over their estimated useful lives and are evaluated each reporting period to determine if circumstances warrant a revision to these lives.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93"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We are required to assess long-lived assets for impairment whenever circumstances indicate impairment may have occurred. This analysis is performed by comparing the respective carrying values of the assets to the undiscounted expected future cash flows to be generated from such assets. Property and equipment is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500" w:right="20"/>
        <w:spacing w:after="0" w:line="261" w:lineRule="auto"/>
        <w:rPr>
          <w:sz w:val="20"/>
          <w:szCs w:val="20"/>
          <w:color w:val="auto"/>
        </w:rPr>
      </w:pPr>
      <w:r>
        <w:rPr>
          <w:rFonts w:ascii="Arial" w:cs="Arial" w:eastAsia="Arial" w:hAnsi="Arial"/>
          <w:sz w:val="18"/>
          <w:szCs w:val="18"/>
          <w:color w:val="auto"/>
        </w:rPr>
        <w:t>evaluated separately at the lowest level of identifiable cash flows. If such analysis indicates that the carrying value of these assets is not recoverable, the carrying value of such assets is reduced to fair value.</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Vehicles</w:t>
      </w:r>
    </w:p>
    <w:p>
      <w:pPr>
        <w:spacing w:after="0" w:line="193"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Vehicles are stated at cost, net of accumulated depreciation. The initial cost of the vehicles is recorded net of incentives and allowances from manufacturers. We acquire a portion of our rental vehicles pursuant to repurchase and guaranteed depreciation programs established by automobile manufacturers. Under these programs, the manufacturers agree to repurchase vehicles at a specified price and date, or guarantee the depreciation rate for a specified period of time, subject to certain eligibility criteria (such as car condition and mileage requirements). We depreciate vehicles such that the net book value on the date of return to the manufacturers is intended to equal the contractual guaranteed residual values, thereby minimizing any gain or loss.</w:t>
      </w:r>
    </w:p>
    <w:p>
      <w:pPr>
        <w:spacing w:after="0" w:line="154"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Rental vehicles acquired outside of manufacturer repurchase and guaranteed depreciation programs are depreciated based upon their estimated residual values at their expected dates of disposition, after giving effect to anticipated conditions in the used car market. Any adjustments to depreciation are made prospectively.</w:t>
      </w:r>
    </w:p>
    <w:p>
      <w:pPr>
        <w:spacing w:after="0" w:line="148"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The estimation of residual values requires us to make assumptions regarding the age and mileage of the car at the time of disposal, as well as expected used vehicle auction market conditions. We regularly evaluate estimated residual values and adjust depreciation rates as appropriate. Differences between actual residual values and those estimated result in a gain or loss on disposal and are recorded as part of vehicle depreciation at the time of sale. Vehicle-related interest expense amounts are net of vehicle-related interest income of $1 million, $12 million and $15 million for 2021, 2020 and 2019, respectively.</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93"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Advertising costs are generally expensed in the period incurred and are recorded within selling, general and administrative expense in our Consolidated Statements of Operations. During 2021, 2020 and 2019, advertising costs were approximately $81 million, $54 million and $121 million, respectively.</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Taxes</w:t>
      </w:r>
    </w:p>
    <w:p>
      <w:pPr>
        <w:spacing w:after="0" w:line="193"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 As a result of the provisions of the Tax Cuts and Jobs Act, we account for Global Intangible Low-Taxed Income (“GILTI”) as a component of current period income tax expense in the year incurred.</w:t>
      </w:r>
    </w:p>
    <w:p>
      <w:pPr>
        <w:spacing w:after="0" w:line="153"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We record net deferred tax assets to the extent we believe that it is more likely than not that these assets will be realized. In making such determination,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3"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We measure the fair value of assets and liabilities and discloses the source for such fair value measurements. Financial assets and liabilities are classified as follows: Level 1, which refers to assets and liabilities valued using quoted prices from active markets for identical assets or liabilities; Level 2, which refers to assets and liabilities for which significant other observable market inputs are readily available; and Level 3, which are valued based on significant unobservable inputs.</w:t>
      </w:r>
    </w:p>
    <w:p>
      <w:pPr>
        <w:spacing w:after="0" w:line="150"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color w:val="auto"/>
        </w:rPr>
        <w:t>The fair value of our financial instruments is generally determined by reference to market values resulting from trading on a national securities exchange or in an over-the-counter market (Level 1 inputs). In some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cases where quoted market prices are not available, prices are derived by considering the yield of the benchmark security that was issued to initially price the instruments and adjusting this rate by the credit spread that market participants would demand for the instruments as of the measurement date (Level 2 inputs). In situations where long-term borrowings are part of a conduit facility backed by short-term floating rate debt, we have determined that its carrying value approximates the fair value of this debt (Level 2 inputs). The carrying amounts of cash and cash equivalents, available-for-sale securities, accounts receivable, program cash and accounts payable and accrued liabilities approximate fair value due to the short-term maturities of these assets and liabilities.</w:t>
      </w:r>
    </w:p>
    <w:p>
      <w:pPr>
        <w:spacing w:after="0" w:line="154"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Our derivative assets and liabilities consist principally of currency exchange contracts, interest rate swaps, interest rate caps and commodity contracts, and are carried at fair value based on significant observable inputs (Level 2 inputs). Derivatives entered into by us are typically executed over-the-counter and are valued using internal valuation techniques, as no quoted market prices exist for such instruments. The valuation technique and inputs depend on the type of derivative and the nature of the underlying exposure. We principally use discounted cash flows to value these instruments. These models take into account a variety of factors including, where applicable, maturity, currency exchange rates, our interest rate yield curves and counterparties, credit curves, counterparty creditworthiness and commodity prices. These factors are applied on a consistent basis and are based upon observable inputs where available.</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93"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Derivative instruments are used as part of our overall strategy to manage exposure to market risks associated with fluctuations in currency exchange rates, interest rates and gasoline costs. As a matter of policy, derivatives are not used for trading or speculative purposes.</w:t>
      </w:r>
    </w:p>
    <w:p>
      <w:pPr>
        <w:spacing w:after="0" w:line="148"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All derivatives are recorded at fair value either as assets or liabilities. Changes in fair value of derivatives not designated as hedging instruments are recognized currently in earnings within the same line item as the hedged item. The changes in fair value of a derivative that is designated as either a cash flow or net investment hedge is recorded as a component of accumulated other comprehensive income (loss) and reclassified into earnings in the same period or periods during which the hedged transaction affects earnings and is presented in the same income statement line item as the earnings effect of the hedged item. Amounts related to our derivative instruments are recognized in the Consolidated Statements of Cash Flows consistent with the nature of the hedged item (principally operating activities).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Currency Transactions</w:t>
      </w:r>
    </w:p>
    <w:p>
      <w:pPr>
        <w:spacing w:after="0" w:line="193"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Currency gains and losses resulting from foreign currency transactions are generally included in operating expenses within the Consolidated Statements of Operations; however, the net gain or loss of currency transactions on intercompany loans and the unrealized gain or loss on intercompany loan hedges are included within interest expense related to corporate debt, net.</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Self-Insurance Reserves</w:t>
      </w:r>
    </w:p>
    <w:p>
      <w:pPr>
        <w:spacing w:after="0" w:line="193" w:lineRule="exact"/>
        <w:rPr>
          <w:sz w:val="20"/>
          <w:szCs w:val="20"/>
          <w:color w:val="auto"/>
        </w:rPr>
      </w:pPr>
    </w:p>
    <w:p>
      <w:pPr>
        <w:jc w:val="both"/>
        <w:ind w:left="500"/>
        <w:spacing w:after="0" w:line="251" w:lineRule="auto"/>
        <w:rPr>
          <w:sz w:val="20"/>
          <w:szCs w:val="20"/>
          <w:color w:val="auto"/>
        </w:rPr>
      </w:pPr>
      <w:r>
        <w:rPr>
          <w:rFonts w:ascii="Arial" w:cs="Arial" w:eastAsia="Arial" w:hAnsi="Arial"/>
          <w:sz w:val="18"/>
          <w:szCs w:val="18"/>
          <w:color w:val="auto"/>
        </w:rPr>
        <w:t>The Consolidated Balance Sheets include $383 million and $396 million of liabilities associated with retained risks of liability to third parties as of December 31, 2021 and 2020, respectively. Such liabilities relate primarily to public liability and third-party property damage claims, as well as claims arising from the sale of ancillary insurance products including, but not limited to, supplemental liability, personal effects protection and personal accident insurance. These obligations represent an estimate for both reported claims not yet paid and claims incurred but not yet reported. The estimated reserve requirements for such claims are recorded on an undiscounted basis utilizing actuarial methodologies and various assumptions which include, but are not limited to, our historical loss experience and projected loss development factors. The required liability is also subject to adjustment in the future based upon changes in claims experience, including changes in the number of incidents for which we are ultimately liable and changes in the cost per incident. These amounts are included within accounts payable and other current liabilities and other non-current liabilities.</w:t>
      </w:r>
    </w:p>
    <w:p>
      <w:pPr>
        <w:spacing w:after="0" w:line="158"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The Consolidated Balance Sheets also include liabilities of approximately $ 48 million and $ 53 million as of December 31, 2021 and 2020, respectively, related to workers’ compensation, health and welfare and other employee benefit programs. The liabilities represent an estimate for both reported claims not yet paid and claims incurred but not yet reported, utilizing actuarial methodologies similar to those described above.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amounts are included within accounts payable and other current liabilities and other non-current liabilities.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3" w:lineRule="exact"/>
        <w:rPr>
          <w:sz w:val="20"/>
          <w:szCs w:val="20"/>
          <w:color w:val="auto"/>
        </w:rPr>
      </w:pPr>
    </w:p>
    <w:p>
      <w:pPr>
        <w:jc w:val="both"/>
        <w:ind w:left="500"/>
        <w:spacing w:after="0" w:line="251" w:lineRule="auto"/>
        <w:rPr>
          <w:sz w:val="20"/>
          <w:szCs w:val="20"/>
          <w:color w:val="auto"/>
        </w:rPr>
      </w:pPr>
      <w:r>
        <w:rPr>
          <w:rFonts w:ascii="Arial" w:cs="Arial" w:eastAsia="Arial" w:hAnsi="Arial"/>
          <w:sz w:val="18"/>
          <w:szCs w:val="18"/>
          <w:color w:val="auto"/>
        </w:rPr>
        <w:t>Stock-based compensation cost is measured at the grant date, based on the fair value of the award, and is recognized as expense on a straight-line basis over the vesting period. Our policy is to record compensation expense for stock options, and restricted stock units that are time- and performance-based, for the portion of the award that vests. Compensation expense related to market-based restricted stock units is recognized provided that the requisite service is rendered, regardless of when, if ever, the market condition is satisfied. We estimate the fair value of restricted stock units using the market price of our common stock on the date of grant. We estimate the fair value of stock-based and cash unit awards containing a market condition using a Monte Carlo simulation model. Key inputs and assumptions used in the Monte Carlo simulation model include the stock price of the award on the grant date, the expected term, the risk-free interest rate over the expected term, the expected annual dividend yield and the expected stock price volatility. The expected volatility is based on a combination of the historical and implied volatility of our publicly traded, near-the-money stock options, and the valuation period is based on the vesting period of the awards. The risk-free interest rate is derived from the U.S. Treasury yield curve in effect at the time of grant and, since we do not currently pay or plan to pay a dividend on our common stock, the expected dividend yield was zero.</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93"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We use the acquisition method of accounting for business combinations, which requires that the assets acquired and liabilities assumed be recorded at their respective fair values at the date of acquisition. Assets acquired and liabilities assumed in a business combination that arise from contingencies are recognized if fair value can be reasonably estimated at the acquisition date. The excess, if any, of (i) the fair value of the consideration transferred by the acquirer and the fair value of any non-controlling interest remaining in the acquiree, over (ii) the fair values of the identifiable net assets acquired is recorded as goodwill. Gains and losses on the re-acquisition of license agreements are recorded in the Consolidated Statements of Operations within transaction-related costs, net, upon completion of the respective acquisition. Costs incurred to effect a business combination are expensed as incurred, except for the cost to issue debt related to the acquisition.</w:t>
      </w:r>
    </w:p>
    <w:p>
      <w:pPr>
        <w:spacing w:after="0" w:line="151"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We record contingent consideration resulting from a business combination at its fair value on the acquisition date. The fair value of the contingent consideration is generally estimated by utilizing a Monte Carlo simulation technique, based on a range of possible future results (Level 3). Any changes in contingent consideration are recorded in transaction-related costs, net.</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Transaction-related Costs, net</w:t>
      </w:r>
    </w:p>
    <w:p>
      <w:pPr>
        <w:spacing w:after="0" w:line="193"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Transaction-related costs, net are classified separately in the Consolidated Statements of Operations. These costs are comprised of expenses primarily related to acquisition-related activities such as due-diligence and other advisory costs, expenses related to the integration of the acquiree’s operations with our comparable expenses, including the implementation of best practices and process improvements, non-cash gains and losses related to re-acquired rights, expenses related to pre-acquisition contingencies and contingent consideration related to acquisitions.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Investments</w:t>
      </w:r>
    </w:p>
    <w:p>
      <w:pPr>
        <w:spacing w:after="0" w:line="193"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We account for investments with controlling interest between 20% and 50% using the equity method of accounting and record our proportional share of net income or loss within operating expenses in the Consolidated Statements of Operations. We assess equity method investments for impairment whenever events or changes in circumstances indicate that the carrying amounts of such investments may not be recoverable. Any difference between the carrying value of the equity method investment and its estimated fair value is recognized as an impairment charge if the loss in value is deemed other than temporary. As of December 31, 2021 and 2020, we had investments with a carrying value of $72 million and $63 million, respectively, recorded within other non-current assets on the Consolidated Balance Sheets.</w:t>
      </w:r>
    </w:p>
    <w:p>
      <w:pPr>
        <w:spacing w:after="0" w:line="153"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color w:val="auto"/>
        </w:rPr>
        <w:t>Aggregate realized gains and losses on equity investments and dividend income are recorded within operating expenses on the Consolidated Statements of Operations. During 2021, 2020 and 2019, the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right="360"/>
        <w:spacing w:after="0" w:line="438" w:lineRule="auto"/>
        <w:rPr>
          <w:sz w:val="20"/>
          <w:szCs w:val="20"/>
          <w:color w:val="auto"/>
        </w:rPr>
      </w:pPr>
      <w:r>
        <w:rPr>
          <w:rFonts w:ascii="Arial" w:cs="Arial" w:eastAsia="Arial" w:hAnsi="Arial"/>
          <w:sz w:val="18"/>
          <w:szCs w:val="18"/>
          <w:color w:val="auto"/>
        </w:rPr>
        <w:t xml:space="preserve">amounts realized from the sale of equity investments and dividend income was $10 million, $5 million and $10 million, respectively. </w:t>
      </w:r>
      <w:r>
        <w:rPr>
          <w:rFonts w:ascii="Arial" w:cs="Arial" w:eastAsia="Arial" w:hAnsi="Arial"/>
          <w:sz w:val="18"/>
          <w:szCs w:val="18"/>
          <w:b w:val="1"/>
          <w:bCs w:val="1"/>
          <w:i w:val="1"/>
          <w:iCs w:val="1"/>
          <w:color w:val="auto"/>
        </w:rPr>
        <w:t>Divestitures</w:t>
      </w:r>
    </w:p>
    <w:p>
      <w:pPr>
        <w:spacing w:after="0" w:line="1"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We classify long-lived assets and liabilities to be disposed of as held for sale in the period in which they are available for immediate sale in their present condition and the sale is probable and expected to be completed within one year. We initially measure assets and liabilities held for sale at the lower of their carrying value or fair value less costs to sell and assesses their fair value each reporting period until disposed. When the divestiture represents a strategic shift that has, or will have, a major effect on our operations and financial results, the disposal is presented as a discontinued operation.</w:t>
      </w:r>
    </w:p>
    <w:p>
      <w:pPr>
        <w:spacing w:after="0" w:line="151"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In May 2021, we completed the sale of our operation in Argentina to Urbiz S.A. for $4 million. As part of the sale, Urbiz S.A. agreed to pay the purchase price, plus interest, over two years for the right to operate the Avis and Budget brands. During the year ended December 31, 2021, we recorded a loss of $14 million, net of the impact of foreign currency adjustments, within restructuring and other related charges. In addition, we paid severance to terminated employees of $2 million.</w:t>
      </w:r>
    </w:p>
    <w:p>
      <w:pPr>
        <w:spacing w:after="0" w:line="150"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In December 2021, we entered into a stock purchase agreement with Spuigroep B.V. to sell our operations in the Netherlands. Upon completion of the sale, Spuigroep B.V. will pay approximately $24 million. At December 31, 2021, we had assets held for sale of $31 million recorded within non-current assets and liabilities held for sale of $9 million recorded within non-current liabilities. The Netherlands operations are reported within our International reporting segment.</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Nonmarketable Equity Securities</w:t>
      </w:r>
    </w:p>
    <w:p>
      <w:pPr>
        <w:spacing w:after="0" w:line="193" w:lineRule="exact"/>
        <w:rPr>
          <w:sz w:val="20"/>
          <w:szCs w:val="20"/>
          <w:color w:val="auto"/>
        </w:rPr>
      </w:pPr>
    </w:p>
    <w:p>
      <w:pPr>
        <w:jc w:val="both"/>
        <w:ind w:left="500"/>
        <w:spacing w:after="0" w:line="251" w:lineRule="auto"/>
        <w:rPr>
          <w:sz w:val="20"/>
          <w:szCs w:val="20"/>
          <w:color w:val="auto"/>
        </w:rPr>
      </w:pPr>
      <w:r>
        <w:rPr>
          <w:rFonts w:ascii="Arial" w:cs="Arial" w:eastAsia="Arial" w:hAnsi="Arial"/>
          <w:sz w:val="18"/>
          <w:szCs w:val="18"/>
          <w:color w:val="auto"/>
        </w:rPr>
        <w:t>We classify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We apply the measurement alternative, which allows these investments to be recorded at cost, less impairment, if any, and subsequently adjust for observable price changes of identical or similar investments of the same issuer. Any changes in value are recorded within operating expenses. As of December 2020, we had investments in nonmarketable equity securities recorded within other non-current assets with a carrying value of $8 million. We realized a $12 million gain from the sale of a nonmarketable equity security during the year ended December 31, 2019. There were no material adjustments made to the carrying amounts of nonmarketable equity securities during the years ended December 31, 2021 and 2020. As of December 31, 2021, the securities are marketable equity securities with a fair value of $7 million, which are recorded within other non-current assets.</w:t>
      </w:r>
    </w:p>
    <w:p>
      <w:pPr>
        <w:spacing w:after="0" w:line="2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Simplifying the Accounting for Income Taxes</w:t>
      </w:r>
    </w:p>
    <w:p>
      <w:pPr>
        <w:spacing w:after="0" w:line="270"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On January 1, 2021, as the result of a new accounting pronouncement, we adopted Accounting Standard Update (“ASU”) 2019-12, “Simplifying the Accounting for Income Taxes,” which simplifies the accounting for income taxes by removing certain exceptions and improving the application of existing guidance. The adoption of this accounting pronouncement did not have a material impact on our Consolidated Financial Statements.</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Compensation—Retirement Benefits—Defined Benefit Plans</w:t>
      </w:r>
    </w:p>
    <w:p>
      <w:pPr>
        <w:spacing w:after="0" w:line="270"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On January 1, 2021, as the result of a new accounting pronouncement, we adopted ASU 2018-14, “Disclosure Framework—Changes to the Disclosure Requirements for Defined Benefit Plans,” which adds, removes, and clarifies disclosure requirements related to defined benefit pension and other postretirement plans. These changes are part of the Financial Accounting Standards Board (“FASB”) disclosure framework project, which the Board launched in 2014 to improve the effectiveness of disclosures in notes to financial statements. The adoption of this accounting pronouncement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Accounting for Contract Assets and Contract Liabilities from Contracts with Customers</w:t>
      </w:r>
    </w:p>
    <w:p>
      <w:pPr>
        <w:spacing w:after="0" w:line="270"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In October 2021, the FASB issued ASU 2021-08, “Accounting for Contract Assets and Contract Liabilities from Contracts with Customers,” which amends Topic 805 to add contract assets and contract liabilities to the list of exceptions to the recognition and measurement principles that apply to business combinations and to require an acquirer to recognize and measure contract assets and contract liabilities acquired in a business combination in accordance with Topic 606. ASU 2021-08 becomes effective for us on January 1, 2023. Early adoption is permitted on a retrospective or prospective basis. The adoption of this accounting pronouncement is not expected to have a material impact on our Consolidated Financial Statements.</w:t>
      </w:r>
    </w:p>
    <w:p>
      <w:pPr>
        <w:spacing w:after="0" w:line="2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Reference Rate Reform</w:t>
      </w:r>
    </w:p>
    <w:p>
      <w:pPr>
        <w:spacing w:after="0" w:line="270"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In January 2021, the FASB issued ASU 2021-01, “Reference Rate Reform (Topic 848),” which amends ASU 2020-04 and clarifies the scope and guidance of Topic 848 to allow derivatives impacted by the reference rate reform to qualify for certain optional expedients and exceptions for contract modifications and hedge accounting. The guidance is optional and is effective for a limited period of time through December 31, 2022. As of December 31, 2021, this guidance had no impact on our Consolidated Financial Statements and we will continue to evaluate this guidance.</w:t>
      </w:r>
    </w:p>
    <w:p>
      <w:pPr>
        <w:spacing w:after="0" w:line="210" w:lineRule="exact"/>
        <w:rPr>
          <w:sz w:val="20"/>
          <w:szCs w:val="20"/>
          <w:color w:val="auto"/>
        </w:rPr>
      </w:pPr>
    </w:p>
    <w:p>
      <w:pPr>
        <w:jc w:val="right"/>
        <w:ind w:left="500" w:right="10200" w:hanging="492"/>
        <w:spacing w:after="0" w:line="577" w:lineRule="auto"/>
        <w:tabs>
          <w:tab w:leader="none" w:pos="364"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w:t>
      </w:r>
      <w:r>
        <w:rPr>
          <w:rFonts w:ascii="Arial" w:cs="Arial" w:eastAsia="Arial" w:hAnsi="Arial"/>
          <w:sz w:val="17"/>
          <w:szCs w:val="17"/>
          <w:i w:val="1"/>
          <w:iCs w:val="1"/>
          <w:color w:val="auto"/>
        </w:rPr>
        <w:t>Lessor</w:t>
      </w:r>
    </w:p>
    <w:p>
      <w:pPr>
        <w:ind w:left="500"/>
        <w:spacing w:after="0"/>
        <w:rPr>
          <w:sz w:val="20"/>
          <w:szCs w:val="20"/>
          <w:color w:val="auto"/>
        </w:rPr>
      </w:pPr>
      <w:r>
        <w:rPr>
          <w:rFonts w:ascii="Arial" w:cs="Arial" w:eastAsia="Arial" w:hAnsi="Arial"/>
          <w:sz w:val="18"/>
          <w:szCs w:val="18"/>
          <w:color w:val="auto"/>
        </w:rPr>
        <w:t>The following table presents our lease revenues disaggregated by geography:</w:t>
      </w:r>
    </w:p>
    <w:p>
      <w:pPr>
        <w:spacing w:after="0" w:line="28"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4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center"/>
              <w:ind w:right="290"/>
              <w:spacing w:after="0"/>
              <w:rPr>
                <w:sz w:val="20"/>
                <w:szCs w:val="20"/>
                <w:color w:val="auto"/>
              </w:rPr>
            </w:pPr>
            <w:r>
              <w:rPr>
                <w:rFonts w:ascii="Arial" w:cs="Arial" w:eastAsia="Arial" w:hAnsi="Arial"/>
                <w:sz w:val="18"/>
                <w:szCs w:val="18"/>
                <w:b w:val="1"/>
                <w:bCs w:val="1"/>
                <w:color w:val="auto"/>
                <w:w w:val="99"/>
              </w:rPr>
              <w:t>Year Ended December 31,</w:t>
            </w:r>
          </w:p>
        </w:tc>
        <w:tc>
          <w:tcPr>
            <w:tcW w:w="1480" w:type="dxa"/>
            <w:vAlign w:val="bottom"/>
            <w:tcBorders>
              <w:bottom w:val="single" w:sz="8" w:color="auto"/>
            </w:tcBorders>
          </w:tcPr>
          <w:p>
            <w:pPr>
              <w:spacing w:after="0"/>
              <w:rPr>
                <w:sz w:val="20"/>
                <w:szCs w:val="20"/>
                <w:color w:val="auto"/>
              </w:rPr>
            </w:pPr>
          </w:p>
        </w:tc>
      </w:tr>
      <w:tr>
        <w:trPr>
          <w:trHeight w:val="223"/>
        </w:trPr>
        <w:tc>
          <w:tcPr>
            <w:tcW w:w="41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2019</w:t>
            </w:r>
          </w:p>
        </w:tc>
      </w:tr>
      <w:tr>
        <w:trPr>
          <w:trHeight w:val="223"/>
        </w:trPr>
        <w:tc>
          <w:tcPr>
            <w:tcW w:w="4180" w:type="dxa"/>
            <w:vAlign w:val="bottom"/>
          </w:tcPr>
          <w:p>
            <w:pPr>
              <w:ind w:left="20"/>
              <w:spacing w:after="0"/>
              <w:rPr>
                <w:sz w:val="20"/>
                <w:szCs w:val="20"/>
                <w:color w:val="auto"/>
              </w:rPr>
            </w:pPr>
            <w:r>
              <w:rPr>
                <w:rFonts w:ascii="Arial" w:cs="Arial" w:eastAsia="Arial" w:hAnsi="Arial"/>
                <w:sz w:val="18"/>
                <w:szCs w:val="18"/>
                <w:color w:val="auto"/>
              </w:rPr>
              <w:t>Americas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7,501</w:t>
            </w:r>
          </w:p>
        </w:tc>
        <w:tc>
          <w:tcPr>
            <w:tcW w:w="60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3,864</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6,303</w:t>
            </w: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1,343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2,141</w:t>
            </w: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Asia and Australasia</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r>
      <w:tr>
        <w:trPr>
          <w:trHeight w:val="223"/>
        </w:trPr>
        <w:tc>
          <w:tcPr>
            <w:tcW w:w="4180" w:type="dxa"/>
            <w:vAlign w:val="bottom"/>
          </w:tcPr>
          <w:p>
            <w:pPr>
              <w:ind w:left="20"/>
              <w:spacing w:after="0"/>
              <w:rPr>
                <w:sz w:val="20"/>
                <w:szCs w:val="20"/>
                <w:color w:val="auto"/>
              </w:rPr>
            </w:pPr>
            <w:r>
              <w:rPr>
                <w:rFonts w:ascii="Arial" w:cs="Arial" w:eastAsia="Arial" w:hAnsi="Arial"/>
                <w:sz w:val="18"/>
                <w:szCs w:val="18"/>
                <w:color w:val="auto"/>
              </w:rPr>
              <w:t>Total lease revenues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9,186</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9,028</w:t>
            </w:r>
          </w:p>
        </w:tc>
      </w:tr>
      <w:tr>
        <w:trPr>
          <w:trHeight w:val="20"/>
        </w:trPr>
        <w:tc>
          <w:tcPr>
            <w:tcW w:w="4180" w:type="dxa"/>
            <w:vAlign w:val="bottom"/>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47"/>
        </w:trPr>
        <w:tc>
          <w:tcPr>
            <w:tcW w:w="6040" w:type="dxa"/>
            <w:vAlign w:val="bottom"/>
            <w:gridSpan w:val="3"/>
          </w:tcPr>
          <w:p>
            <w:pPr>
              <w:spacing w:after="0"/>
              <w:rPr>
                <w:sz w:val="20"/>
                <w:szCs w:val="20"/>
                <w:color w:val="auto"/>
              </w:rPr>
            </w:pPr>
            <w:r>
              <w:rPr>
                <w:rFonts w:ascii="Arial" w:cs="Arial" w:eastAsia="Arial" w:hAnsi="Arial"/>
                <w:sz w:val="18"/>
                <w:szCs w:val="18"/>
                <w:color w:val="auto"/>
              </w:rPr>
              <w:t>The following table presents our lease revenues disaggregated by brand: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6"/>
        </w:trPr>
        <w:tc>
          <w:tcPr>
            <w:tcW w:w="41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6"/>
          </w:tcPr>
          <w:p>
            <w:pPr>
              <w:jc w:val="center"/>
              <w:ind w:right="290"/>
              <w:spacing w:after="0"/>
              <w:rPr>
                <w:sz w:val="20"/>
                <w:szCs w:val="20"/>
                <w:color w:val="auto"/>
              </w:rPr>
            </w:pPr>
            <w:r>
              <w:rPr>
                <w:rFonts w:ascii="Arial" w:cs="Arial" w:eastAsia="Arial" w:hAnsi="Arial"/>
                <w:sz w:val="18"/>
                <w:szCs w:val="18"/>
                <w:b w:val="1"/>
                <w:bCs w:val="1"/>
                <w:color w:val="auto"/>
                <w:w w:val="99"/>
              </w:rPr>
              <w:t>Year Ended December 31,</w:t>
            </w:r>
          </w:p>
        </w:tc>
        <w:tc>
          <w:tcPr>
            <w:tcW w:w="1480" w:type="dxa"/>
            <w:vAlign w:val="bottom"/>
            <w:tcBorders>
              <w:bottom w:val="single" w:sz="8" w:color="auto"/>
            </w:tcBorders>
          </w:tcPr>
          <w:p>
            <w:pPr>
              <w:spacing w:after="0"/>
              <w:rPr>
                <w:sz w:val="22"/>
                <w:szCs w:val="22"/>
                <w:color w:val="auto"/>
              </w:rPr>
            </w:pPr>
          </w:p>
        </w:tc>
      </w:tr>
      <w:tr>
        <w:trPr>
          <w:trHeight w:val="223"/>
        </w:trPr>
        <w:tc>
          <w:tcPr>
            <w:tcW w:w="41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2019</w:t>
            </w:r>
          </w:p>
        </w:tc>
      </w:tr>
      <w:tr>
        <w:trPr>
          <w:trHeight w:val="223"/>
        </w:trPr>
        <w:tc>
          <w:tcPr>
            <w:tcW w:w="4180" w:type="dxa"/>
            <w:vAlign w:val="bottom"/>
          </w:tcPr>
          <w:p>
            <w:pPr>
              <w:ind w:left="20"/>
              <w:spacing w:after="0"/>
              <w:rPr>
                <w:sz w:val="20"/>
                <w:szCs w:val="20"/>
                <w:color w:val="auto"/>
              </w:rPr>
            </w:pPr>
            <w:r>
              <w:rPr>
                <w:rFonts w:ascii="Arial" w:cs="Arial" w:eastAsia="Arial" w:hAnsi="Arial"/>
                <w:sz w:val="18"/>
                <w:szCs w:val="18"/>
                <w:color w:val="auto"/>
              </w:rPr>
              <w:t>Avis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4,828</w:t>
            </w:r>
          </w:p>
        </w:tc>
        <w:tc>
          <w:tcPr>
            <w:tcW w:w="60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2,851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5,163</w:t>
            </w: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Budget</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3,674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3,129</w:t>
            </w: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r>
      <w:tr>
        <w:trPr>
          <w:trHeight w:val="223"/>
        </w:trPr>
        <w:tc>
          <w:tcPr>
            <w:tcW w:w="4180" w:type="dxa"/>
            <w:vAlign w:val="bottom"/>
          </w:tcPr>
          <w:p>
            <w:pPr>
              <w:ind w:left="20"/>
              <w:spacing w:after="0"/>
              <w:rPr>
                <w:sz w:val="20"/>
                <w:szCs w:val="20"/>
                <w:color w:val="auto"/>
              </w:rPr>
            </w:pPr>
            <w:r>
              <w:rPr>
                <w:rFonts w:ascii="Arial" w:cs="Arial" w:eastAsia="Arial" w:hAnsi="Arial"/>
                <w:sz w:val="18"/>
                <w:szCs w:val="18"/>
                <w:color w:val="auto"/>
              </w:rPr>
              <w:t>Total lease revenues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9,186</w:t>
            </w:r>
          </w:p>
        </w:tc>
        <w:tc>
          <w:tcPr>
            <w:tcW w:w="60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5,243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9,028</w:t>
            </w:r>
          </w:p>
        </w:tc>
      </w:tr>
      <w:tr>
        <w:trPr>
          <w:trHeight w:val="21"/>
        </w:trPr>
        <w:tc>
          <w:tcPr>
            <w:tcW w:w="4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 includes Zipcar and other operating brands.</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Lessee</w:t>
      </w:r>
    </w:p>
    <w:p>
      <w:pPr>
        <w:spacing w:after="0" w:line="270"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We have operating and finance leases for rental locations, corporate offices, vehicle rental fleet and equipment. Many of our operating leases for rental locations contain concession agreements with various airport authorities that allow us to conduct our vehicle rental operations on site. In general, concession fees for airport locations are based on a percentage of total commissionable revenue as defined by each airport authority, some of which are subject to minimum annual guaranteed amounts. Concession fees other than minimum annual guaranteed amounts are not included in the measurement of operating lease ROU assets and operating lease liabilities, and are recorded as variable lease expense as incurred. Our operating leases for rental locations often also require us to pay or reimburse operating expenses.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We lease a portion of our vehicles under operating leases. As of December 31, 2021 and 2020, we have guaranteed up to $102 million and $202 million, respectively, of residual values for these vehicles at the end of their respective lease terms. We believe that, based on current market conditions, the net proceeds from the sale of these vehicles at the end of their lease terms will equal or exceed their net book values and therefore have not recorded a liability related to guaranteed residual values.</w:t>
      </w:r>
    </w:p>
    <w:p>
      <w:pPr>
        <w:spacing w:after="0" w:line="231"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4160" w:type="dxa"/>
            <w:vAlign w:val="bottom"/>
          </w:tcPr>
          <w:p>
            <w:pPr>
              <w:spacing w:after="0"/>
              <w:rPr>
                <w:sz w:val="20"/>
                <w:szCs w:val="20"/>
                <w:color w:val="auto"/>
              </w:rPr>
            </w:pPr>
            <w:r>
              <w:rPr>
                <w:rFonts w:ascii="Arial" w:cs="Arial" w:eastAsia="Arial" w:hAnsi="Arial"/>
                <w:sz w:val="18"/>
                <w:szCs w:val="18"/>
                <w:color w:val="auto"/>
              </w:rPr>
              <w:t>The components of lease expense are as follows:</w:t>
            </w: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160" w:type="dxa"/>
            <w:vAlign w:val="bottom"/>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6"/>
          </w:tcPr>
          <w:p>
            <w:pPr>
              <w:jc w:val="right"/>
              <w:ind w:right="330"/>
              <w:spacing w:after="0"/>
              <w:rPr>
                <w:sz w:val="20"/>
                <w:szCs w:val="20"/>
                <w:color w:val="auto"/>
              </w:rPr>
            </w:pPr>
            <w:r>
              <w:rPr>
                <w:rFonts w:ascii="Arial" w:cs="Arial" w:eastAsia="Arial" w:hAnsi="Arial"/>
                <w:sz w:val="18"/>
                <w:szCs w:val="18"/>
                <w:b w:val="1"/>
                <w:bCs w:val="1"/>
                <w:color w:val="auto"/>
                <w:w w:val="98"/>
              </w:rPr>
              <w:t>Year Ended December 31,</w:t>
            </w:r>
          </w:p>
        </w:tc>
        <w:tc>
          <w:tcPr>
            <w:tcW w:w="14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 xml:space="preserve">Property leases </w:t>
            </w:r>
            <w:r>
              <w:rPr>
                <w:rFonts w:ascii="Arial" w:cs="Arial" w:eastAsia="Arial" w:hAnsi="Arial"/>
                <w:sz w:val="23"/>
                <w:szCs w:val="23"/>
                <w:b w:val="1"/>
                <w:bCs w:val="1"/>
                <w:color w:val="auto"/>
                <w:vertAlign w:val="superscript"/>
              </w:rPr>
              <w:t>(a)</w:t>
            </w: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2"/>
        </w:trPr>
        <w:tc>
          <w:tcPr>
            <w:tcW w:w="4160" w:type="dxa"/>
            <w:vAlign w:val="bottom"/>
            <w:vMerge w:val="continue"/>
          </w:tcPr>
          <w:p>
            <w:pPr>
              <w:spacing w:after="0"/>
              <w:rPr>
                <w:sz w:val="19"/>
                <w:szCs w:val="19"/>
                <w:color w:val="auto"/>
              </w:rPr>
            </w:pPr>
          </w:p>
        </w:tc>
        <w:tc>
          <w:tcPr>
            <w:tcW w:w="1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160" w:type="dxa"/>
            <w:vAlign w:val="bottom"/>
          </w:tcPr>
          <w:p>
            <w:pPr>
              <w:ind w:left="20"/>
              <w:spacing w:after="0"/>
              <w:rPr>
                <w:sz w:val="20"/>
                <w:szCs w:val="20"/>
                <w:color w:val="auto"/>
              </w:rPr>
            </w:pPr>
            <w:r>
              <w:rPr>
                <w:rFonts w:ascii="Arial" w:cs="Arial" w:eastAsia="Arial" w:hAnsi="Arial"/>
                <w:sz w:val="18"/>
                <w:szCs w:val="18"/>
                <w:color w:val="auto"/>
              </w:rPr>
              <w:t>Operating lease expense</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561</w:t>
            </w:r>
          </w:p>
        </w:tc>
        <w:tc>
          <w:tcPr>
            <w:tcW w:w="6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Variable lease expense</w:t>
            </w:r>
          </w:p>
        </w:tc>
        <w:tc>
          <w:tcPr>
            <w:tcW w:w="1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1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Total property lease expense</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988</w:t>
            </w:r>
          </w:p>
        </w:tc>
        <w:tc>
          <w:tcPr>
            <w:tcW w:w="6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
        </w:trPr>
        <w:tc>
          <w:tcPr>
            <w:tcW w:w="4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Vehicle leases</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41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Finance lease expense:</w:t>
            </w:r>
          </w:p>
        </w:tc>
        <w:tc>
          <w:tcPr>
            <w:tcW w:w="1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160" w:type="dxa"/>
            <w:vAlign w:val="bottom"/>
          </w:tcPr>
          <w:p>
            <w:pPr>
              <w:ind w:left="220"/>
              <w:spacing w:after="0" w:line="232" w:lineRule="exact"/>
              <w:rPr>
                <w:sz w:val="20"/>
                <w:szCs w:val="20"/>
                <w:color w:val="auto"/>
              </w:rPr>
            </w:pPr>
            <w:r>
              <w:rPr>
                <w:rFonts w:ascii="Arial" w:cs="Arial" w:eastAsia="Arial" w:hAnsi="Arial"/>
                <w:sz w:val="18"/>
                <w:szCs w:val="18"/>
                <w:color w:val="auto"/>
              </w:rPr>
              <w:t xml:space="preserve">Amortization of ROU assets </w:t>
            </w:r>
            <w:r>
              <w:rPr>
                <w:rFonts w:ascii="Arial" w:cs="Arial" w:eastAsia="Arial" w:hAnsi="Arial"/>
                <w:sz w:val="23"/>
                <w:szCs w:val="23"/>
                <w:color w:val="auto"/>
                <w:vertAlign w:val="superscript"/>
              </w:rPr>
              <w:t>(b)</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6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Interest on lease liabilities </w:t>
            </w:r>
            <w:r>
              <w:rPr>
                <w:rFonts w:ascii="Arial" w:cs="Arial" w:eastAsia="Arial" w:hAnsi="Arial"/>
                <w:sz w:val="23"/>
                <w:szCs w:val="23"/>
                <w:color w:val="auto"/>
                <w:vertAlign w:val="superscript"/>
              </w:rPr>
              <w:t>(c)</w:t>
            </w:r>
          </w:p>
        </w:tc>
        <w:tc>
          <w:tcPr>
            <w:tcW w:w="1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7"/>
        </w:trPr>
        <w:tc>
          <w:tcPr>
            <w:tcW w:w="4160" w:type="dxa"/>
            <w:vAlign w:val="bottom"/>
          </w:tcPr>
          <w:p>
            <w:pPr>
              <w:ind w:left="20"/>
              <w:spacing w:after="0" w:line="228" w:lineRule="exact"/>
              <w:rPr>
                <w:sz w:val="20"/>
                <w:szCs w:val="20"/>
                <w:color w:val="auto"/>
              </w:rPr>
            </w:pPr>
            <w:r>
              <w:rPr>
                <w:rFonts w:ascii="Arial" w:cs="Arial" w:eastAsia="Arial" w:hAnsi="Arial"/>
                <w:sz w:val="18"/>
                <w:szCs w:val="18"/>
                <w:color w:val="auto"/>
              </w:rPr>
              <w:t xml:space="preserve">Operating lease expense </w:t>
            </w:r>
            <w:r>
              <w:rPr>
                <w:rFonts w:ascii="Arial" w:cs="Arial" w:eastAsia="Arial" w:hAnsi="Arial"/>
                <w:sz w:val="23"/>
                <w:szCs w:val="23"/>
                <w:color w:val="auto"/>
                <w:vertAlign w:val="superscript"/>
              </w:rPr>
              <w:t>(b)</w:t>
            </w:r>
          </w:p>
        </w:tc>
        <w:tc>
          <w:tcPr>
            <w:tcW w:w="1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Total vehicle lease expense</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197</w:t>
            </w:r>
          </w:p>
        </w:tc>
        <w:tc>
          <w:tcPr>
            <w:tcW w:w="6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ind w:left="820" w:hanging="326"/>
        <w:spacing w:after="0" w:line="204" w:lineRule="auto"/>
        <w:tabs>
          <w:tab w:leader="none" w:pos="770"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Primarily included in operating expenses and includes $(2) million and $60 million of minimum annual guaranteed rent in excess of concession fees as defined in our rental concession agreement for the year ended December 31, 2021 and 2020, respectively.</w:t>
      </w:r>
    </w:p>
    <w:p>
      <w:pPr>
        <w:spacing w:after="0" w:line="1" w:lineRule="exact"/>
        <w:rPr>
          <w:rFonts w:ascii="Arial" w:cs="Arial" w:eastAsia="Arial" w:hAnsi="Arial"/>
          <w:sz w:val="19"/>
          <w:szCs w:val="19"/>
          <w:color w:val="auto"/>
          <w:vertAlign w:val="superscript"/>
        </w:rPr>
      </w:pPr>
    </w:p>
    <w:p>
      <w:pPr>
        <w:ind w:left="760" w:hanging="266"/>
        <w:spacing w:after="0" w:line="187" w:lineRule="auto"/>
        <w:tabs>
          <w:tab w:leader="none" w:pos="76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Included in vehicle depreciation and lease charges, net.</w:t>
      </w:r>
    </w:p>
    <w:p>
      <w:pPr>
        <w:ind w:left="760" w:hanging="266"/>
        <w:spacing w:after="0" w:line="189" w:lineRule="auto"/>
        <w:tabs>
          <w:tab w:leader="none" w:pos="760"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Included in vehicle interest,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balance sheet information related to leases is as follows:</w:t>
      </w:r>
    </w:p>
    <w:p>
      <w:pPr>
        <w:spacing w:after="0" w:line="28"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57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20" w:type="dxa"/>
            <w:vAlign w:val="bottom"/>
            <w:vMerge w:val="restart"/>
          </w:tcPr>
          <w:p>
            <w:pPr>
              <w:spacing w:after="0"/>
              <w:rPr>
                <w:sz w:val="20"/>
                <w:szCs w:val="20"/>
                <w:color w:val="auto"/>
              </w:rPr>
            </w:pPr>
            <w:r>
              <w:rPr>
                <w:rFonts w:ascii="Arial" w:cs="Arial" w:eastAsia="Arial" w:hAnsi="Arial"/>
                <w:sz w:val="18"/>
                <w:szCs w:val="18"/>
                <w:b w:val="1"/>
                <w:bCs w:val="1"/>
                <w:color w:val="auto"/>
              </w:rPr>
              <w:t>Property leases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572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00"/>
              <w:spacing w:after="0"/>
              <w:rPr>
                <w:sz w:val="20"/>
                <w:szCs w:val="20"/>
                <w:color w:val="auto"/>
              </w:rPr>
            </w:pPr>
            <w:r>
              <w:rPr>
                <w:rFonts w:ascii="Arial" w:cs="Arial" w:eastAsia="Arial" w:hAnsi="Arial"/>
                <w:sz w:val="18"/>
                <w:szCs w:val="18"/>
                <w:color w:val="auto"/>
              </w:rPr>
              <w:t>Operating lease ROU assets</w:t>
            </w:r>
          </w:p>
        </w:tc>
        <w:tc>
          <w:tcPr>
            <w:tcW w:w="1220" w:type="dxa"/>
            <w:vAlign w:val="bottom"/>
          </w:tcPr>
          <w:p>
            <w:pPr>
              <w:jc w:val="right"/>
              <w:ind w:right="10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2,368</w:t>
            </w:r>
          </w:p>
        </w:tc>
        <w:tc>
          <w:tcPr>
            <w:tcW w:w="28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350"/>
        </w:trPr>
        <w:tc>
          <w:tcPr>
            <w:tcW w:w="5720" w:type="dxa"/>
            <w:vAlign w:val="bottom"/>
          </w:tcPr>
          <w:p>
            <w:pPr>
              <w:ind w:left="200"/>
              <w:spacing w:after="0"/>
              <w:rPr>
                <w:sz w:val="20"/>
                <w:szCs w:val="20"/>
                <w:color w:val="auto"/>
              </w:rPr>
            </w:pPr>
            <w:r>
              <w:rPr>
                <w:rFonts w:ascii="Arial" w:cs="Arial" w:eastAsia="Arial" w:hAnsi="Arial"/>
                <w:sz w:val="18"/>
                <w:szCs w:val="18"/>
                <w:color w:val="auto"/>
              </w:rPr>
              <w:t xml:space="preserve">Short-term operating lease liabilities </w:t>
            </w:r>
            <w:r>
              <w:rPr>
                <w:rFonts w:ascii="Arial" w:cs="Arial" w:eastAsia="Arial" w:hAnsi="Arial"/>
                <w:sz w:val="23"/>
                <w:szCs w:val="23"/>
                <w:color w:val="auto"/>
                <w:vertAlign w:val="superscript"/>
              </w:rPr>
              <w:t>(a)</w:t>
            </w:r>
          </w:p>
        </w:tc>
        <w:tc>
          <w:tcPr>
            <w:tcW w:w="1220" w:type="dxa"/>
            <w:vAlign w:val="bottom"/>
          </w:tcPr>
          <w:p>
            <w:pPr>
              <w:jc w:val="right"/>
              <w:ind w:right="10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496</w:t>
            </w:r>
          </w:p>
        </w:tc>
        <w:tc>
          <w:tcPr>
            <w:tcW w:w="280" w:type="dxa"/>
            <w:vAlign w:val="bottom"/>
          </w:tcPr>
          <w:p>
            <w:pPr>
              <w:spacing w:after="0"/>
              <w:rPr>
                <w:sz w:val="24"/>
                <w:szCs w:val="24"/>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7"/>
        </w:trPr>
        <w:tc>
          <w:tcPr>
            <w:tcW w:w="5720" w:type="dxa"/>
            <w:vAlign w:val="bottom"/>
          </w:tcPr>
          <w:p>
            <w:pPr>
              <w:ind w:left="200"/>
              <w:spacing w:after="0"/>
              <w:rPr>
                <w:sz w:val="20"/>
                <w:szCs w:val="20"/>
                <w:color w:val="auto"/>
              </w:rPr>
            </w:pPr>
            <w:r>
              <w:rPr>
                <w:rFonts w:ascii="Arial" w:cs="Arial" w:eastAsia="Arial" w:hAnsi="Arial"/>
                <w:sz w:val="18"/>
                <w:szCs w:val="18"/>
                <w:color w:val="auto"/>
              </w:rPr>
              <w:t>Long-term operating lease liabilities</w:t>
            </w:r>
          </w:p>
        </w:tc>
        <w:tc>
          <w:tcPr>
            <w:tcW w:w="1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1,910</w:t>
            </w:r>
          </w:p>
        </w:tc>
        <w:tc>
          <w:tcPr>
            <w:tcW w:w="2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23"/>
        </w:trPr>
        <w:tc>
          <w:tcPr>
            <w:tcW w:w="572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122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2,406</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318"/>
        </w:trPr>
        <w:tc>
          <w:tcPr>
            <w:tcW w:w="5720" w:type="dxa"/>
            <w:vAlign w:val="bottom"/>
          </w:tcPr>
          <w:p>
            <w:pPr>
              <w:ind w:left="200"/>
              <w:spacing w:after="0"/>
              <w:rPr>
                <w:sz w:val="20"/>
                <w:szCs w:val="20"/>
                <w:color w:val="auto"/>
              </w:rPr>
            </w:pPr>
            <w:r>
              <w:rPr>
                <w:rFonts w:ascii="Arial" w:cs="Arial" w:eastAsia="Arial" w:hAnsi="Arial"/>
                <w:sz w:val="18"/>
                <w:szCs w:val="18"/>
                <w:color w:val="auto"/>
              </w:rPr>
              <w:t>Weighted average remaining lease term</w:t>
            </w:r>
          </w:p>
        </w:tc>
        <w:tc>
          <w:tcPr>
            <w:tcW w:w="122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8.8 years</w:t>
            </w:r>
          </w:p>
        </w:tc>
        <w:tc>
          <w:tcPr>
            <w:tcW w:w="7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 years</w:t>
            </w:r>
          </w:p>
        </w:tc>
        <w:tc>
          <w:tcPr>
            <w:tcW w:w="0" w:type="dxa"/>
            <w:vAlign w:val="bottom"/>
          </w:tcPr>
          <w:p>
            <w:pPr>
              <w:spacing w:after="0"/>
              <w:rPr>
                <w:sz w:val="1"/>
                <w:szCs w:val="1"/>
                <w:color w:val="auto"/>
              </w:rPr>
            </w:pPr>
          </w:p>
        </w:tc>
      </w:tr>
      <w:tr>
        <w:trPr>
          <w:trHeight w:val="229"/>
        </w:trPr>
        <w:tc>
          <w:tcPr>
            <w:tcW w:w="5720" w:type="dxa"/>
            <w:vAlign w:val="bottom"/>
          </w:tcPr>
          <w:p>
            <w:pPr>
              <w:ind w:left="200"/>
              <w:spacing w:after="0"/>
              <w:rPr>
                <w:sz w:val="20"/>
                <w:szCs w:val="20"/>
                <w:color w:val="auto"/>
              </w:rPr>
            </w:pPr>
            <w:r>
              <w:rPr>
                <w:rFonts w:ascii="Arial" w:cs="Arial" w:eastAsia="Arial" w:hAnsi="Arial"/>
                <w:sz w:val="18"/>
                <w:szCs w:val="18"/>
                <w:color w:val="auto"/>
              </w:rPr>
              <w:t>Weighted average discount rate</w:t>
            </w:r>
          </w:p>
        </w:tc>
        <w:tc>
          <w:tcPr>
            <w:tcW w:w="1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3.84 %</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3.86 %</w:t>
            </w:r>
          </w:p>
        </w:tc>
        <w:tc>
          <w:tcPr>
            <w:tcW w:w="0" w:type="dxa"/>
            <w:vAlign w:val="bottom"/>
          </w:tcPr>
          <w:p>
            <w:pPr>
              <w:spacing w:after="0"/>
              <w:rPr>
                <w:sz w:val="1"/>
                <w:szCs w:val="1"/>
                <w:color w:val="auto"/>
              </w:rPr>
            </w:pPr>
          </w:p>
        </w:tc>
      </w:tr>
      <w:tr>
        <w:trPr>
          <w:trHeight w:val="274"/>
        </w:trPr>
        <w:tc>
          <w:tcPr>
            <w:tcW w:w="5720" w:type="dxa"/>
            <w:vAlign w:val="bottom"/>
          </w:tcPr>
          <w:p>
            <w:pPr>
              <w:spacing w:after="0"/>
              <w:rPr>
                <w:sz w:val="20"/>
                <w:szCs w:val="20"/>
                <w:color w:val="auto"/>
              </w:rPr>
            </w:pPr>
            <w:r>
              <w:rPr>
                <w:rFonts w:ascii="Arial" w:cs="Arial" w:eastAsia="Arial" w:hAnsi="Arial"/>
                <w:sz w:val="18"/>
                <w:szCs w:val="18"/>
                <w:b w:val="1"/>
                <w:bCs w:val="1"/>
                <w:color w:val="auto"/>
              </w:rPr>
              <w:t>Vehicle leases</w:t>
            </w:r>
          </w:p>
        </w:tc>
        <w:tc>
          <w:tcPr>
            <w:tcW w:w="1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572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Finance</w:t>
            </w:r>
          </w:p>
        </w:tc>
        <w:tc>
          <w:tcPr>
            <w:tcW w:w="1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40"/>
              <w:spacing w:after="0"/>
              <w:rPr>
                <w:sz w:val="20"/>
                <w:szCs w:val="20"/>
                <w:color w:val="auto"/>
              </w:rPr>
            </w:pPr>
            <w:r>
              <w:rPr>
                <w:rFonts w:ascii="Arial" w:cs="Arial" w:eastAsia="Arial" w:hAnsi="Arial"/>
                <w:sz w:val="18"/>
                <w:szCs w:val="18"/>
                <w:color w:val="auto"/>
              </w:rPr>
              <w:t>Finance lease ROU assets, gross</w:t>
            </w:r>
          </w:p>
        </w:tc>
        <w:tc>
          <w:tcPr>
            <w:tcW w:w="1220" w:type="dxa"/>
            <w:vAlign w:val="bottom"/>
          </w:tcPr>
          <w:p>
            <w:pPr>
              <w:jc w:val="right"/>
              <w:ind w:right="10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353</w:t>
            </w:r>
          </w:p>
        </w:tc>
        <w:tc>
          <w:tcPr>
            <w:tcW w:w="28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9"/>
        </w:trPr>
        <w:tc>
          <w:tcPr>
            <w:tcW w:w="5720" w:type="dxa"/>
            <w:vAlign w:val="bottom"/>
          </w:tcPr>
          <w:p>
            <w:pPr>
              <w:ind w:left="240"/>
              <w:spacing w:after="0"/>
              <w:rPr>
                <w:sz w:val="20"/>
                <w:szCs w:val="20"/>
                <w:color w:val="auto"/>
              </w:rPr>
            </w:pPr>
            <w:r>
              <w:rPr>
                <w:rFonts w:ascii="Arial" w:cs="Arial" w:eastAsia="Arial" w:hAnsi="Arial"/>
                <w:sz w:val="18"/>
                <w:szCs w:val="18"/>
                <w:color w:val="auto"/>
              </w:rPr>
              <w:t>Accumulated amortization</w:t>
            </w:r>
          </w:p>
        </w:tc>
        <w:tc>
          <w:tcPr>
            <w:tcW w:w="1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5720" w:type="dxa"/>
            <w:vAlign w:val="bottom"/>
          </w:tcPr>
          <w:p>
            <w:pPr>
              <w:ind w:left="240"/>
              <w:spacing w:after="0" w:line="223" w:lineRule="exact"/>
              <w:rPr>
                <w:sz w:val="20"/>
                <w:szCs w:val="20"/>
                <w:color w:val="auto"/>
              </w:rPr>
            </w:pPr>
            <w:r>
              <w:rPr>
                <w:rFonts w:ascii="Arial" w:cs="Arial" w:eastAsia="Arial" w:hAnsi="Arial"/>
                <w:sz w:val="18"/>
                <w:szCs w:val="18"/>
                <w:color w:val="auto"/>
              </w:rPr>
              <w:t xml:space="preserve">Finance lease ROU assets, net </w:t>
            </w:r>
            <w:r>
              <w:rPr>
                <w:rFonts w:ascii="Arial" w:cs="Arial" w:eastAsia="Arial" w:hAnsi="Arial"/>
                <w:sz w:val="23"/>
                <w:szCs w:val="23"/>
                <w:color w:val="auto"/>
                <w:vertAlign w:val="superscript"/>
              </w:rPr>
              <w:t>(b)</w:t>
            </w:r>
          </w:p>
        </w:tc>
        <w:tc>
          <w:tcPr>
            <w:tcW w:w="122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281</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318"/>
        </w:trPr>
        <w:tc>
          <w:tcPr>
            <w:tcW w:w="5720" w:type="dxa"/>
            <w:vAlign w:val="bottom"/>
          </w:tcPr>
          <w:p>
            <w:pPr>
              <w:ind w:left="240"/>
              <w:spacing w:after="0"/>
              <w:rPr>
                <w:sz w:val="20"/>
                <w:szCs w:val="20"/>
                <w:color w:val="auto"/>
              </w:rPr>
            </w:pPr>
            <w:r>
              <w:rPr>
                <w:rFonts w:ascii="Arial" w:cs="Arial" w:eastAsia="Arial" w:hAnsi="Arial"/>
                <w:sz w:val="18"/>
                <w:szCs w:val="18"/>
                <w:color w:val="auto"/>
              </w:rPr>
              <w:t>Short-term vehicle finance lease liabilities</w:t>
            </w:r>
          </w:p>
        </w:tc>
        <w:tc>
          <w:tcPr>
            <w:tcW w:w="1220" w:type="dxa"/>
            <w:vAlign w:val="bottom"/>
          </w:tcPr>
          <w:p>
            <w:pPr>
              <w:jc w:val="right"/>
              <w:ind w:right="10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24"/>
                <w:szCs w:val="24"/>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5720" w:type="dxa"/>
            <w:vAlign w:val="bottom"/>
          </w:tcPr>
          <w:p>
            <w:pPr>
              <w:ind w:left="240"/>
              <w:spacing w:after="0"/>
              <w:rPr>
                <w:sz w:val="20"/>
                <w:szCs w:val="20"/>
                <w:color w:val="auto"/>
              </w:rPr>
            </w:pPr>
            <w:r>
              <w:rPr>
                <w:rFonts w:ascii="Arial" w:cs="Arial" w:eastAsia="Arial" w:hAnsi="Arial"/>
                <w:sz w:val="18"/>
                <w:szCs w:val="18"/>
                <w:color w:val="auto"/>
              </w:rPr>
              <w:t>Long-term vehicle finance lease liabilities</w:t>
            </w:r>
          </w:p>
        </w:tc>
        <w:tc>
          <w:tcPr>
            <w:tcW w:w="1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5720" w:type="dxa"/>
            <w:vAlign w:val="bottom"/>
          </w:tcPr>
          <w:p>
            <w:pPr>
              <w:ind w:left="240"/>
              <w:spacing w:after="0" w:line="223" w:lineRule="exact"/>
              <w:rPr>
                <w:sz w:val="20"/>
                <w:szCs w:val="20"/>
                <w:color w:val="auto"/>
              </w:rPr>
            </w:pPr>
            <w:r>
              <w:rPr>
                <w:rFonts w:ascii="Arial" w:cs="Arial" w:eastAsia="Arial" w:hAnsi="Arial"/>
                <w:sz w:val="18"/>
                <w:szCs w:val="18"/>
                <w:color w:val="auto"/>
              </w:rPr>
              <w:t xml:space="preserve">Vehicle finance lease liabilities </w:t>
            </w:r>
            <w:r>
              <w:rPr>
                <w:rFonts w:ascii="Arial" w:cs="Arial" w:eastAsia="Arial" w:hAnsi="Arial"/>
                <w:sz w:val="23"/>
                <w:szCs w:val="23"/>
                <w:color w:val="auto"/>
                <w:vertAlign w:val="superscript"/>
              </w:rPr>
              <w:t>(c)</w:t>
            </w:r>
          </w:p>
        </w:tc>
        <w:tc>
          <w:tcPr>
            <w:tcW w:w="122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242</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304"/>
        </w:trPr>
        <w:tc>
          <w:tcPr>
            <w:tcW w:w="5720" w:type="dxa"/>
            <w:vAlign w:val="bottom"/>
          </w:tcPr>
          <w:p>
            <w:pPr>
              <w:ind w:left="240"/>
              <w:spacing w:after="0"/>
              <w:rPr>
                <w:sz w:val="20"/>
                <w:szCs w:val="20"/>
                <w:color w:val="auto"/>
              </w:rPr>
            </w:pPr>
            <w:r>
              <w:rPr>
                <w:rFonts w:ascii="Arial" w:cs="Arial" w:eastAsia="Arial" w:hAnsi="Arial"/>
                <w:sz w:val="18"/>
                <w:szCs w:val="18"/>
                <w:color w:val="auto"/>
              </w:rPr>
              <w:t>Weighted average remaining lease term</w:t>
            </w:r>
          </w:p>
        </w:tc>
        <w:tc>
          <w:tcPr>
            <w:tcW w:w="122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2.2 years</w:t>
            </w:r>
          </w:p>
        </w:tc>
        <w:tc>
          <w:tcPr>
            <w:tcW w:w="7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 years</w:t>
            </w:r>
          </w:p>
        </w:tc>
        <w:tc>
          <w:tcPr>
            <w:tcW w:w="0" w:type="dxa"/>
            <w:vAlign w:val="bottom"/>
          </w:tcPr>
          <w:p>
            <w:pPr>
              <w:spacing w:after="0"/>
              <w:rPr>
                <w:sz w:val="1"/>
                <w:szCs w:val="1"/>
                <w:color w:val="auto"/>
              </w:rPr>
            </w:pPr>
          </w:p>
        </w:tc>
      </w:tr>
      <w:tr>
        <w:trPr>
          <w:trHeight w:val="229"/>
        </w:trPr>
        <w:tc>
          <w:tcPr>
            <w:tcW w:w="5720" w:type="dxa"/>
            <w:vAlign w:val="bottom"/>
          </w:tcPr>
          <w:p>
            <w:pPr>
              <w:ind w:left="240"/>
              <w:spacing w:after="0"/>
              <w:rPr>
                <w:sz w:val="20"/>
                <w:szCs w:val="20"/>
                <w:color w:val="auto"/>
              </w:rPr>
            </w:pPr>
            <w:r>
              <w:rPr>
                <w:rFonts w:ascii="Arial" w:cs="Arial" w:eastAsia="Arial" w:hAnsi="Arial"/>
                <w:sz w:val="18"/>
                <w:szCs w:val="18"/>
                <w:color w:val="auto"/>
              </w:rPr>
              <w:t>Weighted average discount rate</w:t>
            </w:r>
          </w:p>
        </w:tc>
        <w:tc>
          <w:tcPr>
            <w:tcW w:w="1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1.97 %</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324"/>
        </w:trPr>
        <w:tc>
          <w:tcPr>
            <w:tcW w:w="572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Operating</w:t>
            </w: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720" w:type="dxa"/>
            <w:vAlign w:val="bottom"/>
          </w:tcPr>
          <w:p>
            <w:pPr>
              <w:ind w:left="200"/>
              <w:spacing w:after="0"/>
              <w:rPr>
                <w:sz w:val="20"/>
                <w:szCs w:val="20"/>
                <w:color w:val="auto"/>
              </w:rPr>
            </w:pPr>
            <w:r>
              <w:rPr>
                <w:rFonts w:ascii="Arial" w:cs="Arial" w:eastAsia="Arial" w:hAnsi="Arial"/>
                <w:sz w:val="18"/>
                <w:szCs w:val="18"/>
                <w:color w:val="auto"/>
              </w:rPr>
              <w:t xml:space="preserve">Vehicle operating lease ROU assets </w:t>
            </w:r>
            <w:r>
              <w:rPr>
                <w:rFonts w:ascii="Arial" w:cs="Arial" w:eastAsia="Arial" w:hAnsi="Arial"/>
                <w:sz w:val="23"/>
                <w:szCs w:val="23"/>
                <w:color w:val="auto"/>
                <w:vertAlign w:val="superscript"/>
              </w:rPr>
              <w:t>(d)</w:t>
            </w:r>
          </w:p>
        </w:tc>
        <w:tc>
          <w:tcPr>
            <w:tcW w:w="1220" w:type="dxa"/>
            <w:vAlign w:val="bottom"/>
          </w:tcPr>
          <w:p>
            <w:pPr>
              <w:jc w:val="right"/>
              <w:ind w:right="10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24"/>
                <w:szCs w:val="24"/>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374"/>
        </w:trPr>
        <w:tc>
          <w:tcPr>
            <w:tcW w:w="5720" w:type="dxa"/>
            <w:vAlign w:val="bottom"/>
          </w:tcPr>
          <w:p>
            <w:pPr>
              <w:ind w:left="200"/>
              <w:spacing w:after="0"/>
              <w:rPr>
                <w:sz w:val="20"/>
                <w:szCs w:val="20"/>
                <w:color w:val="auto"/>
              </w:rPr>
            </w:pPr>
            <w:r>
              <w:rPr>
                <w:rFonts w:ascii="Arial" w:cs="Arial" w:eastAsia="Arial" w:hAnsi="Arial"/>
                <w:sz w:val="18"/>
                <w:szCs w:val="18"/>
                <w:color w:val="auto"/>
              </w:rPr>
              <w:t>Short-term vehicle operating lease liabilities</w:t>
            </w:r>
          </w:p>
        </w:tc>
        <w:tc>
          <w:tcPr>
            <w:tcW w:w="1220" w:type="dxa"/>
            <w:vAlign w:val="bottom"/>
          </w:tcPr>
          <w:p>
            <w:pPr>
              <w:jc w:val="right"/>
              <w:ind w:right="10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4"/>
                <w:szCs w:val="24"/>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5720" w:type="dxa"/>
            <w:vAlign w:val="bottom"/>
          </w:tcPr>
          <w:p>
            <w:pPr>
              <w:ind w:left="200"/>
              <w:spacing w:after="0"/>
              <w:rPr>
                <w:sz w:val="20"/>
                <w:szCs w:val="20"/>
                <w:color w:val="auto"/>
              </w:rPr>
            </w:pPr>
            <w:r>
              <w:rPr>
                <w:rFonts w:ascii="Arial" w:cs="Arial" w:eastAsia="Arial" w:hAnsi="Arial"/>
                <w:sz w:val="18"/>
                <w:szCs w:val="18"/>
                <w:color w:val="auto"/>
              </w:rPr>
              <w:t>Long-term vehicle operating lease liabilities</w:t>
            </w:r>
          </w:p>
        </w:tc>
        <w:tc>
          <w:tcPr>
            <w:tcW w:w="1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5720" w:type="dxa"/>
            <w:vAlign w:val="bottom"/>
          </w:tcPr>
          <w:p>
            <w:pPr>
              <w:ind w:left="200"/>
              <w:spacing w:after="0" w:line="223" w:lineRule="exact"/>
              <w:rPr>
                <w:sz w:val="20"/>
                <w:szCs w:val="20"/>
                <w:color w:val="auto"/>
              </w:rPr>
            </w:pPr>
            <w:r>
              <w:rPr>
                <w:rFonts w:ascii="Arial" w:cs="Arial" w:eastAsia="Arial" w:hAnsi="Arial"/>
                <w:sz w:val="18"/>
                <w:szCs w:val="18"/>
                <w:color w:val="auto"/>
              </w:rPr>
              <w:t xml:space="preserve">Vehicle operating lease liabilities </w:t>
            </w:r>
            <w:r>
              <w:rPr>
                <w:rFonts w:ascii="Arial" w:cs="Arial" w:eastAsia="Arial" w:hAnsi="Arial"/>
                <w:sz w:val="23"/>
                <w:szCs w:val="23"/>
                <w:color w:val="auto"/>
                <w:vertAlign w:val="superscript"/>
              </w:rPr>
              <w:t>(e)</w:t>
            </w:r>
          </w:p>
        </w:tc>
        <w:tc>
          <w:tcPr>
            <w:tcW w:w="122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64"/>
        </w:trPr>
        <w:tc>
          <w:tcPr>
            <w:tcW w:w="5720" w:type="dxa"/>
            <w:vAlign w:val="bottom"/>
          </w:tcPr>
          <w:p>
            <w:pPr>
              <w:ind w:left="200"/>
              <w:spacing w:after="0"/>
              <w:rPr>
                <w:sz w:val="20"/>
                <w:szCs w:val="20"/>
                <w:color w:val="auto"/>
              </w:rPr>
            </w:pPr>
            <w:r>
              <w:rPr>
                <w:rFonts w:ascii="Arial" w:cs="Arial" w:eastAsia="Arial" w:hAnsi="Arial"/>
                <w:sz w:val="18"/>
                <w:szCs w:val="18"/>
                <w:color w:val="auto"/>
              </w:rPr>
              <w:t>Weighted average remaining lease term</w:t>
            </w:r>
          </w:p>
        </w:tc>
        <w:tc>
          <w:tcPr>
            <w:tcW w:w="1220" w:type="dxa"/>
            <w:vAlign w:val="bottom"/>
          </w:tcPr>
          <w:p>
            <w:pPr>
              <w:spacing w:after="0"/>
              <w:rPr>
                <w:sz w:val="22"/>
                <w:szCs w:val="22"/>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1.3 years</w:t>
            </w:r>
          </w:p>
        </w:tc>
        <w:tc>
          <w:tcPr>
            <w:tcW w:w="7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29"/>
        </w:trPr>
        <w:tc>
          <w:tcPr>
            <w:tcW w:w="5720" w:type="dxa"/>
            <w:vAlign w:val="bottom"/>
          </w:tcPr>
          <w:p>
            <w:pPr>
              <w:ind w:left="200"/>
              <w:spacing w:after="0"/>
              <w:rPr>
                <w:sz w:val="20"/>
                <w:szCs w:val="20"/>
                <w:color w:val="auto"/>
              </w:rPr>
            </w:pPr>
            <w:r>
              <w:rPr>
                <w:rFonts w:ascii="Arial" w:cs="Arial" w:eastAsia="Arial" w:hAnsi="Arial"/>
                <w:sz w:val="18"/>
                <w:szCs w:val="18"/>
                <w:color w:val="auto"/>
              </w:rPr>
              <w:t>Weighted average discount rate</w:t>
            </w:r>
          </w:p>
        </w:tc>
        <w:tc>
          <w:tcPr>
            <w:tcW w:w="1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2.66 %</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2.90 %</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w:t>
      </w:r>
    </w:p>
    <w:p>
      <w:pPr>
        <w:ind w:left="760" w:hanging="266"/>
        <w:spacing w:after="0" w:line="194" w:lineRule="auto"/>
        <w:tabs>
          <w:tab w:leader="none" w:pos="760"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Included in Accounts payable and other current liabilities.</w:t>
      </w:r>
    </w:p>
    <w:p>
      <w:pPr>
        <w:ind w:left="760" w:hanging="266"/>
        <w:spacing w:after="0" w:line="187" w:lineRule="auto"/>
        <w:tabs>
          <w:tab w:leader="none" w:pos="76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Included in Vehicles, net within Assets under vehicle programs.</w:t>
      </w:r>
    </w:p>
    <w:p>
      <w:pPr>
        <w:ind w:left="760" w:hanging="266"/>
        <w:spacing w:after="0" w:line="187" w:lineRule="auto"/>
        <w:tabs>
          <w:tab w:leader="none" w:pos="76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Included in Debt within Liabilities under vehicle programs.</w:t>
      </w:r>
    </w:p>
    <w:p>
      <w:pPr>
        <w:ind w:left="760" w:hanging="266"/>
        <w:spacing w:after="0" w:line="187" w:lineRule="auto"/>
        <w:tabs>
          <w:tab w:leader="none" w:pos="76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Included in Receivables from vehicle manufacturers and other within Assets under vehicle programs.</w:t>
      </w:r>
    </w:p>
    <w:p>
      <w:pPr>
        <w:ind w:left="760" w:hanging="266"/>
        <w:spacing w:after="0" w:line="189" w:lineRule="auto"/>
        <w:tabs>
          <w:tab w:leader="none" w:pos="760"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Included in Other within Liabilities under vehicle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140" w:right="105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28"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50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5020" w:type="dxa"/>
            <w:vAlign w:val="bottom"/>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09"/>
        </w:trPr>
        <w:tc>
          <w:tcPr>
            <w:tcW w:w="5020" w:type="dxa"/>
            <w:vAlign w:val="bottom"/>
          </w:tcPr>
          <w:p>
            <w:pPr>
              <w:spacing w:after="0"/>
              <w:rPr>
                <w:sz w:val="20"/>
                <w:szCs w:val="20"/>
                <w:color w:val="auto"/>
              </w:rPr>
            </w:pPr>
            <w:r>
              <w:rPr>
                <w:rFonts w:ascii="Arial" w:cs="Arial" w:eastAsia="Arial" w:hAnsi="Arial"/>
                <w:sz w:val="18"/>
                <w:szCs w:val="18"/>
                <w:color w:val="auto"/>
              </w:rPr>
              <w:t>Cash payments for lease liabilities within operating activities:</w:t>
            </w: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5020" w:type="dxa"/>
            <w:vAlign w:val="bottom"/>
          </w:tcPr>
          <w:p>
            <w:pPr>
              <w:ind w:left="200"/>
              <w:spacing w:after="0"/>
              <w:rPr>
                <w:sz w:val="20"/>
                <w:szCs w:val="20"/>
                <w:color w:val="auto"/>
              </w:rPr>
            </w:pPr>
            <w:r>
              <w:rPr>
                <w:rFonts w:ascii="Arial" w:cs="Arial" w:eastAsia="Arial" w:hAnsi="Arial"/>
                <w:sz w:val="18"/>
                <w:szCs w:val="18"/>
                <w:color w:val="auto"/>
              </w:rPr>
              <w:t>Property operating leases</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733</w:t>
            </w:r>
          </w:p>
        </w:tc>
      </w:tr>
      <w:tr>
        <w:trPr>
          <w:trHeight w:val="229"/>
        </w:trPr>
        <w:tc>
          <w:tcPr>
            <w:tcW w:w="5020" w:type="dxa"/>
            <w:vAlign w:val="bottom"/>
          </w:tcPr>
          <w:p>
            <w:pPr>
              <w:ind w:left="200"/>
              <w:spacing w:after="0"/>
              <w:rPr>
                <w:sz w:val="20"/>
                <w:szCs w:val="20"/>
                <w:color w:val="auto"/>
              </w:rPr>
            </w:pPr>
            <w:r>
              <w:rPr>
                <w:rFonts w:ascii="Arial" w:cs="Arial" w:eastAsia="Arial" w:hAnsi="Arial"/>
                <w:sz w:val="18"/>
                <w:szCs w:val="18"/>
                <w:color w:val="auto"/>
              </w:rPr>
              <w:t>Vehicle operating leases</w:t>
            </w:r>
          </w:p>
        </w:tc>
        <w:tc>
          <w:tcPr>
            <w:tcW w:w="1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5020" w:type="dxa"/>
            <w:vAlign w:val="bottom"/>
          </w:tcPr>
          <w:p>
            <w:pPr>
              <w:ind w:left="200"/>
              <w:spacing w:after="0"/>
              <w:rPr>
                <w:sz w:val="20"/>
                <w:szCs w:val="20"/>
                <w:color w:val="auto"/>
              </w:rPr>
            </w:pPr>
            <w:r>
              <w:rPr>
                <w:rFonts w:ascii="Arial" w:cs="Arial" w:eastAsia="Arial" w:hAnsi="Arial"/>
                <w:sz w:val="18"/>
                <w:szCs w:val="18"/>
                <w:color w:val="auto"/>
              </w:rPr>
              <w:t>Vehicle finance leases</w:t>
            </w:r>
          </w:p>
        </w:tc>
        <w:tc>
          <w:tcPr>
            <w:tcW w:w="1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Cash payments for lease liabilities within financing activities:</w:t>
            </w: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020" w:type="dxa"/>
            <w:vAlign w:val="bottom"/>
          </w:tcPr>
          <w:p>
            <w:pPr>
              <w:ind w:left="200"/>
              <w:spacing w:after="0"/>
              <w:rPr>
                <w:sz w:val="20"/>
                <w:szCs w:val="20"/>
                <w:color w:val="auto"/>
              </w:rPr>
            </w:pPr>
            <w:r>
              <w:rPr>
                <w:rFonts w:ascii="Arial" w:cs="Arial" w:eastAsia="Arial" w:hAnsi="Arial"/>
                <w:sz w:val="18"/>
                <w:szCs w:val="18"/>
                <w:color w:val="auto"/>
              </w:rPr>
              <w:t>Vehicle finance leases</w:t>
            </w:r>
          </w:p>
        </w:tc>
        <w:tc>
          <w:tcPr>
            <w:tcW w:w="1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188"/>
        </w:trPr>
        <w:tc>
          <w:tcPr>
            <w:tcW w:w="5020" w:type="dxa"/>
            <w:vAlign w:val="bottom"/>
          </w:tcPr>
          <w:p>
            <w:pPr>
              <w:spacing w:after="0" w:line="189" w:lineRule="exact"/>
              <w:rPr>
                <w:sz w:val="20"/>
                <w:szCs w:val="20"/>
                <w:color w:val="auto"/>
              </w:rPr>
            </w:pPr>
            <w:r>
              <w:rPr>
                <w:rFonts w:ascii="Arial" w:cs="Arial" w:eastAsia="Arial" w:hAnsi="Arial"/>
                <w:sz w:val="18"/>
                <w:szCs w:val="18"/>
                <w:color w:val="auto"/>
              </w:rPr>
              <w:t>Non-cash activities - increase (decrease) in ROU assets in</w:t>
            </w: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7"/>
        </w:trPr>
        <w:tc>
          <w:tcPr>
            <w:tcW w:w="5020" w:type="dxa"/>
            <w:vAlign w:val="bottom"/>
          </w:tcPr>
          <w:p>
            <w:pPr>
              <w:ind w:left="160"/>
              <w:spacing w:after="0"/>
              <w:rPr>
                <w:sz w:val="20"/>
                <w:szCs w:val="20"/>
                <w:color w:val="auto"/>
              </w:rPr>
            </w:pPr>
            <w:r>
              <w:rPr>
                <w:rFonts w:ascii="Arial" w:cs="Arial" w:eastAsia="Arial" w:hAnsi="Arial"/>
                <w:sz w:val="18"/>
                <w:szCs w:val="18"/>
                <w:color w:val="auto"/>
              </w:rPr>
              <w:t>exchange for lease liabilities:</w:t>
            </w: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2"/>
        </w:trPr>
        <w:tc>
          <w:tcPr>
            <w:tcW w:w="5020" w:type="dxa"/>
            <w:vAlign w:val="bottom"/>
          </w:tcPr>
          <w:p>
            <w:pPr>
              <w:ind w:left="200"/>
              <w:spacing w:after="0" w:line="232" w:lineRule="exact"/>
              <w:rPr>
                <w:sz w:val="20"/>
                <w:szCs w:val="20"/>
                <w:color w:val="auto"/>
              </w:rPr>
            </w:pPr>
            <w:r>
              <w:rPr>
                <w:rFonts w:ascii="Arial" w:cs="Arial" w:eastAsia="Arial" w:hAnsi="Arial"/>
                <w:sz w:val="18"/>
                <w:szCs w:val="18"/>
                <w:color w:val="auto"/>
              </w:rPr>
              <w:t xml:space="preserve">Property operating leases </w:t>
            </w:r>
            <w:r>
              <w:rPr>
                <w:rFonts w:ascii="Arial" w:cs="Arial" w:eastAsia="Arial" w:hAnsi="Arial"/>
                <w:sz w:val="23"/>
                <w:szCs w:val="23"/>
                <w:color w:val="auto"/>
                <w:vertAlign w:val="superscript"/>
              </w:rPr>
              <w:t>(a)</w:t>
            </w:r>
          </w:p>
        </w:tc>
        <w:tc>
          <w:tcPr>
            <w:tcW w:w="1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40"/>
        </w:trPr>
        <w:tc>
          <w:tcPr>
            <w:tcW w:w="5020" w:type="dxa"/>
            <w:vAlign w:val="bottom"/>
          </w:tcPr>
          <w:p>
            <w:pPr>
              <w:ind w:left="200"/>
              <w:spacing w:after="0" w:line="240" w:lineRule="exact"/>
              <w:rPr>
                <w:sz w:val="20"/>
                <w:szCs w:val="20"/>
                <w:color w:val="auto"/>
              </w:rPr>
            </w:pPr>
            <w:r>
              <w:rPr>
                <w:rFonts w:ascii="Arial" w:cs="Arial" w:eastAsia="Arial" w:hAnsi="Arial"/>
                <w:sz w:val="18"/>
                <w:szCs w:val="18"/>
                <w:color w:val="auto"/>
              </w:rPr>
              <w:t xml:space="preserve">Vehicle operating leases </w:t>
            </w:r>
            <w:r>
              <w:rPr>
                <w:rFonts w:ascii="Arial" w:cs="Arial" w:eastAsia="Arial" w:hAnsi="Arial"/>
                <w:sz w:val="23"/>
                <w:szCs w:val="23"/>
                <w:color w:val="auto"/>
                <w:vertAlign w:val="superscript"/>
              </w:rPr>
              <w:t>(a)</w:t>
            </w:r>
          </w:p>
        </w:tc>
        <w:tc>
          <w:tcPr>
            <w:tcW w:w="1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17"/>
        </w:trPr>
        <w:tc>
          <w:tcPr>
            <w:tcW w:w="5020" w:type="dxa"/>
            <w:vAlign w:val="bottom"/>
          </w:tcPr>
          <w:p>
            <w:pPr>
              <w:ind w:left="200"/>
              <w:spacing w:after="0"/>
              <w:rPr>
                <w:sz w:val="20"/>
                <w:szCs w:val="20"/>
                <w:color w:val="auto"/>
              </w:rPr>
            </w:pPr>
            <w:r>
              <w:rPr>
                <w:rFonts w:ascii="Arial" w:cs="Arial" w:eastAsia="Arial" w:hAnsi="Arial"/>
                <w:sz w:val="18"/>
                <w:szCs w:val="18"/>
                <w:color w:val="auto"/>
              </w:rPr>
              <w:t>Vehicle finance leases</w:t>
            </w:r>
          </w:p>
        </w:tc>
        <w:tc>
          <w:tcPr>
            <w:tcW w:w="1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304</w:t>
            </w: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w:t>
      </w:r>
    </w:p>
    <w:p>
      <w:pPr>
        <w:ind w:left="800" w:hanging="306"/>
        <w:spacing w:after="0" w:line="234" w:lineRule="auto"/>
        <w:tabs>
          <w:tab w:leader="none" w:pos="800" w:val="left"/>
        </w:tabs>
        <w:numPr>
          <w:ilvl w:val="0"/>
          <w:numId w:val="33"/>
        </w:numPr>
        <w:rPr>
          <w:rFonts w:ascii="Arial" w:cs="Arial" w:eastAsia="Arial" w:hAnsi="Arial"/>
          <w:sz w:val="19"/>
          <w:szCs w:val="19"/>
          <w:color w:val="auto"/>
          <w:vertAlign w:val="superscript"/>
        </w:rPr>
      </w:pPr>
      <w:r>
        <w:rPr>
          <w:rFonts w:ascii="Arial" w:cs="Arial" w:eastAsia="Arial" w:hAnsi="Arial"/>
          <w:sz w:val="14"/>
          <w:szCs w:val="14"/>
          <w:color w:val="auto"/>
        </w:rPr>
        <w:t>For the year ended December 31, 2019, ROU assets obtained in exchange for lease liabilities since initial recognition.</w:t>
      </w:r>
    </w:p>
    <w:p>
      <w:pPr>
        <w:spacing w:after="0" w:line="25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Maturities of lease liabilities as of December 31, 2021 are as follows:</w:t>
      </w:r>
    </w:p>
    <w:p>
      <w:pPr>
        <w:spacing w:after="0" w:line="15"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Property</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Vehicle Finance</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rPr>
              <w:t>Vehicle Operating</w:t>
            </w:r>
          </w:p>
        </w:tc>
      </w:tr>
      <w:tr>
        <w:trPr>
          <w:trHeight w:val="215"/>
        </w:trPr>
        <w:tc>
          <w:tcPr>
            <w:tcW w:w="56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Operating Leases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Leases</w:t>
            </w:r>
          </w:p>
        </w:tc>
        <w:tc>
          <w:tcPr>
            <w:tcW w:w="300" w:type="dxa"/>
            <w:vAlign w:val="bottom"/>
          </w:tcPr>
          <w:p>
            <w:pPr>
              <w:spacing w:after="0"/>
              <w:rPr>
                <w:sz w:val="18"/>
                <w:szCs w:val="18"/>
                <w:color w:val="auto"/>
              </w:rPr>
            </w:pPr>
          </w:p>
        </w:tc>
        <w:tc>
          <w:tcPr>
            <w:tcW w:w="1180" w:type="dxa"/>
            <w:vAlign w:val="bottom"/>
          </w:tcPr>
          <w:p>
            <w:pPr>
              <w:jc w:val="right"/>
              <w:ind w:right="371"/>
              <w:spacing w:after="0"/>
              <w:rPr>
                <w:sz w:val="20"/>
                <w:szCs w:val="20"/>
                <w:color w:val="auto"/>
              </w:rPr>
            </w:pPr>
            <w:r>
              <w:rPr>
                <w:rFonts w:ascii="Arial" w:cs="Arial" w:eastAsia="Arial" w:hAnsi="Arial"/>
                <w:sz w:val="16"/>
                <w:szCs w:val="16"/>
                <w:b w:val="1"/>
                <w:bCs w:val="1"/>
                <w:color w:val="auto"/>
              </w:rPr>
              <w:t>Leases</w:t>
            </w: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Within 1 year</w:t>
            </w:r>
          </w:p>
        </w:tc>
        <w:tc>
          <w:tcPr>
            <w:tcW w:w="2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Between 1 and 2 years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Between 2 and 3 years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Between 3 and 4 years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Between 4 and 5 years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Total lease payments</w:t>
            </w: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Less: Imputed interest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earnings per share (“EPS”) (shares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00" w:type="dxa"/>
            <w:vAlign w:val="bottom"/>
            <w:gridSpan w:val="8"/>
          </w:tcPr>
          <w:p>
            <w:pPr>
              <w:ind w:left="52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6900" w:type="dxa"/>
            <w:vAlign w:val="bottom"/>
          </w:tcPr>
          <w:p>
            <w:pPr>
              <w:ind w:left="520"/>
              <w:spacing w:after="0" w:line="168" w:lineRule="exact"/>
              <w:rPr>
                <w:sz w:val="20"/>
                <w:szCs w:val="20"/>
                <w:color w:val="auto"/>
              </w:rPr>
            </w:pPr>
            <w:r>
              <w:rPr>
                <w:rFonts w:ascii="Arial" w:cs="Arial" w:eastAsia="Arial" w:hAnsi="Arial"/>
                <w:sz w:val="18"/>
                <w:szCs w:val="18"/>
                <w:color w:val="auto"/>
              </w:rPr>
              <w:t>Net income (loss) attributable to Avis Budget Group, Inc. for basic and diluted</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900" w:type="dxa"/>
            <w:vAlign w:val="bottom"/>
          </w:tcPr>
          <w:p>
            <w:pPr>
              <w:ind w:left="520"/>
              <w:spacing w:after="0"/>
              <w:rPr>
                <w:sz w:val="20"/>
                <w:szCs w:val="20"/>
                <w:color w:val="auto"/>
              </w:rPr>
            </w:pPr>
            <w:r>
              <w:rPr>
                <w:rFonts w:ascii="Arial" w:cs="Arial" w:eastAsia="Arial" w:hAnsi="Arial"/>
                <w:sz w:val="18"/>
                <w:szCs w:val="18"/>
                <w:color w:val="auto"/>
              </w:rPr>
              <w:t>EPS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302</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6900" w:type="dxa"/>
            <w:vAlign w:val="bottom"/>
          </w:tcPr>
          <w:p>
            <w:pPr>
              <w:ind w:left="520"/>
              <w:spacing w:after="0"/>
              <w:rPr>
                <w:sz w:val="20"/>
                <w:szCs w:val="20"/>
                <w:color w:val="auto"/>
              </w:rPr>
            </w:pPr>
            <w:r>
              <w:rPr>
                <w:rFonts w:ascii="Arial" w:cs="Arial" w:eastAsia="Arial" w:hAnsi="Arial"/>
                <w:sz w:val="18"/>
                <w:szCs w:val="18"/>
                <w:color w:val="auto"/>
              </w:rPr>
              <w:t>Basic weighted average shares outstanding</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75.2</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520"/>
              <w:spacing w:after="0"/>
              <w:rPr>
                <w:sz w:val="20"/>
                <w:szCs w:val="20"/>
                <w:color w:val="auto"/>
              </w:rPr>
            </w:pPr>
            <w:r>
              <w:rPr>
                <w:rFonts w:ascii="Arial" w:cs="Arial" w:eastAsia="Arial" w:hAnsi="Arial"/>
                <w:sz w:val="18"/>
                <w:szCs w:val="18"/>
                <w:color w:val="auto"/>
              </w:rPr>
              <w:t>Options and non-vested stock</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Pr>
          <w:p>
            <w:pPr>
              <w:ind w:left="520"/>
              <w:spacing w:after="0"/>
              <w:rPr>
                <w:sz w:val="20"/>
                <w:szCs w:val="20"/>
                <w:color w:val="auto"/>
              </w:rPr>
            </w:pPr>
            <w:r>
              <w:rPr>
                <w:rFonts w:ascii="Arial" w:cs="Arial" w:eastAsia="Arial" w:hAnsi="Arial"/>
                <w:sz w:val="18"/>
                <w:szCs w:val="18"/>
                <w:color w:val="auto"/>
              </w:rPr>
              <w:t>Diluted weighted average shares outstanding</w:t>
            </w: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ind w:left="520"/>
              <w:spacing w:after="0"/>
              <w:rPr>
                <w:sz w:val="20"/>
                <w:szCs w:val="20"/>
                <w:color w:val="auto"/>
              </w:rPr>
            </w:pPr>
            <w:r>
              <w:rPr>
                <w:rFonts w:ascii="Arial" w:cs="Arial" w:eastAsia="Arial" w:hAnsi="Arial"/>
                <w:sz w:val="18"/>
                <w:szCs w:val="18"/>
                <w:i w:val="1"/>
                <w:iCs w:val="1"/>
                <w:color w:val="auto"/>
              </w:rPr>
              <w:t>Earnings (loss) per share:</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6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72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19.79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4.01</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72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19.44</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3.98</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4"/>
        </w:trPr>
        <w:tc>
          <w:tcPr>
            <w:tcW w:w="6900" w:type="dxa"/>
            <w:vAlign w:val="bottom"/>
          </w:tcPr>
          <w:p>
            <w:pPr>
              <w:ind w:left="5440"/>
              <w:spacing w:after="0"/>
              <w:rPr>
                <w:sz w:val="20"/>
                <w:szCs w:val="20"/>
                <w:color w:val="auto"/>
              </w:rPr>
            </w:pPr>
            <w:r>
              <w:rPr>
                <w:rFonts w:ascii="Arial" w:cs="Arial" w:eastAsia="Arial" w:hAnsi="Arial"/>
                <w:sz w:val="18"/>
                <w:szCs w:val="18"/>
                <w:color w:val="auto"/>
              </w:rPr>
              <w:t>F-23</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color w:val="auto"/>
        </w:rPr>
        <w:t>The following table summarizes our outstanding common stock equivalents that were anti-dilutive and therefore excluded from the computation of diluted EPS (shares in millions):</w:t>
      </w:r>
    </w:p>
    <w:p>
      <w:pPr>
        <w:spacing w:after="0" w:line="162" w:lineRule="exact"/>
        <w:rPr>
          <w:sz w:val="20"/>
          <w:szCs w:val="20"/>
          <w:color w:val="auto"/>
        </w:rPr>
      </w:pPr>
    </w:p>
    <w:p>
      <w:pPr>
        <w:jc w:val="center"/>
        <w:ind w:left="636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20320</wp:posOffset>
            </wp:positionV>
            <wp:extent cx="23317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6" w:lineRule="exact"/>
        <w:rPr>
          <w:sz w:val="20"/>
          <w:szCs w:val="20"/>
          <w:color w:val="auto"/>
        </w:rPr>
      </w:pPr>
    </w:p>
    <w:p>
      <w:pPr>
        <w:ind w:left="7340"/>
        <w:spacing w:after="0"/>
        <w:tabs>
          <w:tab w:leader="none" w:pos="8580" w:val="left"/>
          <w:tab w:leader="none" w:pos="984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r>
        <w:rPr>
          <w:sz w:val="20"/>
          <w:szCs w:val="20"/>
          <w:color w:val="auto"/>
        </w:rPr>
        <w:tab/>
      </w:r>
      <w:r>
        <w:rPr>
          <w:rFonts w:ascii="Arial" w:cs="Arial" w:eastAsia="Arial" w:hAnsi="Arial"/>
          <w:sz w:val="17"/>
          <w:szCs w:val="17"/>
          <w:b w:val="1"/>
          <w:bCs w:val="1"/>
          <w:color w:val="auto"/>
        </w:rPr>
        <w:t>2019</w:t>
      </w:r>
    </w:p>
    <w:p>
      <w:pPr>
        <w:spacing w:after="0" w:line="32" w:lineRule="exact"/>
        <w:rPr>
          <w:sz w:val="20"/>
          <w:szCs w:val="20"/>
          <w:color w:val="auto"/>
        </w:rPr>
      </w:pPr>
    </w:p>
    <w:tbl>
      <w:tblPr>
        <w:tblLayout w:type="fixed"/>
        <w:tblInd w:w="500" w:type="dxa"/>
        <w:tblCellMar>
          <w:top w:w="0" w:type="dxa"/>
          <w:left w:w="0" w:type="dxa"/>
          <w:bottom w:w="0" w:type="dxa"/>
          <w:right w:w="0" w:type="dxa"/>
        </w:tblCellMar>
      </w:tblPr>
      <w:tr>
        <w:trPr>
          <w:trHeight w:val="317"/>
        </w:trPr>
        <w:tc>
          <w:tcPr>
            <w:tcW w:w="6480" w:type="dxa"/>
            <w:vAlign w:val="bottom"/>
          </w:tcPr>
          <w:p>
            <w:pPr>
              <w:ind w:left="20"/>
              <w:spacing w:after="0"/>
              <w:rPr>
                <w:sz w:val="20"/>
                <w:szCs w:val="20"/>
                <w:color w:val="auto"/>
              </w:rPr>
            </w:pPr>
            <w:r>
              <w:rPr>
                <w:rFonts w:ascii="Arial" w:cs="Arial" w:eastAsia="Arial" w:hAnsi="Arial"/>
                <w:sz w:val="18"/>
                <w:szCs w:val="18"/>
                <w:color w:val="auto"/>
              </w:rPr>
              <w:t xml:space="preserve">Non-vested stock </w:t>
            </w:r>
            <w:r>
              <w:rPr>
                <w:rFonts w:ascii="Arial" w:cs="Arial" w:eastAsia="Arial" w:hAnsi="Arial"/>
                <w:sz w:val="23"/>
                <w:szCs w:val="23"/>
                <w:color w:val="auto"/>
                <w:vertAlign w:val="superscript"/>
              </w:rPr>
              <w:t>(a)</w:t>
            </w:r>
          </w:p>
        </w:tc>
        <w:tc>
          <w:tcPr>
            <w:tcW w:w="114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13"/>
        </w:trPr>
        <w:tc>
          <w:tcPr>
            <w:tcW w:w="6480" w:type="dxa"/>
            <w:vAlign w:val="bottom"/>
          </w:tcPr>
          <w:p>
            <w:pPr>
              <w:spacing w:after="0"/>
              <w:rPr>
                <w:sz w:val="20"/>
                <w:szCs w:val="20"/>
                <w:color w:val="auto"/>
              </w:rPr>
            </w:pPr>
            <w:r>
              <w:rPr>
                <w:rFonts w:ascii="Arial" w:cs="Arial" w:eastAsia="Arial" w:hAnsi="Arial"/>
                <w:sz w:val="18"/>
                <w:szCs w:val="18"/>
                <w:color w:val="auto"/>
              </w:rPr>
              <w:t>__________</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ind w:left="820" w:hanging="326"/>
        <w:spacing w:after="0" w:line="198" w:lineRule="auto"/>
        <w:tabs>
          <w:tab w:leader="none" w:pos="820" w:val="left"/>
        </w:tabs>
        <w:numPr>
          <w:ilvl w:val="1"/>
          <w:numId w:val="35"/>
        </w:numPr>
        <w:rPr>
          <w:rFonts w:ascii="Arial" w:cs="Arial" w:eastAsia="Arial" w:hAnsi="Arial"/>
          <w:sz w:val="19"/>
          <w:szCs w:val="19"/>
          <w:color w:val="auto"/>
          <w:vertAlign w:val="superscript"/>
        </w:rPr>
      </w:pPr>
      <w:r>
        <w:rPr>
          <w:rFonts w:ascii="Arial" w:cs="Arial" w:eastAsia="Arial" w:hAnsi="Arial"/>
          <w:sz w:val="14"/>
          <w:szCs w:val="14"/>
          <w:color w:val="auto"/>
        </w:rPr>
        <w:t>The weighted average grant date fair value for anti-dilutive non-vested stock for 2020 and 2019 was $26.20 and $39.48, respectively.</w:t>
      </w:r>
    </w:p>
    <w:p>
      <w:pPr>
        <w:spacing w:after="0" w:line="205" w:lineRule="exact"/>
        <w:rPr>
          <w:rFonts w:ascii="Arial" w:cs="Arial" w:eastAsia="Arial" w:hAnsi="Arial"/>
          <w:sz w:val="19"/>
          <w:szCs w:val="19"/>
          <w:color w:val="auto"/>
          <w:vertAlign w:val="superscript"/>
        </w:rPr>
      </w:pPr>
    </w:p>
    <w:p>
      <w:pPr>
        <w:ind w:left="360" w:hanging="352"/>
        <w:spacing w:after="0"/>
        <w:tabs>
          <w:tab w:leader="none" w:pos="3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Related Charges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Restructuring</w:t>
      </w:r>
    </w:p>
    <w:p>
      <w:pPr>
        <w:spacing w:after="0" w:line="274"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During the first quarter of 2021, we initiated a global restructuring plan to focus on cost discipline by reviewing headcounts, facilities and contractor agreements. We are transforming our business as it prepares to exit the COVID-19 crisis by controlling fixed costs and matching variable costs to demand (“T21”). As of December 31, 2021, we formally communicated the termination of employment to approximately 460 employees, as part of this process, and terminated approximately 455 of these employees. We expect further restructuring expense of approximately $5 million related to this initiative in first quarter 2022.</w:t>
      </w:r>
    </w:p>
    <w:p>
      <w:pPr>
        <w:spacing w:after="0" w:line="232"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During first quarter 2020, we initiated a global restructuring plan to reduce operating costs, such as headcount and facilities, due to declining reservations and revenue resulting from the COVID-19 outbreak (“2020 Optimization Plan”). We expect no further restructuring expense related to this initiative.</w:t>
      </w:r>
    </w:p>
    <w:p>
      <w:pPr>
        <w:spacing w:after="0" w:line="229" w:lineRule="exact"/>
        <w:rPr>
          <w:sz w:val="20"/>
          <w:szCs w:val="20"/>
          <w:color w:val="auto"/>
        </w:rPr>
      </w:pPr>
    </w:p>
    <w:p>
      <w:pPr>
        <w:jc w:val="both"/>
        <w:ind w:left="500" w:right="20"/>
        <w:spacing w:after="0" w:line="261" w:lineRule="auto"/>
        <w:rPr>
          <w:sz w:val="20"/>
          <w:szCs w:val="20"/>
          <w:color w:val="auto"/>
        </w:rPr>
      </w:pPr>
      <w:r>
        <w:rPr>
          <w:rFonts w:ascii="Arial" w:cs="Arial" w:eastAsia="Arial" w:hAnsi="Arial"/>
          <w:sz w:val="18"/>
          <w:szCs w:val="18"/>
          <w:color w:val="auto"/>
        </w:rPr>
        <w:t>During third quarter 2019, we initiated a restructuring plan to exit our operations in Brazil by closing rental facilities, disposing of assets and terminating personnel (“Brazil”). We expect no further restructuring expense related to this initiative.</w:t>
      </w:r>
    </w:p>
    <w:p>
      <w:pPr>
        <w:spacing w:after="0" w:line="225"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During first quarter 2019, we initiated a restructuring plan to drive global efficiency by improving processes and consolidating functions, and to create new objectives and strategies for our truck rental operations in the U.S. by reducing headcount, large vehicles and rental locations (“T19”). This initiative is complete.</w:t>
      </w:r>
    </w:p>
    <w:p>
      <w:pPr>
        <w:spacing w:after="0" w:line="229"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During first quarter 2018, we initiated a strategic restructuring plan to improve processes and reduce headcount in response to our new workforce planning technology that allows more effective management of staff levels (“Workforce planning”). The costs associated with this initiative primarily represent severance, outplacement services and other costs associated with employee terminations, the majority of which have been or are expected to be settled in cash. This initiative is complete.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right="660"/>
        <w:spacing w:after="0" w:line="261" w:lineRule="auto"/>
        <w:rPr>
          <w:sz w:val="20"/>
          <w:szCs w:val="20"/>
          <w:color w:val="auto"/>
        </w:rPr>
      </w:pPr>
      <w:r>
        <w:rPr>
          <w:rFonts w:ascii="Arial" w:cs="Arial" w:eastAsia="Arial" w:hAnsi="Arial"/>
          <w:sz w:val="18"/>
          <w:szCs w:val="18"/>
          <w:color w:val="auto"/>
        </w:rPr>
        <w:t>The following tables summarize the change to our restructuring-related liabilities and identifies the amounts recorded within our reporting segments for restructuring charges and corresponding payments and utilizations:</w:t>
      </w:r>
    </w:p>
    <w:tbl>
      <w:tblPr>
        <w:tblLayout w:type="fixed"/>
        <w:tblInd w:w="500" w:type="dxa"/>
        <w:tblCellMar>
          <w:top w:w="0" w:type="dxa"/>
          <w:left w:w="0" w:type="dxa"/>
          <w:bottom w:w="0" w:type="dxa"/>
          <w:right w:w="0" w:type="dxa"/>
        </w:tblCellMar>
      </w:tblPr>
      <w:tr>
        <w:trPr>
          <w:trHeight w:val="185"/>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230"/>
              <w:spacing w:after="0" w:line="185" w:lineRule="exact"/>
              <w:rPr>
                <w:sz w:val="20"/>
                <w:szCs w:val="20"/>
                <w:color w:val="auto"/>
              </w:rPr>
            </w:pPr>
            <w:r>
              <w:rPr>
                <w:rFonts w:ascii="Arial" w:cs="Arial" w:eastAsia="Arial" w:hAnsi="Arial"/>
                <w:sz w:val="18"/>
                <w:szCs w:val="18"/>
                <w:b w:val="1"/>
                <w:bCs w:val="1"/>
                <w:color w:val="auto"/>
              </w:rPr>
              <w:t>Personnel</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auto"/>
              </w:rPr>
              <w:t>Facility Related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23"/>
                <w:szCs w:val="23"/>
                <w:b w:val="1"/>
                <w:bCs w:val="1"/>
                <w:color w:val="auto"/>
                <w:vertAlign w:val="superscript"/>
              </w:rPr>
              <w:t>(a)</w:t>
            </w:r>
          </w:p>
        </w:tc>
        <w:tc>
          <w:tcPr>
            <w:tcW w:w="120" w:type="dxa"/>
            <w:vAlign w:val="bottom"/>
            <w:gridSpan w:val="2"/>
            <w:vMerge w:val="restart"/>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Related</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tcBorders>
              <w:bottom w:val="single" w:sz="8" w:color="auto"/>
            </w:tcBorders>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20" w:type="dxa"/>
            <w:vAlign w:val="bottom"/>
            <w:gridSpan w:val="2"/>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color w:val="auto"/>
              </w:rPr>
              <w:t>Balance at January 1, 2019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840" w:type="dxa"/>
            <w:vAlign w:val="bottom"/>
          </w:tcPr>
          <w:p>
            <w:pPr>
              <w:ind w:left="14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2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3840" w:type="dxa"/>
            <w:vAlign w:val="bottom"/>
          </w:tcPr>
          <w:p>
            <w:pPr>
              <w:ind w:left="220"/>
              <w:spacing w:after="0"/>
              <w:rPr>
                <w:sz w:val="20"/>
                <w:szCs w:val="20"/>
                <w:color w:val="auto"/>
              </w:rPr>
            </w:pPr>
            <w:r>
              <w:rPr>
                <w:rFonts w:ascii="Arial" w:cs="Arial" w:eastAsia="Arial" w:hAnsi="Arial"/>
                <w:sz w:val="18"/>
                <w:szCs w:val="18"/>
                <w:color w:val="auto"/>
              </w:rPr>
              <w:t>Brazil</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840" w:type="dxa"/>
            <w:vAlign w:val="bottom"/>
          </w:tcPr>
          <w:p>
            <w:pPr>
              <w:ind w:left="140"/>
              <w:spacing w:after="0"/>
              <w:rPr>
                <w:sz w:val="20"/>
                <w:szCs w:val="20"/>
                <w:color w:val="auto"/>
              </w:rPr>
            </w:pPr>
            <w:r>
              <w:rPr>
                <w:rFonts w:ascii="Arial" w:cs="Arial" w:eastAsia="Arial" w:hAnsi="Arial"/>
                <w:sz w:val="18"/>
                <w:szCs w:val="18"/>
                <w:color w:val="auto"/>
              </w:rPr>
              <w:t>Restructuring payment/utilization:</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2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3840" w:type="dxa"/>
            <w:vAlign w:val="bottom"/>
          </w:tcPr>
          <w:p>
            <w:pPr>
              <w:ind w:left="220"/>
              <w:spacing w:after="0"/>
              <w:rPr>
                <w:sz w:val="20"/>
                <w:szCs w:val="20"/>
                <w:color w:val="auto"/>
              </w:rPr>
            </w:pPr>
            <w:r>
              <w:rPr>
                <w:rFonts w:ascii="Arial" w:cs="Arial" w:eastAsia="Arial" w:hAnsi="Arial"/>
                <w:sz w:val="18"/>
                <w:szCs w:val="18"/>
                <w:color w:val="auto"/>
              </w:rPr>
              <w:t>Brazil</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840" w:type="dxa"/>
            <w:vAlign w:val="bottom"/>
          </w:tcPr>
          <w:p>
            <w:pPr>
              <w:ind w:left="220"/>
              <w:spacing w:after="0"/>
              <w:rPr>
                <w:sz w:val="20"/>
                <w:szCs w:val="20"/>
                <w:color w:val="auto"/>
              </w:rPr>
            </w:pPr>
            <w:r>
              <w:rPr>
                <w:rFonts w:ascii="Arial" w:cs="Arial" w:eastAsia="Arial" w:hAnsi="Arial"/>
                <w:sz w:val="18"/>
                <w:szCs w:val="18"/>
                <w:color w:val="auto"/>
              </w:rPr>
              <w:t>Workforce planning</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color w:val="auto"/>
              </w:rPr>
              <w:t>Balance as of December 31, 2019</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840" w:type="dxa"/>
            <w:vAlign w:val="bottom"/>
          </w:tcPr>
          <w:p>
            <w:pPr>
              <w:ind w:left="14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20"/>
              <w:spacing w:after="0"/>
              <w:rPr>
                <w:sz w:val="20"/>
                <w:szCs w:val="20"/>
                <w:color w:val="auto"/>
              </w:rPr>
            </w:pPr>
            <w:r>
              <w:rPr>
                <w:rFonts w:ascii="Arial" w:cs="Arial" w:eastAsia="Arial" w:hAnsi="Arial"/>
                <w:sz w:val="18"/>
                <w:szCs w:val="18"/>
                <w:color w:val="auto"/>
              </w:rPr>
              <w:t>2020 Optimization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3840" w:type="dxa"/>
            <w:vAlign w:val="bottom"/>
          </w:tcPr>
          <w:p>
            <w:pPr>
              <w:ind w:left="220"/>
              <w:spacing w:after="0"/>
              <w:rPr>
                <w:sz w:val="20"/>
                <w:szCs w:val="20"/>
                <w:color w:val="auto"/>
              </w:rPr>
            </w:pPr>
            <w:r>
              <w:rPr>
                <w:rFonts w:ascii="Arial" w:cs="Arial" w:eastAsia="Arial" w:hAnsi="Arial"/>
                <w:sz w:val="18"/>
                <w:szCs w:val="18"/>
                <w:color w:val="auto"/>
              </w:rPr>
              <w:t>Brazil</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40" w:type="dxa"/>
            <w:vAlign w:val="bottom"/>
          </w:tcPr>
          <w:p>
            <w:pPr>
              <w:ind w:left="14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840" w:type="dxa"/>
            <w:vAlign w:val="bottom"/>
          </w:tcPr>
          <w:p>
            <w:pPr>
              <w:ind w:left="140"/>
              <w:spacing w:after="0"/>
              <w:rPr>
                <w:sz w:val="20"/>
                <w:szCs w:val="20"/>
                <w:color w:val="auto"/>
              </w:rPr>
            </w:pPr>
            <w:r>
              <w:rPr>
                <w:rFonts w:ascii="Arial" w:cs="Arial" w:eastAsia="Arial" w:hAnsi="Arial"/>
                <w:sz w:val="18"/>
                <w:szCs w:val="18"/>
                <w:color w:val="auto"/>
              </w:rPr>
              <w:t>Restructuring payment/utilization:</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20"/>
              <w:spacing w:after="0"/>
              <w:rPr>
                <w:sz w:val="20"/>
                <w:szCs w:val="20"/>
                <w:color w:val="auto"/>
              </w:rPr>
            </w:pPr>
            <w:r>
              <w:rPr>
                <w:rFonts w:ascii="Arial" w:cs="Arial" w:eastAsia="Arial" w:hAnsi="Arial"/>
                <w:sz w:val="18"/>
                <w:szCs w:val="18"/>
                <w:color w:val="auto"/>
              </w:rPr>
              <w:t>2020 Optimization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3840" w:type="dxa"/>
            <w:vAlign w:val="bottom"/>
          </w:tcPr>
          <w:p>
            <w:pPr>
              <w:ind w:left="220"/>
              <w:spacing w:after="0"/>
              <w:rPr>
                <w:sz w:val="20"/>
                <w:szCs w:val="20"/>
                <w:color w:val="auto"/>
              </w:rPr>
            </w:pPr>
            <w:r>
              <w:rPr>
                <w:rFonts w:ascii="Arial" w:cs="Arial" w:eastAsia="Arial" w:hAnsi="Arial"/>
                <w:sz w:val="18"/>
                <w:szCs w:val="18"/>
                <w:color w:val="auto"/>
              </w:rPr>
              <w:t>Brazil</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840" w:type="dxa"/>
            <w:vAlign w:val="bottom"/>
          </w:tcPr>
          <w:p>
            <w:pPr>
              <w:ind w:left="220"/>
              <w:spacing w:after="0"/>
              <w:rPr>
                <w:sz w:val="20"/>
                <w:szCs w:val="20"/>
                <w:color w:val="auto"/>
              </w:rPr>
            </w:pPr>
            <w:r>
              <w:rPr>
                <w:rFonts w:ascii="Arial" w:cs="Arial" w:eastAsia="Arial" w:hAnsi="Arial"/>
                <w:sz w:val="18"/>
                <w:szCs w:val="18"/>
                <w:color w:val="auto"/>
              </w:rPr>
              <w:t>T19</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3840" w:type="dxa"/>
            <w:vAlign w:val="bottom"/>
          </w:tcPr>
          <w:p>
            <w:pPr>
              <w:ind w:left="14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20"/>
              <w:spacing w:after="0"/>
              <w:rPr>
                <w:sz w:val="20"/>
                <w:szCs w:val="20"/>
                <w:color w:val="auto"/>
              </w:rPr>
            </w:pPr>
            <w:r>
              <w:rPr>
                <w:rFonts w:ascii="Arial" w:cs="Arial" w:eastAsia="Arial" w:hAnsi="Arial"/>
                <w:sz w:val="18"/>
                <w:szCs w:val="18"/>
                <w:color w:val="auto"/>
              </w:rPr>
              <w:t>T21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3840" w:type="dxa"/>
            <w:vAlign w:val="bottom"/>
          </w:tcPr>
          <w:p>
            <w:pPr>
              <w:ind w:left="22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840" w:type="dxa"/>
            <w:vAlign w:val="bottom"/>
          </w:tcPr>
          <w:p>
            <w:pPr>
              <w:ind w:left="140"/>
              <w:spacing w:after="0"/>
              <w:rPr>
                <w:sz w:val="20"/>
                <w:szCs w:val="20"/>
                <w:color w:val="auto"/>
              </w:rPr>
            </w:pPr>
            <w:r>
              <w:rPr>
                <w:rFonts w:ascii="Arial" w:cs="Arial" w:eastAsia="Arial" w:hAnsi="Arial"/>
                <w:sz w:val="18"/>
                <w:szCs w:val="18"/>
                <w:color w:val="auto"/>
              </w:rPr>
              <w:t>Restructuring payment/utilization:</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20"/>
              <w:spacing w:after="0"/>
              <w:rPr>
                <w:sz w:val="20"/>
                <w:szCs w:val="20"/>
                <w:color w:val="auto"/>
              </w:rPr>
            </w:pPr>
            <w:r>
              <w:rPr>
                <w:rFonts w:ascii="Arial" w:cs="Arial" w:eastAsia="Arial" w:hAnsi="Arial"/>
                <w:sz w:val="18"/>
                <w:szCs w:val="18"/>
                <w:color w:val="auto"/>
              </w:rPr>
              <w:t>T21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840" w:type="dxa"/>
            <w:vAlign w:val="bottom"/>
          </w:tcPr>
          <w:p>
            <w:pPr>
              <w:ind w:left="220"/>
              <w:spacing w:after="0"/>
              <w:rPr>
                <w:sz w:val="20"/>
                <w:szCs w:val="20"/>
                <w:color w:val="auto"/>
              </w:rPr>
            </w:pPr>
            <w:r>
              <w:rPr>
                <w:rFonts w:ascii="Arial" w:cs="Arial" w:eastAsia="Arial" w:hAnsi="Arial"/>
                <w:sz w:val="18"/>
                <w:szCs w:val="18"/>
                <w:color w:val="auto"/>
              </w:rPr>
              <w:t>2020 Optimization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840" w:type="dxa"/>
            <w:vAlign w:val="bottom"/>
          </w:tcPr>
          <w:p>
            <w:pPr>
              <w:ind w:left="220"/>
              <w:spacing w:after="0"/>
              <w:rPr>
                <w:sz w:val="20"/>
                <w:szCs w:val="20"/>
                <w:color w:val="auto"/>
              </w:rPr>
            </w:pPr>
            <w:r>
              <w:rPr>
                <w:rFonts w:ascii="Arial" w:cs="Arial" w:eastAsia="Arial" w:hAnsi="Arial"/>
                <w:sz w:val="18"/>
                <w:szCs w:val="18"/>
                <w:color w:val="auto"/>
              </w:rPr>
              <w:t>T19</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84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5340" w:type="dxa"/>
            <w:vAlign w:val="bottom"/>
            <w:gridSpan w:val="3"/>
          </w:tcPr>
          <w:p>
            <w:pPr>
              <w:spacing w:after="0" w:line="221" w:lineRule="exact"/>
              <w:rPr>
                <w:sz w:val="20"/>
                <w:szCs w:val="20"/>
                <w:color w:val="auto"/>
              </w:rPr>
            </w:pPr>
            <w:r>
              <w:rPr>
                <w:rFonts w:ascii="Arial" w:cs="Arial" w:eastAsia="Arial" w:hAnsi="Arial"/>
                <w:sz w:val="21"/>
                <w:szCs w:val="21"/>
                <w:color w:val="auto"/>
                <w:vertAlign w:val="superscript"/>
              </w:rPr>
              <w:t>(a)</w:t>
            </w:r>
            <w:r>
              <w:rPr>
                <w:rFonts w:ascii="Arial" w:cs="Arial" w:eastAsia="Arial" w:hAnsi="Arial"/>
                <w:sz w:val="16"/>
                <w:szCs w:val="16"/>
                <w:color w:val="auto"/>
              </w:rPr>
              <w:t xml:space="preserve"> Includes expenses primarily related to the disposition of vehicles.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Americas</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International</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color w:val="auto"/>
              </w:rPr>
              <w:t>Balance at January 1, 2019</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840" w:type="dxa"/>
            <w:vAlign w:val="bottom"/>
          </w:tcPr>
          <w:p>
            <w:pPr>
              <w:ind w:left="14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2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3840" w:type="dxa"/>
            <w:vAlign w:val="bottom"/>
          </w:tcPr>
          <w:p>
            <w:pPr>
              <w:ind w:left="220"/>
              <w:spacing w:after="0"/>
              <w:rPr>
                <w:sz w:val="20"/>
                <w:szCs w:val="20"/>
                <w:color w:val="auto"/>
              </w:rPr>
            </w:pPr>
            <w:r>
              <w:rPr>
                <w:rFonts w:ascii="Arial" w:cs="Arial" w:eastAsia="Arial" w:hAnsi="Arial"/>
                <w:sz w:val="18"/>
                <w:szCs w:val="18"/>
                <w:color w:val="auto"/>
              </w:rPr>
              <w:t>Brazil</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840" w:type="dxa"/>
            <w:vAlign w:val="bottom"/>
          </w:tcPr>
          <w:p>
            <w:pPr>
              <w:ind w:left="140"/>
              <w:spacing w:after="0"/>
              <w:rPr>
                <w:sz w:val="20"/>
                <w:szCs w:val="20"/>
                <w:color w:val="auto"/>
              </w:rPr>
            </w:pPr>
            <w:r>
              <w:rPr>
                <w:rFonts w:ascii="Arial" w:cs="Arial" w:eastAsia="Arial" w:hAnsi="Arial"/>
                <w:sz w:val="18"/>
                <w:szCs w:val="18"/>
                <w:color w:val="auto"/>
              </w:rPr>
              <w:t>Restructuring payment/utilization:</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2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3840" w:type="dxa"/>
            <w:vAlign w:val="bottom"/>
          </w:tcPr>
          <w:p>
            <w:pPr>
              <w:ind w:left="220"/>
              <w:spacing w:after="0"/>
              <w:rPr>
                <w:sz w:val="20"/>
                <w:szCs w:val="20"/>
                <w:color w:val="auto"/>
              </w:rPr>
            </w:pPr>
            <w:r>
              <w:rPr>
                <w:rFonts w:ascii="Arial" w:cs="Arial" w:eastAsia="Arial" w:hAnsi="Arial"/>
                <w:sz w:val="18"/>
                <w:szCs w:val="18"/>
                <w:color w:val="auto"/>
              </w:rPr>
              <w:t>Brazil</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840" w:type="dxa"/>
            <w:vAlign w:val="bottom"/>
          </w:tcPr>
          <w:p>
            <w:pPr>
              <w:ind w:left="220"/>
              <w:spacing w:after="0"/>
              <w:rPr>
                <w:sz w:val="20"/>
                <w:szCs w:val="20"/>
                <w:color w:val="auto"/>
              </w:rPr>
            </w:pPr>
            <w:r>
              <w:rPr>
                <w:rFonts w:ascii="Arial" w:cs="Arial" w:eastAsia="Arial" w:hAnsi="Arial"/>
                <w:sz w:val="18"/>
                <w:szCs w:val="18"/>
                <w:color w:val="auto"/>
              </w:rPr>
              <w:t>Workforce planning</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color w:val="auto"/>
              </w:rPr>
              <w:t>Balance as of December 31, 2019</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840" w:type="dxa"/>
            <w:vAlign w:val="bottom"/>
          </w:tcPr>
          <w:p>
            <w:pPr>
              <w:ind w:left="14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20"/>
              <w:spacing w:after="0"/>
              <w:rPr>
                <w:sz w:val="20"/>
                <w:szCs w:val="20"/>
                <w:color w:val="auto"/>
              </w:rPr>
            </w:pPr>
            <w:r>
              <w:rPr>
                <w:rFonts w:ascii="Arial" w:cs="Arial" w:eastAsia="Arial" w:hAnsi="Arial"/>
                <w:sz w:val="18"/>
                <w:szCs w:val="18"/>
                <w:color w:val="auto"/>
              </w:rPr>
              <w:t>2020 Optimization Plan</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3840" w:type="dxa"/>
            <w:vAlign w:val="bottom"/>
          </w:tcPr>
          <w:p>
            <w:pPr>
              <w:ind w:left="22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840" w:type="dxa"/>
            <w:vAlign w:val="bottom"/>
          </w:tcPr>
          <w:p>
            <w:pPr>
              <w:ind w:left="140"/>
              <w:spacing w:after="0"/>
              <w:rPr>
                <w:sz w:val="20"/>
                <w:szCs w:val="20"/>
                <w:color w:val="auto"/>
              </w:rPr>
            </w:pPr>
            <w:r>
              <w:rPr>
                <w:rFonts w:ascii="Arial" w:cs="Arial" w:eastAsia="Arial" w:hAnsi="Arial"/>
                <w:sz w:val="18"/>
                <w:szCs w:val="18"/>
                <w:color w:val="auto"/>
              </w:rPr>
              <w:t>Restructuring payment/utilization:</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20"/>
              <w:spacing w:after="0"/>
              <w:rPr>
                <w:sz w:val="20"/>
                <w:szCs w:val="20"/>
                <w:color w:val="auto"/>
              </w:rPr>
            </w:pPr>
            <w:r>
              <w:rPr>
                <w:rFonts w:ascii="Arial" w:cs="Arial" w:eastAsia="Arial" w:hAnsi="Arial"/>
                <w:sz w:val="18"/>
                <w:szCs w:val="18"/>
                <w:color w:val="auto"/>
              </w:rPr>
              <w:t>2020 Optimization Plan</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3840" w:type="dxa"/>
            <w:vAlign w:val="bottom"/>
          </w:tcPr>
          <w:p>
            <w:pPr>
              <w:ind w:left="220"/>
              <w:spacing w:after="0"/>
              <w:rPr>
                <w:sz w:val="20"/>
                <w:szCs w:val="20"/>
                <w:color w:val="auto"/>
              </w:rPr>
            </w:pPr>
            <w:r>
              <w:rPr>
                <w:rFonts w:ascii="Arial" w:cs="Arial" w:eastAsia="Arial" w:hAnsi="Arial"/>
                <w:sz w:val="18"/>
                <w:szCs w:val="18"/>
                <w:color w:val="auto"/>
              </w:rPr>
              <w:t>Brazil</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840" w:type="dxa"/>
            <w:vAlign w:val="bottom"/>
          </w:tcPr>
          <w:p>
            <w:pPr>
              <w:ind w:left="22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840" w:type="dxa"/>
            <w:vAlign w:val="bottom"/>
          </w:tcPr>
          <w:p>
            <w:pPr>
              <w:ind w:left="14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20"/>
              <w:spacing w:after="0"/>
              <w:rPr>
                <w:sz w:val="20"/>
                <w:szCs w:val="20"/>
                <w:color w:val="auto"/>
              </w:rPr>
            </w:pPr>
            <w:r>
              <w:rPr>
                <w:rFonts w:ascii="Arial" w:cs="Arial" w:eastAsia="Arial" w:hAnsi="Arial"/>
                <w:sz w:val="18"/>
                <w:szCs w:val="18"/>
                <w:color w:val="auto"/>
              </w:rPr>
              <w:t>T21</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840" w:type="dxa"/>
            <w:vAlign w:val="bottom"/>
          </w:tcPr>
          <w:p>
            <w:pPr>
              <w:ind w:left="22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840" w:type="dxa"/>
            <w:vAlign w:val="bottom"/>
          </w:tcPr>
          <w:p>
            <w:pPr>
              <w:ind w:left="140"/>
              <w:spacing w:after="0"/>
              <w:rPr>
                <w:sz w:val="20"/>
                <w:szCs w:val="20"/>
                <w:color w:val="auto"/>
              </w:rPr>
            </w:pPr>
            <w:r>
              <w:rPr>
                <w:rFonts w:ascii="Arial" w:cs="Arial" w:eastAsia="Arial" w:hAnsi="Arial"/>
                <w:sz w:val="18"/>
                <w:szCs w:val="18"/>
                <w:color w:val="auto"/>
              </w:rPr>
              <w:t>Restructuring payment/utilization:</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20"/>
              <w:spacing w:after="0"/>
              <w:rPr>
                <w:sz w:val="20"/>
                <w:szCs w:val="20"/>
                <w:color w:val="auto"/>
              </w:rPr>
            </w:pPr>
            <w:r>
              <w:rPr>
                <w:rFonts w:ascii="Arial" w:cs="Arial" w:eastAsia="Arial" w:hAnsi="Arial"/>
                <w:sz w:val="18"/>
                <w:szCs w:val="18"/>
                <w:color w:val="auto"/>
              </w:rPr>
              <w:t>T21</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3840" w:type="dxa"/>
            <w:vAlign w:val="bottom"/>
          </w:tcPr>
          <w:p>
            <w:pPr>
              <w:ind w:left="220"/>
              <w:spacing w:after="0"/>
              <w:rPr>
                <w:sz w:val="20"/>
                <w:szCs w:val="20"/>
                <w:color w:val="auto"/>
              </w:rPr>
            </w:pPr>
            <w:r>
              <w:rPr>
                <w:rFonts w:ascii="Arial" w:cs="Arial" w:eastAsia="Arial" w:hAnsi="Arial"/>
                <w:sz w:val="18"/>
                <w:szCs w:val="18"/>
                <w:color w:val="auto"/>
              </w:rPr>
              <w:t>2020 Optimization Plan</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840" w:type="dxa"/>
            <w:vAlign w:val="bottom"/>
          </w:tcPr>
          <w:p>
            <w:pPr>
              <w:ind w:left="22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Related Charges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Limited Voluntary Opportunity Plans (“LVOP”)</w:t>
      </w:r>
    </w:p>
    <w:p>
      <w:pPr>
        <w:spacing w:after="0" w:line="270"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During the second quarter of 2021, our operations in our International segment offered a voluntary termination program to certain employees in field operations and general and administrative functions for a limited time. These employees, if qualified, elected resignation from employment in return for enhanced severance benefits to be settled in cash. During the year ended December 31,</w:t>
      </w:r>
    </w:p>
    <w:p>
      <w:pPr>
        <w:sectPr>
          <w:pgSz w:w="11900" w:h="16838" w:orient="portrait"/>
          <w:cols w:equalWidth="0" w:num="1">
            <w:col w:w="11240"/>
          </w:cols>
          <w:pgMar w:left="320" w:top="140" w:right="339" w:bottom="0" w:gutter="0" w:footer="0" w:header="0"/>
        </w:sectPr>
      </w:pPr>
    </w:p>
    <w:bookmarkStart w:id="77" w:name="page78"/>
    <w:bookmarkEnd w:id="77"/>
    <w:p>
      <w:pPr>
        <w:jc w:val="both"/>
        <w:spacing w:after="0" w:line="260" w:lineRule="auto"/>
        <w:rPr>
          <w:sz w:val="20"/>
          <w:szCs w:val="20"/>
          <w:color w:val="auto"/>
        </w:rPr>
      </w:pPr>
      <w:r>
        <w:rPr>
          <w:rFonts w:ascii="Arial" w:cs="Arial" w:eastAsia="Arial" w:hAnsi="Arial"/>
          <w:sz w:val="18"/>
          <w:szCs w:val="18"/>
          <w:color w:val="auto"/>
        </w:rPr>
        <w:t>2021, we recorded other related charges of approximately $17 million in connection with the LVOP. As of December 31, 2021, approximately 130 employees elected to participate in the plan and the majority of the participants have been terminated.</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2020, we offered a voluntary termination program to certain employees in field operations, shared services, and general and administrative functions for a limited time. These employees, if qualified, elected resignation from employment in return for enhanced severance benefits to be settled in cash. During the year ended December 31, 2020, we recorded other related charges of approximately $18 million in connection with the LVOP.</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Officer Separation Costs</w:t>
      </w: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August 2020, we announced the resignation of John F. North, III as our Chief Financial Officer. Following his post-resignation transition to an advisory position, Mr. North continued to serve as a consultant through January 1, 2021. In connection with Mr. North’s departure, we recorded other related charges of approximately $5 million, inclusive of accelerated stock-based compensation expense for the year ended</w:t>
      </w:r>
    </w:p>
    <w:p>
      <w:pPr>
        <w:spacing w:after="0" w:line="200" w:lineRule="exact"/>
        <w:rPr>
          <w:sz w:val="20"/>
          <w:szCs w:val="20"/>
          <w:color w:val="auto"/>
        </w:rPr>
      </w:pPr>
    </w:p>
    <w:p>
      <w:pPr>
        <w:spacing w:after="0" w:line="38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140"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December 31, 2020.</w:t>
      </w:r>
    </w:p>
    <w:p>
      <w:pPr>
        <w:spacing w:after="0" w:line="252"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In March 2020, we announced the departure of Michael K. Tucker as Executive Vice President, General Counsel effective March 27, 2020. In connection with Mr. Tucker’s separation, we recorded other related charges of approximately $2 million for the year ended December 31, 2020.</w:t>
      </w:r>
    </w:p>
    <w:p>
      <w:pPr>
        <w:spacing w:after="0" w:line="215" w:lineRule="exact"/>
        <w:rPr>
          <w:sz w:val="20"/>
          <w:szCs w:val="20"/>
          <w:color w:val="auto"/>
        </w:rPr>
      </w:pPr>
    </w:p>
    <w:p>
      <w:pPr>
        <w:jc w:val="both"/>
        <w:ind w:left="500"/>
        <w:spacing w:after="0" w:line="227" w:lineRule="auto"/>
        <w:rPr>
          <w:sz w:val="20"/>
          <w:szCs w:val="20"/>
          <w:color w:val="auto"/>
        </w:rPr>
      </w:pPr>
      <w:r>
        <w:rPr>
          <w:rFonts w:ascii="Arial" w:cs="Arial" w:eastAsia="Arial" w:hAnsi="Arial"/>
          <w:sz w:val="18"/>
          <w:szCs w:val="18"/>
          <w:color w:val="auto"/>
        </w:rPr>
        <w:t>In May 2019, we announced the resignation of Larry D. De Shon as our President and Chief Executive Officer. Mr. De Shon continued to serve in his role until a successor had been named and was employed by us through December 31, 2019. In connection with Mr. De Shon’s departure, we recorded other related charges of approximately $1 million for consulting fees and $14 million, inclusive of accelerated stock-based compensation expense, for the years ended December 31, 2020 and 2019, respectively.</w:t>
      </w:r>
    </w:p>
    <w:p>
      <w:pPr>
        <w:spacing w:after="0" w:line="216" w:lineRule="exact"/>
        <w:rPr>
          <w:sz w:val="20"/>
          <w:szCs w:val="20"/>
          <w:color w:val="auto"/>
        </w:rPr>
      </w:pPr>
    </w:p>
    <w:p>
      <w:pPr>
        <w:jc w:val="both"/>
        <w:ind w:left="500"/>
        <w:spacing w:after="0" w:line="229" w:lineRule="auto"/>
        <w:rPr>
          <w:sz w:val="20"/>
          <w:szCs w:val="20"/>
          <w:color w:val="auto"/>
        </w:rPr>
      </w:pPr>
      <w:r>
        <w:rPr>
          <w:rFonts w:ascii="Arial" w:cs="Arial" w:eastAsia="Arial" w:hAnsi="Arial"/>
          <w:sz w:val="18"/>
          <w:szCs w:val="18"/>
          <w:color w:val="auto"/>
        </w:rPr>
        <w:t>In March 2019, we announced the resignation of Mark J. Servodidio as our President, International effective June 14, 2019. In connection with Mr. Servodidio’s departure, we recorded other related charges of approximately $4 million, inclusive of accelerated stock-based compensation expense.</w:t>
      </w:r>
    </w:p>
    <w:p>
      <w:pPr>
        <w:spacing w:after="0" w:line="209" w:lineRule="exact"/>
        <w:rPr>
          <w:sz w:val="20"/>
          <w:szCs w:val="20"/>
          <w:color w:val="auto"/>
        </w:rPr>
      </w:pPr>
    </w:p>
    <w:p>
      <w:pPr>
        <w:ind w:left="360" w:hanging="352"/>
        <w:spacing w:after="0"/>
        <w:tabs>
          <w:tab w:leader="none" w:pos="3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Avis and Budget Licensees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2021</w:t>
      </w:r>
    </w:p>
    <w:p>
      <w:pPr>
        <w:spacing w:after="0" w:line="261" w:lineRule="exact"/>
        <w:rPr>
          <w:sz w:val="20"/>
          <w:szCs w:val="20"/>
          <w:color w:val="auto"/>
        </w:rPr>
      </w:pPr>
    </w:p>
    <w:p>
      <w:pPr>
        <w:jc w:val="both"/>
        <w:ind w:left="500"/>
        <w:spacing w:after="0" w:line="224" w:lineRule="auto"/>
        <w:rPr>
          <w:sz w:val="20"/>
          <w:szCs w:val="20"/>
          <w:color w:val="auto"/>
        </w:rPr>
      </w:pPr>
      <w:r>
        <w:rPr>
          <w:rFonts w:ascii="Arial" w:cs="Arial" w:eastAsia="Arial" w:hAnsi="Arial"/>
          <w:sz w:val="18"/>
          <w:szCs w:val="18"/>
          <w:color w:val="auto"/>
        </w:rPr>
        <w:t>During 2021, we completed the acquisitions of various licensees in Europe and North America, for approximately $23 million, plus $22 million for acquired fleet. These investments were in-line with our strategy to re-acquire licensees when advantageous to expand our footprint of Company-operated locations. The acquired fleet was financed under our existing financing arrangements. In connection with these acquisitions, approximately $28 million was recorded to other intangibles related to franchise agreements. The license agreements are being amortized over a weighted average useful life of approximately one year. The fair value of the assets acquired and liabilities assumed has not yet been finalized and is therefore subject to change.</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2020</w:t>
      </w:r>
    </w:p>
    <w:p>
      <w:pPr>
        <w:spacing w:after="0" w:line="274"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During 2020, we completed the acquisitions of various licensees in North America and Europe, for approximately $28 million, plus $22 million for acquired fleet. These investments were in-line with our strategy to re-acquire licensees when advantageous to expand our footprint of Company-operated locations. The acquired fleet was financed under our existing financing arrangements. In connection with these acquisitions, approximately $28 million was recorded in other intangibles related to license agreements. The license agreements are being amortized over a weighted average useful life of approximately two years. Differences between the preliminary allocation of purchase price and the final allocation were not material for Avis and Budget Licensees.</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2019</w:t>
      </w:r>
    </w:p>
    <w:p>
      <w:pPr>
        <w:spacing w:after="0" w:line="274" w:lineRule="exact"/>
        <w:rPr>
          <w:sz w:val="20"/>
          <w:szCs w:val="20"/>
          <w:color w:val="auto"/>
        </w:rPr>
      </w:pPr>
    </w:p>
    <w:p>
      <w:pPr>
        <w:jc w:val="both"/>
        <w:ind w:left="500"/>
        <w:spacing w:after="0" w:line="251" w:lineRule="auto"/>
        <w:rPr>
          <w:sz w:val="20"/>
          <w:szCs w:val="20"/>
          <w:color w:val="auto"/>
        </w:rPr>
      </w:pPr>
      <w:r>
        <w:rPr>
          <w:rFonts w:ascii="Arial" w:cs="Arial" w:eastAsia="Arial" w:hAnsi="Arial"/>
          <w:sz w:val="18"/>
          <w:szCs w:val="18"/>
          <w:color w:val="auto"/>
        </w:rPr>
        <w:t>During 2019, we completed the acquisitions of various licensees, primarily in North America, for approximately $55 million, plus $27 million for acquired fleet, of which $74 million was paid in 2019 and the remaining purchase price was primarily paid in 2020. These investments were in-line with our strategy to re-acquire licensees when advantageous to expand our footprint of Company-operated locations. The acquired fleet was financed under our existing financing arrangements. The excess of the purchase price over preliminary fair value of net assets acquired was allocated to goodwill, which was assigned to our Americas reportable segment. In connection with these acquisitions, approximately $21 million was recorded in goodwill, other intangibles of $24 million related to license agreements and $ 7 million related to customer relationships. The license agreements and customer relationships are being amortized over a weighted average useful life of approximately three years. The goodwill is expected to be deductible for tax purposes. Differences between the preliminary allocation of purchase price and the final allocation were not material for Avis and Budget Licensees.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Intangible Assets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consisted of:</w:t>
      </w:r>
    </w:p>
    <w:p>
      <w:pPr>
        <w:spacing w:after="0" w:line="32" w:lineRule="exact"/>
        <w:rPr>
          <w:sz w:val="20"/>
          <w:szCs w:val="20"/>
          <w:color w:val="auto"/>
        </w:rPr>
      </w:pPr>
    </w:p>
    <w:tbl>
      <w:tblPr>
        <w:tblLayout w:type="fixed"/>
        <w:tblInd w:w="520" w:type="dxa"/>
        <w:tblCellMar>
          <w:top w:w="0" w:type="dxa"/>
          <w:left w:w="0" w:type="dxa"/>
          <w:bottom w:w="0" w:type="dxa"/>
          <w:right w:w="0" w:type="dxa"/>
        </w:tblCellMar>
      </w:tblPr>
      <w:tr>
        <w:trPr>
          <w:trHeight w:val="218"/>
        </w:trPr>
        <w:tc>
          <w:tcPr>
            <w:tcW w:w="2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6"/>
                <w:szCs w:val="16"/>
                <w:b w:val="1"/>
                <w:bCs w:val="1"/>
                <w:color w:val="auto"/>
              </w:rPr>
              <w:t>As of December 31, 2021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6"/>
                <w:szCs w:val="16"/>
                <w:b w:val="1"/>
                <w:bCs w:val="1"/>
                <w:color w:val="auto"/>
              </w:rPr>
              <w:t>As of December 31, 2020</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Accumulated</w:t>
            </w:r>
          </w:p>
        </w:tc>
        <w:tc>
          <w:tcPr>
            <w:tcW w:w="11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rPr>
              <w:t>Net Carrying</w:t>
            </w:r>
          </w:p>
        </w:tc>
        <w:tc>
          <w:tcPr>
            <w:tcW w:w="160" w:type="dxa"/>
            <w:vAlign w:val="bottom"/>
          </w:tcPr>
          <w:p>
            <w:pPr>
              <w:spacing w:after="0"/>
              <w:rPr>
                <w:sz w:val="13"/>
                <w:szCs w:val="13"/>
                <w:color w:val="auto"/>
              </w:rPr>
            </w:pPr>
          </w:p>
        </w:tc>
        <w:tc>
          <w:tcPr>
            <w:tcW w:w="92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Accumulated</w:t>
            </w: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5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191"/>
        </w:trPr>
        <w:tc>
          <w:tcPr>
            <w:tcW w:w="2560" w:type="dxa"/>
            <w:vAlign w:val="bottom"/>
          </w:tcPr>
          <w:p>
            <w:pPr>
              <w:spacing w:after="0"/>
              <w:rPr>
                <w:sz w:val="20"/>
                <w:szCs w:val="20"/>
                <w:color w:val="auto"/>
              </w:rPr>
            </w:pPr>
            <w:r>
              <w:rPr>
                <w:rFonts w:ascii="Arial" w:cs="Arial" w:eastAsia="Arial" w:hAnsi="Arial"/>
                <w:sz w:val="16"/>
                <w:szCs w:val="16"/>
                <w:i w:val="1"/>
                <w:iCs w:val="1"/>
                <w:color w:val="auto"/>
              </w:rPr>
              <w:t>Amortized Intangible Assets</w:t>
            </w: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560" w:type="dxa"/>
            <w:vAlign w:val="bottom"/>
          </w:tcPr>
          <w:p>
            <w:pPr>
              <w:spacing w:after="0" w:line="235" w:lineRule="exact"/>
              <w:rPr>
                <w:sz w:val="20"/>
                <w:szCs w:val="20"/>
                <w:color w:val="auto"/>
              </w:rPr>
            </w:pPr>
            <w:r>
              <w:rPr>
                <w:rFonts w:ascii="Arial" w:cs="Arial" w:eastAsia="Arial" w:hAnsi="Arial"/>
                <w:sz w:val="16"/>
                <w:szCs w:val="16"/>
                <w:color w:val="auto"/>
              </w:rPr>
              <w:t xml:space="preserve">License agreements </w:t>
            </w:r>
            <w:r>
              <w:rPr>
                <w:rFonts w:ascii="Arial" w:cs="Arial" w:eastAsia="Arial" w:hAnsi="Arial"/>
                <w:sz w:val="21"/>
                <w:szCs w:val="21"/>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6"/>
        </w:trPr>
        <w:tc>
          <w:tcPr>
            <w:tcW w:w="2560" w:type="dxa"/>
            <w:vAlign w:val="bottom"/>
          </w:tcPr>
          <w:p>
            <w:pPr>
              <w:spacing w:after="0" w:line="216" w:lineRule="exact"/>
              <w:rPr>
                <w:sz w:val="20"/>
                <w:szCs w:val="20"/>
                <w:color w:val="auto"/>
              </w:rPr>
            </w:pPr>
            <w:r>
              <w:rPr>
                <w:rFonts w:ascii="Arial" w:cs="Arial" w:eastAsia="Arial" w:hAnsi="Arial"/>
                <w:sz w:val="16"/>
                <w:szCs w:val="16"/>
                <w:color w:val="auto"/>
              </w:rPr>
              <w:t xml:space="preserve">Customer relationships </w:t>
            </w:r>
            <w:r>
              <w:rPr>
                <w:rFonts w:ascii="Arial" w:cs="Arial" w:eastAsia="Arial" w:hAnsi="Arial"/>
                <w:sz w:val="21"/>
                <w:szCs w:val="21"/>
                <w:color w:val="auto"/>
                <w:vertAlign w:val="superscript"/>
              </w:rPr>
              <w:t>(b)</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3"/>
        </w:trPr>
        <w:tc>
          <w:tcPr>
            <w:tcW w:w="2560" w:type="dxa"/>
            <w:vAlign w:val="bottom"/>
          </w:tcPr>
          <w:p>
            <w:pPr>
              <w:spacing w:after="0" w:line="204"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(c)</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606</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602</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7"/>
        </w:trPr>
        <w:tc>
          <w:tcPr>
            <w:tcW w:w="2560" w:type="dxa"/>
            <w:vAlign w:val="bottom"/>
            <w:vMerge w:val="restart"/>
          </w:tcPr>
          <w:p>
            <w:pPr>
              <w:spacing w:after="0"/>
              <w:rPr>
                <w:sz w:val="20"/>
                <w:szCs w:val="20"/>
                <w:color w:val="auto"/>
              </w:rPr>
            </w:pPr>
            <w:r>
              <w:rPr>
                <w:rFonts w:ascii="Arial" w:cs="Arial" w:eastAsia="Arial" w:hAnsi="Arial"/>
                <w:sz w:val="16"/>
                <w:szCs w:val="16"/>
                <w:i w:val="1"/>
                <w:iCs w:val="1"/>
                <w:color w:val="auto"/>
              </w:rPr>
              <w:t>Unamortized Intangible Assets</w:t>
            </w:r>
          </w:p>
        </w:tc>
        <w:tc>
          <w:tcPr>
            <w:tcW w:w="16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2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560" w:type="dxa"/>
            <w:vAlign w:val="bottom"/>
          </w:tcPr>
          <w:p>
            <w:pPr>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560" w:type="dxa"/>
            <w:vAlign w:val="bottom"/>
          </w:tcPr>
          <w:p>
            <w:pPr>
              <w:spacing w:after="0"/>
              <w:rPr>
                <w:sz w:val="20"/>
                <w:szCs w:val="20"/>
                <w:color w:val="auto"/>
              </w:rPr>
            </w:pPr>
            <w:r>
              <w:rPr>
                <w:rFonts w:ascii="Arial" w:cs="Arial" w:eastAsia="Arial" w:hAnsi="Arial"/>
                <w:sz w:val="16"/>
                <w:szCs w:val="16"/>
                <w:color w:val="auto"/>
              </w:rPr>
              <w:t>Trademarks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w:t>
      </w:r>
    </w:p>
    <w:p>
      <w:pPr>
        <w:ind w:left="820" w:hanging="326"/>
        <w:spacing w:after="0" w:line="187" w:lineRule="auto"/>
        <w:tabs>
          <w:tab w:leader="none" w:pos="820"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Primarily amortized over a period ranging from 0 to 40 years with a weighted average life of 16 years.</w:t>
      </w:r>
    </w:p>
    <w:p>
      <w:pPr>
        <w:ind w:left="820" w:hanging="326"/>
        <w:spacing w:after="0" w:line="187" w:lineRule="auto"/>
        <w:tabs>
          <w:tab w:leader="none" w:pos="82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Primarily amortized over a period ranging from 3 to 20 years with a weighted average life of 12 years.</w:t>
      </w:r>
    </w:p>
    <w:p>
      <w:pPr>
        <w:ind w:left="800" w:hanging="306"/>
        <w:spacing w:after="0" w:line="189" w:lineRule="auto"/>
        <w:tabs>
          <w:tab w:leader="none" w:pos="800"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Primarily amortized over a period ranging from 2 to 10 years with a weighted average life of 9 years.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relating to all intangible assets was as follows:</w:t>
      </w:r>
    </w:p>
    <w:p>
      <w:pPr>
        <w:spacing w:after="0" w:line="28"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55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5540" w:type="dxa"/>
            <w:vAlign w:val="bottom"/>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License agreements</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5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Based on our amortizable intangible assets at December 31, 2021, we expect related amortization expense of approximately $47 million for 2022, $28 million for 2023, $23 million for 2024, $16 million for 2025 and $15 million for 2026 excluding effects of currency exchange rates.</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of goodwill and related changes are as follows:</w:t>
      </w:r>
    </w:p>
    <w:p>
      <w:pPr>
        <w:spacing w:after="0" w:line="28"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5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Americas</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International</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Total Company</w:t>
            </w:r>
          </w:p>
        </w:tc>
      </w:tr>
      <w:tr>
        <w:trPr>
          <w:trHeight w:val="425"/>
        </w:trPr>
        <w:tc>
          <w:tcPr>
            <w:tcW w:w="5540" w:type="dxa"/>
            <w:vAlign w:val="bottom"/>
          </w:tcPr>
          <w:p>
            <w:pPr>
              <w:spacing w:after="0"/>
              <w:rPr>
                <w:sz w:val="20"/>
                <w:szCs w:val="20"/>
                <w:color w:val="auto"/>
              </w:rPr>
            </w:pPr>
            <w:r>
              <w:rPr>
                <w:rFonts w:ascii="Arial" w:cs="Arial" w:eastAsia="Arial" w:hAnsi="Arial"/>
                <w:sz w:val="18"/>
                <w:szCs w:val="18"/>
                <w:color w:val="auto"/>
              </w:rPr>
              <w:t>Goodwill as of January 1, 2020</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2,141</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120" w:type="dxa"/>
            <w:vAlign w:val="bottom"/>
          </w:tcPr>
          <w:p>
            <w:pPr>
              <w:spacing w:after="0"/>
              <w:rPr>
                <w:sz w:val="24"/>
                <w:szCs w:val="24"/>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3,219</w:t>
            </w:r>
          </w:p>
        </w:tc>
      </w:tr>
      <w:tr>
        <w:trPr>
          <w:trHeight w:val="229"/>
        </w:trPr>
        <w:tc>
          <w:tcPr>
            <w:tcW w:w="5540" w:type="dxa"/>
            <w:vAlign w:val="bottom"/>
          </w:tcPr>
          <w:p>
            <w:pPr>
              <w:ind w:left="200"/>
              <w:spacing w:after="0"/>
              <w:rPr>
                <w:sz w:val="20"/>
                <w:szCs w:val="20"/>
                <w:color w:val="auto"/>
              </w:rPr>
            </w:pPr>
            <w:r>
              <w:rPr>
                <w:rFonts w:ascii="Arial" w:cs="Arial" w:eastAsia="Arial" w:hAnsi="Arial"/>
                <w:sz w:val="18"/>
                <w:szCs w:val="18"/>
                <w:color w:val="auto"/>
              </w:rPr>
              <w:t>Accumulated impairment losses as of January 1, 2020</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Goodwill as of January 1, 2020</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1,101</w:t>
            </w:r>
          </w:p>
        </w:tc>
      </w:tr>
      <w:tr>
        <w:trPr>
          <w:trHeight w:val="229"/>
        </w:trPr>
        <w:tc>
          <w:tcPr>
            <w:tcW w:w="5540" w:type="dxa"/>
            <w:vAlign w:val="bottom"/>
          </w:tcPr>
          <w:p>
            <w:pPr>
              <w:ind w:left="200"/>
              <w:spacing w:after="0"/>
              <w:rPr>
                <w:sz w:val="20"/>
                <w:szCs w:val="20"/>
                <w:color w:val="auto"/>
              </w:rPr>
            </w:pPr>
            <w:r>
              <w:rPr>
                <w:rFonts w:ascii="Arial" w:cs="Arial" w:eastAsia="Arial" w:hAnsi="Arial"/>
                <w:sz w:val="18"/>
                <w:szCs w:val="18"/>
                <w:color w:val="auto"/>
              </w:rPr>
              <w:t>Currency translation adjustments and other</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Goodwill as of December 31, 2020</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1,137</w:t>
            </w:r>
          </w:p>
        </w:tc>
      </w:tr>
      <w:tr>
        <w:trPr>
          <w:trHeight w:val="229"/>
        </w:trPr>
        <w:tc>
          <w:tcPr>
            <w:tcW w:w="5540" w:type="dxa"/>
            <w:vAlign w:val="bottom"/>
          </w:tcPr>
          <w:p>
            <w:pPr>
              <w:ind w:left="200"/>
              <w:spacing w:after="0"/>
              <w:rPr>
                <w:sz w:val="20"/>
                <w:szCs w:val="20"/>
                <w:color w:val="auto"/>
              </w:rPr>
            </w:pPr>
            <w:r>
              <w:rPr>
                <w:rFonts w:ascii="Arial" w:cs="Arial" w:eastAsia="Arial" w:hAnsi="Arial"/>
                <w:sz w:val="18"/>
                <w:szCs w:val="18"/>
                <w:color w:val="auto"/>
              </w:rPr>
              <w:t>Currency translation adjustments and other</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Goodwill as of December 31, 2021</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w:t>
            </w:r>
          </w:p>
        </w:tc>
      </w:tr>
      <w:tr>
        <w:trPr>
          <w:trHeight w:val="21"/>
        </w:trPr>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360" w:hanging="352"/>
        <w:spacing w:after="0"/>
        <w:tabs>
          <w:tab w:leader="none" w:pos="3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vehicles, net within assets under vehicle programs are as follows:</w:t>
      </w:r>
    </w:p>
    <w:p>
      <w:pPr>
        <w:spacing w:after="0" w:line="190"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5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ind w:left="36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Rental vehicles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14,612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Vehicles held for sale</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Vehicles, net</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120" w:type="dxa"/>
            <w:vAlign w:val="bottom"/>
            <w:gridSpan w:val="4"/>
            <w:vMerge w:val="restart"/>
          </w:tcPr>
          <w:p>
            <w:pPr>
              <w:spacing w:after="0"/>
              <w:rPr>
                <w:sz w:val="20"/>
                <w:szCs w:val="20"/>
                <w:color w:val="auto"/>
              </w:rPr>
            </w:pPr>
            <w:r>
              <w:rPr>
                <w:rFonts w:ascii="Arial" w:cs="Arial" w:eastAsia="Arial" w:hAnsi="Arial"/>
                <w:sz w:val="18"/>
                <w:szCs w:val="18"/>
                <w:color w:val="auto"/>
              </w:rPr>
              <w:t>The components of vehicle depreciation and lease charges, net are summarized below:</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12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5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Depreciation expense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Lease charges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(Gain) loss on sale of vehicles, net</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Vehicle depreciation and lease charges,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At December 31, 2021, 2020 and 2019, we had payables related to vehicle purchases included in liabilities under vehicle programs - other of $142 million, $232 million and $418 million, respectively, and receivables related to vehicle sales included in assets under vehicle programs - receivables from vehicle manufacturers and other of $134 million, $162 million and $576 million,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40" w:type="dxa"/>
            <w:vAlign w:val="bottom"/>
          </w:tcPr>
          <w:p>
            <w:pPr>
              <w:spacing w:after="0"/>
              <w:rPr>
                <w:sz w:val="20"/>
                <w:szCs w:val="20"/>
                <w:color w:val="auto"/>
              </w:rPr>
            </w:pPr>
            <w:r>
              <w:rPr>
                <w:rFonts w:ascii="Arial" w:cs="Arial" w:eastAsia="Arial" w:hAnsi="Arial"/>
                <w:sz w:val="18"/>
                <w:szCs w:val="18"/>
                <w:b w:val="1"/>
                <w:bCs w:val="1"/>
                <w:color w:val="auto"/>
              </w:rPr>
              <w:t>9.  Income Taxes</w:t>
            </w: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240" w:type="dxa"/>
            <w:vAlign w:val="bottom"/>
          </w:tcPr>
          <w:p>
            <w:pPr>
              <w:ind w:left="500"/>
              <w:spacing w:after="0"/>
              <w:rPr>
                <w:sz w:val="20"/>
                <w:szCs w:val="20"/>
                <w:color w:val="auto"/>
              </w:rPr>
            </w:pPr>
            <w:r>
              <w:rPr>
                <w:rFonts w:ascii="Arial" w:cs="Arial" w:eastAsia="Arial" w:hAnsi="Arial"/>
                <w:sz w:val="18"/>
                <w:szCs w:val="18"/>
                <w:color w:val="auto"/>
              </w:rPr>
              <w:t>The provision for (benefit from) income taxes consists of the following:</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24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24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Current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720"/>
              <w:spacing w:after="0"/>
              <w:rPr>
                <w:sz w:val="20"/>
                <w:szCs w:val="20"/>
                <w:color w:val="auto"/>
              </w:rPr>
            </w:pPr>
            <w:r>
              <w:rPr>
                <w:rFonts w:ascii="Arial" w:cs="Arial" w:eastAsia="Arial" w:hAnsi="Arial"/>
                <w:sz w:val="18"/>
                <w:szCs w:val="18"/>
                <w:color w:val="auto"/>
              </w:rPr>
              <w:t>Federal</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6240" w:type="dxa"/>
            <w:vAlign w:val="bottom"/>
          </w:tcPr>
          <w:p>
            <w:pPr>
              <w:ind w:left="720"/>
              <w:spacing w:after="0"/>
              <w:rPr>
                <w:sz w:val="20"/>
                <w:szCs w:val="20"/>
                <w:color w:val="auto"/>
              </w:rPr>
            </w:pPr>
            <w:r>
              <w:rPr>
                <w:rFonts w:ascii="Arial" w:cs="Arial" w:eastAsia="Arial" w:hAnsi="Arial"/>
                <w:sz w:val="18"/>
                <w:szCs w:val="18"/>
                <w:color w:val="auto"/>
              </w:rPr>
              <w:t>State</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6240" w:type="dxa"/>
            <w:vAlign w:val="bottom"/>
          </w:tcPr>
          <w:p>
            <w:pPr>
              <w:ind w:left="720"/>
              <w:spacing w:after="0"/>
              <w:rPr>
                <w:sz w:val="20"/>
                <w:szCs w:val="20"/>
                <w:color w:val="auto"/>
              </w:rPr>
            </w:pPr>
            <w:r>
              <w:rPr>
                <w:rFonts w:ascii="Arial" w:cs="Arial" w:eastAsia="Arial" w:hAnsi="Arial"/>
                <w:sz w:val="18"/>
                <w:szCs w:val="18"/>
                <w:color w:val="auto"/>
              </w:rPr>
              <w:t>Foreign</w:t>
            </w: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6240" w:type="dxa"/>
            <w:vAlign w:val="bottom"/>
          </w:tcPr>
          <w:p>
            <w:pPr>
              <w:ind w:left="720"/>
              <w:spacing w:after="0"/>
              <w:rPr>
                <w:sz w:val="20"/>
                <w:szCs w:val="20"/>
                <w:color w:val="auto"/>
              </w:rPr>
            </w:pPr>
            <w:r>
              <w:rPr>
                <w:rFonts w:ascii="Arial" w:cs="Arial" w:eastAsia="Arial" w:hAnsi="Arial"/>
                <w:sz w:val="18"/>
                <w:szCs w:val="18"/>
                <w:color w:val="auto"/>
              </w:rPr>
              <w:t>Current income tax provision</w:t>
            </w: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425"/>
        </w:trPr>
        <w:tc>
          <w:tcPr>
            <w:tcW w:w="6240" w:type="dxa"/>
            <w:vAlign w:val="bottom"/>
          </w:tcPr>
          <w:p>
            <w:pPr>
              <w:ind w:left="520"/>
              <w:spacing w:after="0"/>
              <w:rPr>
                <w:sz w:val="20"/>
                <w:szCs w:val="20"/>
                <w:color w:val="auto"/>
              </w:rPr>
            </w:pPr>
            <w:r>
              <w:rPr>
                <w:rFonts w:ascii="Arial" w:cs="Arial" w:eastAsia="Arial" w:hAnsi="Arial"/>
                <w:sz w:val="18"/>
                <w:szCs w:val="18"/>
                <w:b w:val="1"/>
                <w:bCs w:val="1"/>
                <w:color w:val="auto"/>
              </w:rPr>
              <w:t>Deferred</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720"/>
              <w:spacing w:after="0"/>
              <w:rPr>
                <w:sz w:val="20"/>
                <w:szCs w:val="20"/>
                <w:color w:val="auto"/>
              </w:rPr>
            </w:pPr>
            <w:r>
              <w:rPr>
                <w:rFonts w:ascii="Arial" w:cs="Arial" w:eastAsia="Arial" w:hAnsi="Arial"/>
                <w:sz w:val="18"/>
                <w:szCs w:val="18"/>
                <w:color w:val="auto"/>
              </w:rPr>
              <w:t>Federal</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6240" w:type="dxa"/>
            <w:vAlign w:val="bottom"/>
          </w:tcPr>
          <w:p>
            <w:pPr>
              <w:ind w:left="720"/>
              <w:spacing w:after="0"/>
              <w:rPr>
                <w:sz w:val="20"/>
                <w:szCs w:val="20"/>
                <w:color w:val="auto"/>
              </w:rPr>
            </w:pPr>
            <w:r>
              <w:rPr>
                <w:rFonts w:ascii="Arial" w:cs="Arial" w:eastAsia="Arial" w:hAnsi="Arial"/>
                <w:sz w:val="18"/>
                <w:szCs w:val="18"/>
                <w:color w:val="auto"/>
              </w:rPr>
              <w:t>State</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6240" w:type="dxa"/>
            <w:vAlign w:val="bottom"/>
          </w:tcPr>
          <w:p>
            <w:pPr>
              <w:ind w:left="720"/>
              <w:spacing w:after="0"/>
              <w:rPr>
                <w:sz w:val="20"/>
                <w:szCs w:val="20"/>
                <w:color w:val="auto"/>
              </w:rPr>
            </w:pPr>
            <w:r>
              <w:rPr>
                <w:rFonts w:ascii="Arial" w:cs="Arial" w:eastAsia="Arial" w:hAnsi="Arial"/>
                <w:sz w:val="18"/>
                <w:szCs w:val="18"/>
                <w:color w:val="auto"/>
              </w:rPr>
              <w:t>Foreign</w:t>
            </w: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6240" w:type="dxa"/>
            <w:vAlign w:val="bottom"/>
          </w:tcPr>
          <w:p>
            <w:pPr>
              <w:ind w:left="720"/>
              <w:spacing w:after="0"/>
              <w:rPr>
                <w:sz w:val="20"/>
                <w:szCs w:val="20"/>
                <w:color w:val="auto"/>
              </w:rPr>
            </w:pPr>
            <w:r>
              <w:rPr>
                <w:rFonts w:ascii="Arial" w:cs="Arial" w:eastAsia="Arial" w:hAnsi="Arial"/>
                <w:sz w:val="18"/>
                <w:szCs w:val="18"/>
                <w:color w:val="auto"/>
              </w:rPr>
              <w:t>Deferred income tax provision (benefit)</w:t>
            </w: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6240" w:type="dxa"/>
            <w:vAlign w:val="bottom"/>
          </w:tcPr>
          <w:p>
            <w:pPr>
              <w:ind w:left="520"/>
              <w:spacing w:after="0"/>
              <w:rPr>
                <w:sz w:val="20"/>
                <w:szCs w:val="20"/>
                <w:color w:val="auto"/>
              </w:rPr>
            </w:pPr>
            <w:r>
              <w:rPr>
                <w:rFonts w:ascii="Arial" w:cs="Arial" w:eastAsia="Arial" w:hAnsi="Arial"/>
                <w:sz w:val="18"/>
                <w:szCs w:val="18"/>
                <w:color w:val="auto"/>
              </w:rPr>
              <w:t>Provision for (benefit from) income taxes</w:t>
            </w: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Pretax income (loss) for domestic and foreign operations consists of the following: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8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r>
      <w:tr>
        <w:trPr>
          <w:trHeight w:val="223"/>
        </w:trPr>
        <w:tc>
          <w:tcPr>
            <w:tcW w:w="38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19"/>
                <w:szCs w:val="19"/>
                <w:color w:val="auto"/>
              </w:rPr>
            </w:pPr>
          </w:p>
        </w:tc>
      </w:tr>
      <w:tr>
        <w:trPr>
          <w:trHeight w:val="223"/>
        </w:trPr>
        <w:tc>
          <w:tcPr>
            <w:tcW w:w="3800" w:type="dxa"/>
            <w:vAlign w:val="bottom"/>
          </w:tcPr>
          <w:p>
            <w:pPr>
              <w:ind w:left="520"/>
              <w:spacing w:after="0"/>
              <w:rPr>
                <w:sz w:val="20"/>
                <w:szCs w:val="20"/>
                <w:color w:val="auto"/>
              </w:rPr>
            </w:pPr>
            <w:r>
              <w:rPr>
                <w:rFonts w:ascii="Arial" w:cs="Arial" w:eastAsia="Arial" w:hAnsi="Arial"/>
                <w:sz w:val="18"/>
                <w:szCs w:val="18"/>
                <w:color w:val="auto"/>
              </w:rPr>
              <w:t>United States</w:t>
            </w:r>
          </w:p>
        </w:tc>
        <w:tc>
          <w:tcPr>
            <w:tcW w:w="2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125</w:t>
            </w:r>
          </w:p>
        </w:tc>
        <w:tc>
          <w:tcPr>
            <w:tcW w:w="580" w:type="dxa"/>
            <w:vAlign w:val="bottom"/>
          </w:tcPr>
          <w:p>
            <w:pPr>
              <w:spacing w:after="0"/>
              <w:rPr>
                <w:sz w:val="19"/>
                <w:szCs w:val="19"/>
                <w:color w:val="auto"/>
              </w:rPr>
            </w:pPr>
          </w:p>
        </w:tc>
      </w:tr>
      <w:tr>
        <w:trPr>
          <w:trHeight w:val="229"/>
        </w:trPr>
        <w:tc>
          <w:tcPr>
            <w:tcW w:w="3800" w:type="dxa"/>
            <w:vAlign w:val="bottom"/>
          </w:tcPr>
          <w:p>
            <w:pPr>
              <w:ind w:left="520"/>
              <w:spacing w:after="0"/>
              <w:rPr>
                <w:sz w:val="20"/>
                <w:szCs w:val="20"/>
                <w:color w:val="auto"/>
              </w:rPr>
            </w:pPr>
            <w:r>
              <w:rPr>
                <w:rFonts w:ascii="Arial" w:cs="Arial" w:eastAsia="Arial" w:hAnsi="Arial"/>
                <w:sz w:val="18"/>
                <w:szCs w:val="18"/>
                <w:color w:val="auto"/>
              </w:rPr>
              <w:t>Foreign</w:t>
            </w:r>
          </w:p>
        </w:tc>
        <w:tc>
          <w:tcPr>
            <w:tcW w:w="2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580" w:type="dxa"/>
            <w:vAlign w:val="bottom"/>
          </w:tcPr>
          <w:p>
            <w:pPr>
              <w:spacing w:after="0"/>
              <w:rPr>
                <w:sz w:val="19"/>
                <w:szCs w:val="19"/>
                <w:color w:val="auto"/>
              </w:rPr>
            </w:pPr>
          </w:p>
        </w:tc>
      </w:tr>
      <w:tr>
        <w:trPr>
          <w:trHeight w:val="223"/>
        </w:trPr>
        <w:tc>
          <w:tcPr>
            <w:tcW w:w="3800" w:type="dxa"/>
            <w:vAlign w:val="bottom"/>
          </w:tcPr>
          <w:p>
            <w:pPr>
              <w:ind w:left="520"/>
              <w:spacing w:after="0"/>
              <w:rPr>
                <w:sz w:val="20"/>
                <w:szCs w:val="20"/>
                <w:color w:val="auto"/>
              </w:rPr>
            </w:pPr>
            <w:r>
              <w:rPr>
                <w:rFonts w:ascii="Arial" w:cs="Arial" w:eastAsia="Arial" w:hAnsi="Arial"/>
                <w:sz w:val="18"/>
                <w:szCs w:val="18"/>
                <w:color w:val="auto"/>
              </w:rPr>
              <w:t>Pretax income (loss)</w:t>
            </w:r>
          </w:p>
        </w:tc>
        <w:tc>
          <w:tcPr>
            <w:tcW w:w="2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287</w:t>
            </w:r>
          </w:p>
        </w:tc>
        <w:tc>
          <w:tcPr>
            <w:tcW w:w="580" w:type="dxa"/>
            <w:vAlign w:val="bottom"/>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898"/>
        </w:trPr>
        <w:tc>
          <w:tcPr>
            <w:tcW w:w="3800" w:type="dxa"/>
            <w:vAlign w:val="bottom"/>
          </w:tcPr>
          <w:p>
            <w:pPr>
              <w:spacing w:after="0"/>
              <w:rPr>
                <w:sz w:val="24"/>
                <w:szCs w:val="24"/>
                <w:color w:val="auto"/>
              </w:rPr>
            </w:pPr>
          </w:p>
        </w:tc>
        <w:tc>
          <w:tcPr>
            <w:tcW w:w="2740" w:type="dxa"/>
            <w:vAlign w:val="bottom"/>
            <w:gridSpan w:val="2"/>
          </w:tcPr>
          <w:p>
            <w:pPr>
              <w:jc w:val="right"/>
              <w:ind w:right="740"/>
              <w:spacing w:after="0"/>
              <w:rPr>
                <w:sz w:val="20"/>
                <w:szCs w:val="20"/>
                <w:color w:val="auto"/>
              </w:rPr>
            </w:pPr>
            <w:r>
              <w:rPr>
                <w:rFonts w:ascii="Arial" w:cs="Arial" w:eastAsia="Arial" w:hAnsi="Arial"/>
                <w:sz w:val="18"/>
                <w:szCs w:val="18"/>
                <w:color w:val="auto"/>
              </w:rPr>
              <w:t>F-28</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380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7220" w:type="dxa"/>
            <w:vAlign w:val="bottom"/>
          </w:tcPr>
          <w:p>
            <w:pPr>
              <w:spacing w:after="0"/>
              <w:rPr>
                <w:sz w:val="20"/>
                <w:szCs w:val="20"/>
                <w:color w:val="auto"/>
              </w:rPr>
            </w:pPr>
            <w:r>
              <w:rPr>
                <w:rFonts w:ascii="Arial" w:cs="Arial" w:eastAsia="Arial" w:hAnsi="Arial"/>
                <w:sz w:val="18"/>
                <w:szCs w:val="18"/>
                <w:color w:val="auto"/>
              </w:rPr>
              <w:t>Deferred income tax assets and liabilities are comprised of the following:</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2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Deferred income tax assets: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72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220"/>
              <w:spacing w:after="0"/>
              <w:rPr>
                <w:sz w:val="20"/>
                <w:szCs w:val="20"/>
                <w:color w:val="auto"/>
              </w:rPr>
            </w:pPr>
            <w:r>
              <w:rPr>
                <w:rFonts w:ascii="Arial" w:cs="Arial" w:eastAsia="Arial" w:hAnsi="Arial"/>
                <w:sz w:val="18"/>
                <w:szCs w:val="18"/>
                <w:color w:val="auto"/>
              </w:rPr>
              <w:t>Net tax loss carryforwards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29"/>
        </w:trPr>
        <w:tc>
          <w:tcPr>
            <w:tcW w:w="7220" w:type="dxa"/>
            <w:vAlign w:val="bottom"/>
          </w:tcPr>
          <w:p>
            <w:pPr>
              <w:ind w:left="220"/>
              <w:spacing w:after="0"/>
              <w:rPr>
                <w:sz w:val="20"/>
                <w:szCs w:val="20"/>
                <w:color w:val="auto"/>
              </w:rPr>
            </w:pPr>
            <w:r>
              <w:rPr>
                <w:rFonts w:ascii="Arial" w:cs="Arial" w:eastAsia="Arial" w:hAnsi="Arial"/>
                <w:sz w:val="18"/>
                <w:szCs w:val="18"/>
                <w:color w:val="auto"/>
              </w:rPr>
              <w:t>Long-term operating lease liabilities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29"/>
        </w:trPr>
        <w:tc>
          <w:tcPr>
            <w:tcW w:w="7220" w:type="dxa"/>
            <w:vAlign w:val="bottom"/>
          </w:tcPr>
          <w:p>
            <w:pPr>
              <w:ind w:left="220"/>
              <w:spacing w:after="0"/>
              <w:rPr>
                <w:sz w:val="20"/>
                <w:szCs w:val="20"/>
                <w:color w:val="auto"/>
              </w:rPr>
            </w:pPr>
            <w:r>
              <w:rPr>
                <w:rFonts w:ascii="Arial" w:cs="Arial" w:eastAsia="Arial" w:hAnsi="Arial"/>
                <w:sz w:val="18"/>
                <w:szCs w:val="18"/>
                <w:color w:val="auto"/>
              </w:rPr>
              <w:t>Accrued liabilities and deferred revenue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0"/>
        </w:trPr>
        <w:tc>
          <w:tcPr>
            <w:tcW w:w="7220" w:type="dxa"/>
            <w:vAlign w:val="bottom"/>
          </w:tcPr>
          <w:p>
            <w:pPr>
              <w:ind w:left="220"/>
              <w:spacing w:after="0"/>
              <w:rPr>
                <w:sz w:val="20"/>
                <w:szCs w:val="20"/>
                <w:color w:val="auto"/>
              </w:rPr>
            </w:pPr>
            <w:r>
              <w:rPr>
                <w:rFonts w:ascii="Arial" w:cs="Arial" w:eastAsia="Arial" w:hAnsi="Arial"/>
                <w:sz w:val="18"/>
                <w:szCs w:val="18"/>
                <w:color w:val="auto"/>
              </w:rPr>
              <w:t>Tax credits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72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7220" w:type="dxa"/>
            <w:vAlign w:val="bottom"/>
          </w:tcPr>
          <w:p>
            <w:pPr>
              <w:ind w:left="220"/>
              <w:spacing w:after="0"/>
              <w:rPr>
                <w:sz w:val="20"/>
                <w:szCs w:val="20"/>
                <w:color w:val="auto"/>
              </w:rPr>
            </w:pPr>
            <w:r>
              <w:rPr>
                <w:rFonts w:ascii="Arial" w:cs="Arial" w:eastAsia="Arial" w:hAnsi="Arial"/>
                <w:sz w:val="18"/>
                <w:szCs w:val="18"/>
                <w:color w:val="auto"/>
              </w:rPr>
              <w:t>Provision for doubtful accounts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7220" w:type="dxa"/>
            <w:vAlign w:val="bottom"/>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722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Valuation allowance </w:t>
            </w:r>
            <w:r>
              <w:rPr>
                <w:rFonts w:ascii="Arial" w:cs="Arial" w:eastAsia="Arial" w:hAnsi="Arial"/>
                <w:sz w:val="23"/>
                <w:szCs w:val="23"/>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color w:val="auto"/>
              </w:rPr>
              <w:t>Deferred income tax assets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372"/>
        </w:trPr>
        <w:tc>
          <w:tcPr>
            <w:tcW w:w="7220" w:type="dxa"/>
            <w:vAlign w:val="bottom"/>
          </w:tcPr>
          <w:p>
            <w:pPr>
              <w:ind w:left="20"/>
              <w:spacing w:after="0"/>
              <w:rPr>
                <w:sz w:val="20"/>
                <w:szCs w:val="20"/>
                <w:color w:val="auto"/>
              </w:rPr>
            </w:pPr>
            <w:r>
              <w:rPr>
                <w:rFonts w:ascii="Arial" w:cs="Arial" w:eastAsia="Arial" w:hAnsi="Arial"/>
                <w:sz w:val="18"/>
                <w:szCs w:val="18"/>
                <w:i w:val="1"/>
                <w:iCs w:val="1"/>
                <w:color w:val="auto"/>
              </w:rPr>
              <w:t>Deferred income tax liabilities: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220" w:type="dxa"/>
            <w:vAlign w:val="bottom"/>
          </w:tcPr>
          <w:p>
            <w:pPr>
              <w:ind w:left="2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29"/>
        </w:trPr>
        <w:tc>
          <w:tcPr>
            <w:tcW w:w="72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7220" w:type="dxa"/>
            <w:vAlign w:val="bottom"/>
          </w:tcPr>
          <w:p>
            <w:pPr>
              <w:ind w:left="22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7220" w:type="dxa"/>
            <w:vAlign w:val="bottom"/>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Deferred income tax assets,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
        </w:trPr>
        <w:tc>
          <w:tcPr>
            <w:tcW w:w="7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33" w:lineRule="exact"/>
        <w:rPr>
          <w:sz w:val="20"/>
          <w:szCs w:val="20"/>
          <w:color w:val="auto"/>
        </w:rPr>
      </w:pPr>
    </w:p>
    <w:p>
      <w:pPr>
        <w:jc w:val="both"/>
        <w:ind w:left="820" w:hanging="326"/>
        <w:spacing w:after="0" w:line="214" w:lineRule="auto"/>
        <w:tabs>
          <w:tab w:leader="none" w:pos="858" w:val="left"/>
        </w:tabs>
        <w:numPr>
          <w:ilvl w:val="0"/>
          <w:numId w:val="40"/>
        </w:numPr>
        <w:rPr>
          <w:rFonts w:ascii="Arial" w:cs="Arial" w:eastAsia="Arial" w:hAnsi="Arial"/>
          <w:sz w:val="21"/>
          <w:szCs w:val="21"/>
          <w:color w:val="auto"/>
          <w:vertAlign w:val="superscript"/>
        </w:rPr>
      </w:pPr>
      <w:r>
        <w:rPr>
          <w:rFonts w:ascii="Arial" w:cs="Arial" w:eastAsia="Arial" w:hAnsi="Arial"/>
          <w:sz w:val="14"/>
          <w:szCs w:val="14"/>
          <w:color w:val="auto"/>
        </w:rPr>
        <w:t>The valuation allowance of $167 million at December 31, 2021 relates to tax loss carryforwards and certain deferred tax assets of $163 million and $4 million, respectively. The valuation allowance will be reduced when and if we determine it is more likely than not that the related deferred income tax assets will be realized. The valuation allowance of $204 million at December 31, 2020 relates to tax loss carryforwards and certain deferred tax assets of $195 million and $9 million, respectively. The valuation allowance will be reduced when and if we determine it is more likely than not that the related deferred income tax assets will be realized. The decrease in valuation allowance as compared to the year ended December 31, 2020 relates to the expiration of certain federal net operating loss carryforwards for which the deferred income tax asset was not more likely than not to be realized. As of December 31, 2021, the net operating loss deferred tax asset and corresponding valuation allowance were reduced.</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income tax assets and liabilities related to vehicle programs are comprised of the following:</w:t>
      </w:r>
    </w:p>
    <w:p>
      <w:pPr>
        <w:spacing w:after="0" w:line="271"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7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200" w:type="dxa"/>
            <w:vAlign w:val="bottom"/>
            <w:vMerge w:val="restart"/>
          </w:tcPr>
          <w:p>
            <w:pPr>
              <w:spacing w:after="0"/>
              <w:rPr>
                <w:sz w:val="20"/>
                <w:szCs w:val="20"/>
                <w:color w:val="auto"/>
              </w:rPr>
            </w:pPr>
            <w:r>
              <w:rPr>
                <w:rFonts w:ascii="Arial" w:cs="Arial" w:eastAsia="Arial" w:hAnsi="Arial"/>
                <w:sz w:val="18"/>
                <w:szCs w:val="18"/>
                <w:i w:val="1"/>
                <w:iCs w:val="1"/>
                <w:color w:val="auto"/>
              </w:rPr>
              <w:t>Deferred income tax assets: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72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7200" w:type="dxa"/>
            <w:vAlign w:val="bottom"/>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Deferred income tax assets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425"/>
        </w:trPr>
        <w:tc>
          <w:tcPr>
            <w:tcW w:w="7200" w:type="dxa"/>
            <w:vAlign w:val="bottom"/>
          </w:tcPr>
          <w:p>
            <w:pPr>
              <w:spacing w:after="0"/>
              <w:rPr>
                <w:sz w:val="20"/>
                <w:szCs w:val="20"/>
                <w:color w:val="auto"/>
              </w:rPr>
            </w:pPr>
            <w:r>
              <w:rPr>
                <w:rFonts w:ascii="Arial" w:cs="Arial" w:eastAsia="Arial" w:hAnsi="Arial"/>
                <w:sz w:val="18"/>
                <w:szCs w:val="18"/>
                <w:i w:val="1"/>
                <w:iCs w:val="1"/>
                <w:color w:val="auto"/>
              </w:rPr>
              <w:t>Deferred income tax liabilities: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29"/>
        </w:trPr>
        <w:tc>
          <w:tcPr>
            <w:tcW w:w="7200" w:type="dxa"/>
            <w:vAlign w:val="bottom"/>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b w:val="1"/>
                <w:bCs w:val="1"/>
                <w:color w:val="auto"/>
              </w:rPr>
              <w:t>Deferred income tax liabilities under vehicle programs,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At December 31, 2021, we had U.S. federal net operating loss carryforwards of approximately $5.1 billion. The majority of the net operating loss carryforwards have an indefinite utilization period pursuant to the Tax Act and a significant remaining portion expires by 2031. Such net operating loss carryforwards are primarily related to accelerated depreciation of our U.S. vehicles. Currently, we do not record valuation allowances on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the majority of our U.S. federal tax loss carryforwards as there are adequate deferred tax liabilities that could be realized within the carryforward period. At December 31, 2021, we had foreign net operating loss carryforwards of approximately $1.2 billion, the majority of which has an indefinite utilization period.</w:t>
      </w:r>
    </w:p>
    <w:p>
      <w:pPr>
        <w:spacing w:after="0" w:line="148"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At December 31, 2021, we had undistributed earnings of certain foreign subsidiaries of approximately $1.0 billion that we have indefinitely reinvested, and on which we have not recognized deferred taxes. Estimating the amount of potential tax is not practicable because of the complexity and variety of assumptions necessary to compute the tax.</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reconciliation between the U.S. federal income tax statutory rate and our effective income tax rate is as follows:</w:t>
      </w:r>
    </w:p>
    <w:p>
      <w:pPr>
        <w:spacing w:after="0" w:line="28"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5460" w:type="dxa"/>
            <w:vAlign w:val="bottom"/>
          </w:tcPr>
          <w:p>
            <w:pPr>
              <w:spacing w:after="0"/>
              <w:rPr>
                <w:sz w:val="20"/>
                <w:szCs w:val="20"/>
                <w:color w:val="auto"/>
              </w:rPr>
            </w:pPr>
          </w:p>
        </w:tc>
        <w:tc>
          <w:tcPr>
            <w:tcW w:w="3580" w:type="dxa"/>
            <w:vAlign w:val="bottom"/>
            <w:tcBorders>
              <w:bottom w:val="single" w:sz="8" w:color="auto"/>
            </w:tcBorders>
            <w:gridSpan w:val="5"/>
          </w:tcPr>
          <w:p>
            <w:pPr>
              <w:ind w:left="124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5460" w:type="dxa"/>
            <w:vAlign w:val="bottom"/>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U.S. federal statutory rate</w:t>
            </w:r>
          </w:p>
        </w:tc>
        <w:tc>
          <w:tcPr>
            <w:tcW w:w="148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5460" w:type="dxa"/>
            <w:vAlign w:val="bottom"/>
          </w:tcPr>
          <w:p>
            <w:pPr>
              <w:spacing w:after="0"/>
              <w:rPr>
                <w:sz w:val="20"/>
                <w:szCs w:val="20"/>
                <w:color w:val="auto"/>
              </w:rPr>
            </w:pPr>
            <w:r>
              <w:rPr>
                <w:rFonts w:ascii="Arial" w:cs="Arial" w:eastAsia="Arial" w:hAnsi="Arial"/>
                <w:sz w:val="18"/>
                <w:szCs w:val="18"/>
                <w:color w:val="auto"/>
              </w:rPr>
              <w:t>Adjustments to reconcile to the effective rate:</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460" w:type="dxa"/>
            <w:vAlign w:val="bottom"/>
          </w:tcPr>
          <w:p>
            <w:pPr>
              <w:ind w:left="180"/>
              <w:spacing w:after="0"/>
              <w:rPr>
                <w:sz w:val="20"/>
                <w:szCs w:val="20"/>
                <w:color w:val="auto"/>
              </w:rPr>
            </w:pPr>
            <w:r>
              <w:rPr>
                <w:rFonts w:ascii="Arial" w:cs="Arial" w:eastAsia="Arial" w:hAnsi="Arial"/>
                <w:sz w:val="18"/>
                <w:szCs w:val="18"/>
                <w:color w:val="auto"/>
              </w:rPr>
              <w:t>State and local income taxes, net of federal tax benefits</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(1.7)</w:t>
            </w:r>
          </w:p>
        </w:tc>
      </w:tr>
      <w:tr>
        <w:trPr>
          <w:trHeight w:val="229"/>
        </w:trPr>
        <w:tc>
          <w:tcPr>
            <w:tcW w:w="5460" w:type="dxa"/>
            <w:vAlign w:val="bottom"/>
          </w:tcPr>
          <w:p>
            <w:pPr>
              <w:ind w:left="180"/>
              <w:spacing w:after="0"/>
              <w:rPr>
                <w:sz w:val="20"/>
                <w:szCs w:val="20"/>
                <w:color w:val="auto"/>
              </w:rPr>
            </w:pPr>
            <w:r>
              <w:rPr>
                <w:rFonts w:ascii="Arial" w:cs="Arial" w:eastAsia="Arial" w:hAnsi="Arial"/>
                <w:sz w:val="18"/>
                <w:szCs w:val="18"/>
                <w:color w:val="auto"/>
              </w:rPr>
              <w:t>Changes in valuation allowances</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00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(26.9)</w:t>
            </w:r>
          </w:p>
        </w:tc>
      </w:tr>
      <w:tr>
        <w:trPr>
          <w:trHeight w:val="188"/>
        </w:trPr>
        <w:tc>
          <w:tcPr>
            <w:tcW w:w="5460" w:type="dxa"/>
            <w:vAlign w:val="bottom"/>
          </w:tcPr>
          <w:p>
            <w:pPr>
              <w:ind w:left="180"/>
              <w:spacing w:after="0" w:line="189" w:lineRule="exact"/>
              <w:rPr>
                <w:sz w:val="20"/>
                <w:szCs w:val="20"/>
                <w:color w:val="auto"/>
              </w:rPr>
            </w:pPr>
            <w:r>
              <w:rPr>
                <w:rFonts w:ascii="Arial" w:cs="Arial" w:eastAsia="Arial" w:hAnsi="Arial"/>
                <w:sz w:val="18"/>
                <w:szCs w:val="18"/>
                <w:color w:val="auto"/>
              </w:rPr>
              <w:t>Taxes on foreign operations at rates different than U.S. federal</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5460" w:type="dxa"/>
            <w:vAlign w:val="bottom"/>
          </w:tcPr>
          <w:p>
            <w:pPr>
              <w:ind w:left="340"/>
              <w:spacing w:after="0"/>
              <w:rPr>
                <w:sz w:val="20"/>
                <w:szCs w:val="20"/>
                <w:color w:val="auto"/>
              </w:rPr>
            </w:pPr>
            <w:r>
              <w:rPr>
                <w:rFonts w:ascii="Arial" w:cs="Arial" w:eastAsia="Arial" w:hAnsi="Arial"/>
                <w:sz w:val="18"/>
                <w:szCs w:val="18"/>
                <w:color w:val="auto"/>
              </w:rPr>
              <w:t>statutory rates</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3.4</w:t>
            </w:r>
          </w:p>
        </w:tc>
      </w:tr>
      <w:tr>
        <w:trPr>
          <w:trHeight w:val="230"/>
        </w:trPr>
        <w:tc>
          <w:tcPr>
            <w:tcW w:w="546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5460" w:type="dxa"/>
            <w:vAlign w:val="bottom"/>
          </w:tcPr>
          <w:p>
            <w:pPr>
              <w:ind w:left="180"/>
              <w:spacing w:after="0"/>
              <w:rPr>
                <w:sz w:val="20"/>
                <w:szCs w:val="20"/>
                <w:color w:val="auto"/>
              </w:rPr>
            </w:pPr>
            <w:r>
              <w:rPr>
                <w:rFonts w:ascii="Arial" w:cs="Arial" w:eastAsia="Arial" w:hAnsi="Arial"/>
                <w:sz w:val="18"/>
                <w:szCs w:val="18"/>
                <w:color w:val="auto"/>
              </w:rPr>
              <w:t>Other non-deductible (non-taxable) items</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(1.4)</w:t>
            </w:r>
          </w:p>
        </w:tc>
      </w:tr>
      <w:tr>
        <w:trPr>
          <w:trHeight w:val="229"/>
        </w:trPr>
        <w:tc>
          <w:tcPr>
            <w:tcW w:w="5460" w:type="dxa"/>
            <w:vAlign w:val="bottom"/>
          </w:tcPr>
          <w:p>
            <w:pPr>
              <w:ind w:left="180"/>
              <w:spacing w:after="0"/>
              <w:rPr>
                <w:sz w:val="20"/>
                <w:szCs w:val="20"/>
                <w:color w:val="auto"/>
              </w:rPr>
            </w:pPr>
            <w:r>
              <w:rPr>
                <w:rFonts w:ascii="Arial" w:cs="Arial" w:eastAsia="Arial" w:hAnsi="Arial"/>
                <w:sz w:val="18"/>
                <w:szCs w:val="18"/>
                <w:color w:val="auto"/>
              </w:rPr>
              <w:t>Other</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00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0.4</w:t>
            </w:r>
          </w:p>
        </w:tc>
      </w:tr>
      <w:tr>
        <w:trPr>
          <w:trHeight w:val="223"/>
        </w:trPr>
        <w:tc>
          <w:tcPr>
            <w:tcW w:w="546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24.9 %</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28.4 %</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54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tabular reconciliation of the gross amount of unrecognized tax benefits for the year:</w:t>
      </w:r>
    </w:p>
    <w:p>
      <w:pPr>
        <w:spacing w:after="0" w:line="28"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5720" w:type="dxa"/>
            <w:vAlign w:val="bottom"/>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Balance, January 1</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5720" w:type="dxa"/>
            <w:vAlign w:val="bottom"/>
          </w:tcPr>
          <w:p>
            <w:pPr>
              <w:ind w:left="200"/>
              <w:spacing w:after="0"/>
              <w:rPr>
                <w:sz w:val="20"/>
                <w:szCs w:val="20"/>
                <w:color w:val="auto"/>
              </w:rPr>
            </w:pPr>
            <w:r>
              <w:rPr>
                <w:rFonts w:ascii="Arial" w:cs="Arial" w:eastAsia="Arial" w:hAnsi="Arial"/>
                <w:sz w:val="18"/>
                <w:szCs w:val="18"/>
                <w:color w:val="auto"/>
              </w:rPr>
              <w:t>Additions for tax positions related to current year</w:t>
            </w: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5720" w:type="dxa"/>
            <w:vAlign w:val="bottom"/>
          </w:tcPr>
          <w:p>
            <w:pPr>
              <w:ind w:left="200"/>
              <w:spacing w:after="0"/>
              <w:rPr>
                <w:sz w:val="20"/>
                <w:szCs w:val="20"/>
                <w:color w:val="auto"/>
              </w:rPr>
            </w:pPr>
            <w:r>
              <w:rPr>
                <w:rFonts w:ascii="Arial" w:cs="Arial" w:eastAsia="Arial" w:hAnsi="Arial"/>
                <w:sz w:val="18"/>
                <w:szCs w:val="18"/>
                <w:color w:val="auto"/>
              </w:rPr>
              <w:t>Additions for tax positions for prior years</w:t>
            </w: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20" w:type="dxa"/>
            <w:vAlign w:val="bottom"/>
          </w:tcPr>
          <w:p>
            <w:pPr>
              <w:ind w:left="200"/>
              <w:spacing w:after="0"/>
              <w:rPr>
                <w:sz w:val="20"/>
                <w:szCs w:val="20"/>
                <w:color w:val="auto"/>
              </w:rPr>
            </w:pPr>
            <w:r>
              <w:rPr>
                <w:rFonts w:ascii="Arial" w:cs="Arial" w:eastAsia="Arial" w:hAnsi="Arial"/>
                <w:sz w:val="18"/>
                <w:szCs w:val="18"/>
                <w:color w:val="auto"/>
              </w:rPr>
              <w:t>Reductions for tax positions for prior years</w:t>
            </w: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720" w:type="dxa"/>
            <w:vAlign w:val="bottom"/>
          </w:tcPr>
          <w:p>
            <w:pPr>
              <w:ind w:left="200"/>
              <w:spacing w:after="0"/>
              <w:rPr>
                <w:sz w:val="20"/>
                <w:szCs w:val="20"/>
                <w:color w:val="auto"/>
              </w:rPr>
            </w:pPr>
            <w:r>
              <w:rPr>
                <w:rFonts w:ascii="Arial" w:cs="Arial" w:eastAsia="Arial" w:hAnsi="Arial"/>
                <w:sz w:val="18"/>
                <w:szCs w:val="18"/>
                <w:color w:val="auto"/>
              </w:rPr>
              <w:t>Settlements</w:t>
            </w:r>
          </w:p>
        </w:tc>
        <w:tc>
          <w:tcPr>
            <w:tcW w:w="10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720" w:type="dxa"/>
            <w:vAlign w:val="bottom"/>
          </w:tcPr>
          <w:p>
            <w:pPr>
              <w:ind w:left="200"/>
              <w:spacing w:after="0"/>
              <w:rPr>
                <w:sz w:val="20"/>
                <w:szCs w:val="20"/>
                <w:color w:val="auto"/>
              </w:rPr>
            </w:pPr>
            <w:r>
              <w:rPr>
                <w:rFonts w:ascii="Arial" w:cs="Arial" w:eastAsia="Arial" w:hAnsi="Arial"/>
                <w:sz w:val="18"/>
                <w:szCs w:val="18"/>
                <w:color w:val="auto"/>
              </w:rPr>
              <w:t>Statute of limitations</w:t>
            </w:r>
          </w:p>
        </w:tc>
        <w:tc>
          <w:tcPr>
            <w:tcW w:w="10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720" w:type="dxa"/>
            <w:vAlign w:val="bottom"/>
          </w:tcPr>
          <w:p>
            <w:pPr>
              <w:ind w:left="200"/>
              <w:spacing w:after="0"/>
              <w:rPr>
                <w:sz w:val="20"/>
                <w:szCs w:val="20"/>
                <w:color w:val="auto"/>
              </w:rPr>
            </w:pPr>
            <w:r>
              <w:rPr>
                <w:rFonts w:ascii="Arial" w:cs="Arial" w:eastAsia="Arial" w:hAnsi="Arial"/>
                <w:sz w:val="18"/>
                <w:szCs w:val="18"/>
                <w:color w:val="auto"/>
              </w:rPr>
              <w:t>Foreign currency translation</w:t>
            </w:r>
          </w:p>
        </w:tc>
        <w:tc>
          <w:tcPr>
            <w:tcW w:w="10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Balance, December 31</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5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anticipate that total unrecognized tax benefits will change significantly in 2022.</w:t>
      </w:r>
    </w:p>
    <w:p>
      <w:pPr>
        <w:spacing w:after="0" w:line="171"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We are subject to taxation in the United States and various foreign jurisdictions. As of December 31, 2021, the 2007 through 2020 tax years generally remain subject to examination by the federal tax authorities. The 2012 through 2020 tax years generally remain subject to examination by various state tax authorities. In significant foreign jurisdictions, the 2012 through 2020 tax years generally remain subject to examination by their respective tax authorities.</w:t>
      </w:r>
    </w:p>
    <w:p>
      <w:pPr>
        <w:spacing w:after="0" w:line="150"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Substantially all of the gross amount of the unrecognized tax benefits at December 31, 2021, 2020 and 2019, if recognized, would affect our provision for, or benefit from, income taxes. As of December 31, 2021, our unrecognized tax benefits were offset by tax loss carryforwards and other deferred tax assets in the amount of $33 million.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7220" w:type="dxa"/>
            <w:vAlign w:val="bottom"/>
          </w:tcPr>
          <w:p>
            <w:pPr>
              <w:spacing w:after="0"/>
              <w:rPr>
                <w:sz w:val="20"/>
                <w:szCs w:val="20"/>
                <w:color w:val="auto"/>
              </w:rPr>
            </w:pPr>
            <w:r>
              <w:rPr>
                <w:rFonts w:ascii="Arial" w:cs="Arial" w:eastAsia="Arial" w:hAnsi="Arial"/>
                <w:sz w:val="18"/>
                <w:szCs w:val="18"/>
                <w:color w:val="auto"/>
              </w:rPr>
              <w:t>The following table presents unrecognized tax benefits:</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418"/>
        </w:trPr>
        <w:tc>
          <w:tcPr>
            <w:tcW w:w="7220" w:type="dxa"/>
            <w:vAlign w:val="bottom"/>
          </w:tcPr>
          <w:p>
            <w:pPr>
              <w:spacing w:after="0"/>
              <w:rPr>
                <w:sz w:val="24"/>
                <w:szCs w:val="24"/>
                <w:color w:val="auto"/>
              </w:rPr>
            </w:pPr>
          </w:p>
        </w:tc>
        <w:tc>
          <w:tcPr>
            <w:tcW w:w="254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As of December 31,</w:t>
            </w:r>
          </w:p>
        </w:tc>
        <w:tc>
          <w:tcPr>
            <w:tcW w:w="400" w:type="dxa"/>
            <w:vAlign w:val="bottom"/>
            <w:tcBorders>
              <w:bottom w:val="single" w:sz="8" w:color="auto"/>
            </w:tcBorders>
          </w:tcPr>
          <w:p>
            <w:pPr>
              <w:spacing w:after="0"/>
              <w:rPr>
                <w:sz w:val="24"/>
                <w:szCs w:val="24"/>
                <w:color w:val="auto"/>
              </w:rPr>
            </w:pPr>
          </w:p>
        </w:tc>
      </w:tr>
      <w:tr>
        <w:trPr>
          <w:trHeight w:val="223"/>
        </w:trPr>
        <w:tc>
          <w:tcPr>
            <w:tcW w:w="7220" w:type="dxa"/>
            <w:vAlign w:val="bottom"/>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19"/>
                <w:szCs w:val="19"/>
                <w:color w:val="auto"/>
              </w:rPr>
            </w:pPr>
          </w:p>
        </w:tc>
      </w:tr>
      <w:tr>
        <w:trPr>
          <w:trHeight w:val="225"/>
        </w:trPr>
        <w:tc>
          <w:tcPr>
            <w:tcW w:w="722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Unrecognized tax benefit in non-current income taxes payable </w:t>
            </w:r>
            <w:r>
              <w:rPr>
                <w:rFonts w:ascii="Arial" w:cs="Arial" w:eastAsia="Arial" w:hAnsi="Arial"/>
                <w:sz w:val="23"/>
                <w:szCs w:val="23"/>
                <w:color w:val="auto"/>
                <w:vertAlign w:val="superscript"/>
              </w:rPr>
              <w:t>(a)</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99"/>
        </w:trPr>
        <w:tc>
          <w:tcPr>
            <w:tcW w:w="7220" w:type="dxa"/>
            <w:vAlign w:val="bottom"/>
          </w:tcPr>
          <w:p>
            <w:pPr>
              <w:ind w:left="20"/>
              <w:spacing w:after="0"/>
              <w:rPr>
                <w:sz w:val="20"/>
                <w:szCs w:val="20"/>
                <w:color w:val="auto"/>
              </w:rPr>
            </w:pPr>
            <w:r>
              <w:rPr>
                <w:rFonts w:ascii="Arial" w:cs="Arial" w:eastAsia="Arial" w:hAnsi="Arial"/>
                <w:sz w:val="18"/>
                <w:szCs w:val="18"/>
                <w:color w:val="auto"/>
              </w:rPr>
              <w:t xml:space="preserve">Accrued interest payable on potential tax liabilities </w:t>
            </w:r>
            <w:r>
              <w:rPr>
                <w:rFonts w:ascii="Arial" w:cs="Arial" w:eastAsia="Arial" w:hAnsi="Arial"/>
                <w:sz w:val="23"/>
                <w:szCs w:val="23"/>
                <w:color w:val="auto"/>
                <w:vertAlign w:val="superscript"/>
              </w:rPr>
              <w:t>(b)</w:t>
            </w:r>
          </w:p>
        </w:tc>
        <w:tc>
          <w:tcPr>
            <w:tcW w:w="10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jc w:val="both"/>
        <w:ind w:left="820" w:hanging="326"/>
        <w:spacing w:after="0" w:line="215" w:lineRule="auto"/>
        <w:tabs>
          <w:tab w:leader="none" w:pos="813" w:val="left"/>
        </w:tabs>
        <w:numPr>
          <w:ilvl w:val="1"/>
          <w:numId w:val="41"/>
        </w:numPr>
        <w:rPr>
          <w:rFonts w:ascii="Arial" w:cs="Arial" w:eastAsia="Arial" w:hAnsi="Arial"/>
          <w:sz w:val="19"/>
          <w:szCs w:val="19"/>
          <w:color w:val="auto"/>
          <w:vertAlign w:val="superscript"/>
        </w:rPr>
      </w:pPr>
      <w:r>
        <w:rPr>
          <w:rFonts w:ascii="Arial" w:cs="Arial" w:eastAsia="Arial" w:hAnsi="Arial"/>
          <w:sz w:val="14"/>
          <w:szCs w:val="14"/>
          <w:color w:val="auto"/>
        </w:rPr>
        <w:t>Pursuant to the agreements governing the disposition of certain subsidiaries in 2006, we are entitled to indemnification for certain predisposition tax contingencies. As of December 31, 2021 and 2020, $13 million, respectively, of unrecognized tax benefits are related to tax contingencies for which we believe it is entitled to indemnification.</w:t>
      </w:r>
    </w:p>
    <w:p>
      <w:pPr>
        <w:spacing w:after="0" w:line="1" w:lineRule="exact"/>
        <w:rPr>
          <w:rFonts w:ascii="Arial" w:cs="Arial" w:eastAsia="Arial" w:hAnsi="Arial"/>
          <w:sz w:val="19"/>
          <w:szCs w:val="19"/>
          <w:color w:val="auto"/>
          <w:vertAlign w:val="superscript"/>
        </w:rPr>
      </w:pPr>
    </w:p>
    <w:p>
      <w:pPr>
        <w:jc w:val="both"/>
        <w:ind w:left="820" w:hanging="326"/>
        <w:spacing w:after="0" w:line="219" w:lineRule="auto"/>
        <w:tabs>
          <w:tab w:leader="none" w:pos="813" w:val="left"/>
        </w:tabs>
        <w:numPr>
          <w:ilvl w:val="1"/>
          <w:numId w:val="41"/>
        </w:numPr>
        <w:rPr>
          <w:rFonts w:ascii="Arial" w:cs="Arial" w:eastAsia="Arial" w:hAnsi="Arial"/>
          <w:sz w:val="19"/>
          <w:szCs w:val="19"/>
          <w:color w:val="auto"/>
          <w:vertAlign w:val="superscript"/>
        </w:rPr>
      </w:pPr>
      <w:r>
        <w:rPr>
          <w:rFonts w:ascii="Arial" w:cs="Arial" w:eastAsia="Arial" w:hAnsi="Arial"/>
          <w:sz w:val="14"/>
          <w:szCs w:val="14"/>
          <w:color w:val="auto"/>
        </w:rPr>
        <w:t>We recognize potential interest related to unrecognized tax benefits within interest expense related to corporate debt, net on the accompanying Consolidated Statements of Operations. Penalties incurred during the years ended December 31, 2021, 2020 and 2019, were not significant and were recognized as a component of the provision for income taxes</w:t>
      </w:r>
      <w:r>
        <w:rPr>
          <w:rFonts w:ascii="Arial" w:cs="Arial" w:eastAsia="Arial" w:hAnsi="Arial"/>
          <w:sz w:val="16"/>
          <w:szCs w:val="16"/>
          <w:color w:val="auto"/>
        </w:rPr>
        <w:t>.</w:t>
      </w:r>
    </w:p>
    <w:p>
      <w:pPr>
        <w:spacing w:after="0" w:line="214" w:lineRule="exact"/>
        <w:rPr>
          <w:rFonts w:ascii="Arial" w:cs="Arial" w:eastAsia="Arial" w:hAnsi="Arial"/>
          <w:sz w:val="19"/>
          <w:szCs w:val="19"/>
          <w:color w:val="auto"/>
          <w:vertAlign w:val="superscript"/>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20" w:type="dxa"/>
            <w:vAlign w:val="bottom"/>
          </w:tcPr>
          <w:p>
            <w:pPr>
              <w:ind w:left="500"/>
              <w:spacing w:after="0"/>
              <w:rPr>
                <w:sz w:val="20"/>
                <w:szCs w:val="20"/>
                <w:color w:val="auto"/>
              </w:rPr>
            </w:pPr>
            <w:r>
              <w:rPr>
                <w:rFonts w:ascii="Arial" w:cs="Arial" w:eastAsia="Arial" w:hAnsi="Arial"/>
                <w:sz w:val="18"/>
                <w:szCs w:val="18"/>
                <w:color w:val="auto"/>
              </w:rPr>
              <w:t>Other current assets consisted of:</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77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7720" w:type="dxa"/>
            <w:vAlign w:val="bottom"/>
          </w:tcPr>
          <w:p>
            <w:pPr>
              <w:ind w:left="520"/>
              <w:spacing w:after="0"/>
              <w:rPr>
                <w:sz w:val="20"/>
                <w:szCs w:val="20"/>
                <w:color w:val="auto"/>
              </w:rPr>
            </w:pPr>
            <w:r>
              <w:rPr>
                <w:rFonts w:ascii="Arial" w:cs="Arial" w:eastAsia="Arial" w:hAnsi="Arial"/>
                <w:sz w:val="18"/>
                <w:szCs w:val="18"/>
                <w:color w:val="auto"/>
              </w:rPr>
              <w:t>Sales and use taxes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7720" w:type="dxa"/>
            <w:vAlign w:val="bottom"/>
          </w:tcPr>
          <w:p>
            <w:pPr>
              <w:ind w:left="52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9"/>
        </w:trPr>
        <w:tc>
          <w:tcPr>
            <w:tcW w:w="7720" w:type="dxa"/>
            <w:vAlign w:val="bottom"/>
          </w:tcPr>
          <w:p>
            <w:pPr>
              <w:ind w:left="5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3"/>
        </w:trPr>
        <w:tc>
          <w:tcPr>
            <w:tcW w:w="7720" w:type="dxa"/>
            <w:vAlign w:val="bottom"/>
          </w:tcPr>
          <w:p>
            <w:pPr>
              <w:ind w:left="52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11.  Property and Equipment, net</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77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720" w:type="dxa"/>
            <w:vAlign w:val="bottom"/>
          </w:tcPr>
          <w:p>
            <w:pPr>
              <w:ind w:left="500"/>
              <w:spacing w:after="0"/>
              <w:rPr>
                <w:sz w:val="20"/>
                <w:szCs w:val="20"/>
                <w:color w:val="auto"/>
              </w:rPr>
            </w:pPr>
            <w:r>
              <w:rPr>
                <w:rFonts w:ascii="Arial" w:cs="Arial" w:eastAsia="Arial" w:hAnsi="Arial"/>
                <w:sz w:val="18"/>
                <w:szCs w:val="18"/>
                <w:color w:val="auto"/>
              </w:rPr>
              <w:t>Property and equipment, net consisted of:</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7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7720" w:type="dxa"/>
            <w:vAlign w:val="bottom"/>
          </w:tcPr>
          <w:p>
            <w:pPr>
              <w:ind w:left="520"/>
              <w:spacing w:after="0"/>
              <w:rPr>
                <w:sz w:val="20"/>
                <w:szCs w:val="20"/>
                <w:color w:val="auto"/>
              </w:rPr>
            </w:pPr>
            <w:r>
              <w:rPr>
                <w:rFonts w:ascii="Arial" w:cs="Arial" w:eastAsia="Arial" w:hAnsi="Arial"/>
                <w:sz w:val="18"/>
                <w:szCs w:val="18"/>
                <w:color w:val="auto"/>
              </w:rPr>
              <w:t>Land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7720" w:type="dxa"/>
            <w:vAlign w:val="bottom"/>
          </w:tcPr>
          <w:p>
            <w:pPr>
              <w:ind w:left="520"/>
              <w:spacing w:after="0"/>
              <w:rPr>
                <w:sz w:val="20"/>
                <w:szCs w:val="20"/>
                <w:color w:val="auto"/>
              </w:rPr>
            </w:pPr>
            <w:r>
              <w:rPr>
                <w:rFonts w:ascii="Arial" w:cs="Arial" w:eastAsia="Arial" w:hAnsi="Arial"/>
                <w:sz w:val="18"/>
                <w:szCs w:val="18"/>
                <w:color w:val="auto"/>
              </w:rPr>
              <w:t>Buildings and leasehold improvements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29"/>
        </w:trPr>
        <w:tc>
          <w:tcPr>
            <w:tcW w:w="7720" w:type="dxa"/>
            <w:vAlign w:val="bottom"/>
          </w:tcPr>
          <w:p>
            <w:pPr>
              <w:ind w:left="520"/>
              <w:spacing w:after="0"/>
              <w:rPr>
                <w:sz w:val="20"/>
                <w:szCs w:val="20"/>
                <w:color w:val="auto"/>
              </w:rPr>
            </w:pPr>
            <w:r>
              <w:rPr>
                <w:rFonts w:ascii="Arial" w:cs="Arial" w:eastAsia="Arial" w:hAnsi="Arial"/>
                <w:sz w:val="18"/>
                <w:szCs w:val="18"/>
                <w:color w:val="auto"/>
              </w:rPr>
              <w:t>Capitalized software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30"/>
        </w:trPr>
        <w:tc>
          <w:tcPr>
            <w:tcW w:w="7720" w:type="dxa"/>
            <w:vAlign w:val="bottom"/>
          </w:tcPr>
          <w:p>
            <w:pPr>
              <w:ind w:left="520"/>
              <w:spacing w:after="0"/>
              <w:rPr>
                <w:sz w:val="20"/>
                <w:szCs w:val="20"/>
                <w:color w:val="auto"/>
              </w:rPr>
            </w:pPr>
            <w:r>
              <w:rPr>
                <w:rFonts w:ascii="Arial" w:cs="Arial" w:eastAsia="Arial" w:hAnsi="Arial"/>
                <w:sz w:val="18"/>
                <w:szCs w:val="18"/>
                <w:color w:val="auto"/>
              </w:rPr>
              <w:t>Furniture, fixtures and equipment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30"/>
        </w:trPr>
        <w:tc>
          <w:tcPr>
            <w:tcW w:w="7720" w:type="dxa"/>
            <w:vAlign w:val="bottom"/>
          </w:tcPr>
          <w:p>
            <w:pPr>
              <w:ind w:left="520"/>
              <w:spacing w:after="0"/>
              <w:rPr>
                <w:sz w:val="20"/>
                <w:szCs w:val="20"/>
                <w:color w:val="auto"/>
              </w:rPr>
            </w:pPr>
            <w:r>
              <w:rPr>
                <w:rFonts w:ascii="Arial" w:cs="Arial" w:eastAsia="Arial" w:hAnsi="Arial"/>
                <w:sz w:val="18"/>
                <w:szCs w:val="18"/>
                <w:color w:val="auto"/>
              </w:rPr>
              <w:t>Projects in process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7720" w:type="dxa"/>
            <w:vAlign w:val="bottom"/>
          </w:tcPr>
          <w:p>
            <w:pPr>
              <w:ind w:left="520"/>
              <w:spacing w:after="0"/>
              <w:rPr>
                <w:sz w:val="20"/>
                <w:szCs w:val="20"/>
                <w:color w:val="auto"/>
              </w:rPr>
            </w:pPr>
            <w:r>
              <w:rPr>
                <w:rFonts w:ascii="Arial" w:cs="Arial" w:eastAsia="Arial" w:hAnsi="Arial"/>
                <w:sz w:val="18"/>
                <w:szCs w:val="18"/>
                <w:color w:val="auto"/>
              </w:rPr>
              <w:t>Buses and support vehicles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29"/>
        </w:trPr>
        <w:tc>
          <w:tcPr>
            <w:tcW w:w="7720" w:type="dxa"/>
            <w:vAlign w:val="bottom"/>
          </w:tcPr>
          <w:p>
            <w:pPr>
              <w:ind w:left="52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23"/>
        </w:trPr>
        <w:tc>
          <w:tcPr>
            <w:tcW w:w="7720" w:type="dxa"/>
            <w:vAlign w:val="bottom"/>
          </w:tcPr>
          <w:p>
            <w:pPr>
              <w:ind w:left="52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Depreciation and amortization expense relating to property and equipment during 2021, 2020 and 2019 was $205 million, $218 million and $204 million, respectively (including $105 million, $113 million and $109 million, respectively, of amortization expense relating to capitalized software). At December 31, 2021, we had payables related to property and equipment included in accounts payable and other current liabilities and in other non-current liabilities of $20 million and $2 million, respectively. At December 31, 2020, we had payables related to property and equipment included in accounts payable and other current liabilities and in other non-current liabilities of $10 million and $3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77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831"/>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12.  Accounts Payable and Other Current Liabilities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8"/>
        </w:trPr>
        <w:tc>
          <w:tcPr>
            <w:tcW w:w="7720" w:type="dxa"/>
            <w:vAlign w:val="bottom"/>
            <w:gridSpan w:val="2"/>
          </w:tcPr>
          <w:p>
            <w:pPr>
              <w:ind w:left="500"/>
              <w:spacing w:after="0"/>
              <w:rPr>
                <w:sz w:val="20"/>
                <w:szCs w:val="20"/>
                <w:color w:val="auto"/>
              </w:rPr>
            </w:pPr>
            <w:r>
              <w:rPr>
                <w:rFonts w:ascii="Arial" w:cs="Arial" w:eastAsia="Arial" w:hAnsi="Arial"/>
                <w:sz w:val="18"/>
                <w:szCs w:val="18"/>
                <w:color w:val="auto"/>
              </w:rPr>
              <w:t>Accounts payable and other current liabilities consisted of:</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6"/>
        </w:trPr>
        <w:tc>
          <w:tcPr>
            <w:tcW w:w="1400" w:type="dxa"/>
            <w:vAlign w:val="bottom"/>
          </w:tcPr>
          <w:p>
            <w:pPr>
              <w:spacing w:after="0"/>
              <w:rPr>
                <w:sz w:val="22"/>
                <w:szCs w:val="22"/>
                <w:color w:val="auto"/>
              </w:rPr>
            </w:pPr>
          </w:p>
        </w:tc>
        <w:tc>
          <w:tcPr>
            <w:tcW w:w="63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140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3"/>
        </w:trPr>
        <w:tc>
          <w:tcPr>
            <w:tcW w:w="7720" w:type="dxa"/>
            <w:vAlign w:val="bottom"/>
            <w:gridSpan w:val="2"/>
          </w:tcPr>
          <w:p>
            <w:pPr>
              <w:ind w:left="520"/>
              <w:spacing w:after="0"/>
              <w:rPr>
                <w:sz w:val="20"/>
                <w:szCs w:val="20"/>
                <w:color w:val="auto"/>
              </w:rPr>
            </w:pPr>
            <w:r>
              <w:rPr>
                <w:rFonts w:ascii="Arial" w:cs="Arial" w:eastAsia="Arial" w:hAnsi="Arial"/>
                <w:sz w:val="18"/>
                <w:szCs w:val="18"/>
                <w:color w:val="auto"/>
              </w:rPr>
              <w:t>Short-term operating lease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30"/>
        </w:trPr>
        <w:tc>
          <w:tcPr>
            <w:tcW w:w="7720" w:type="dxa"/>
            <w:vAlign w:val="bottom"/>
            <w:gridSpan w:val="2"/>
          </w:tcPr>
          <w:p>
            <w:pPr>
              <w:ind w:left="52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29"/>
        </w:trPr>
        <w:tc>
          <w:tcPr>
            <w:tcW w:w="7720" w:type="dxa"/>
            <w:vAlign w:val="bottom"/>
            <w:gridSpan w:val="2"/>
          </w:tcPr>
          <w:p>
            <w:pPr>
              <w:ind w:left="520"/>
              <w:spacing w:after="0"/>
              <w:rPr>
                <w:sz w:val="20"/>
                <w:szCs w:val="20"/>
                <w:color w:val="auto"/>
              </w:rPr>
            </w:pPr>
            <w:r>
              <w:rPr>
                <w:rFonts w:ascii="Arial" w:cs="Arial" w:eastAsia="Arial" w:hAnsi="Arial"/>
                <w:sz w:val="18"/>
                <w:szCs w:val="18"/>
                <w:color w:val="auto"/>
              </w:rPr>
              <w:t>Accrued sales and use taxes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30"/>
        </w:trPr>
        <w:tc>
          <w:tcPr>
            <w:tcW w:w="7720" w:type="dxa"/>
            <w:vAlign w:val="bottom"/>
            <w:gridSpan w:val="2"/>
          </w:tcPr>
          <w:p>
            <w:pPr>
              <w:ind w:left="520"/>
              <w:spacing w:after="0"/>
              <w:rPr>
                <w:sz w:val="20"/>
                <w:szCs w:val="20"/>
                <w:color w:val="auto"/>
              </w:rPr>
            </w:pPr>
            <w:r>
              <w:rPr>
                <w:rFonts w:ascii="Arial" w:cs="Arial" w:eastAsia="Arial" w:hAnsi="Arial"/>
                <w:sz w:val="18"/>
                <w:szCs w:val="18"/>
                <w:color w:val="auto"/>
              </w:rPr>
              <w:t>Accrued advertising and marketing</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7720" w:type="dxa"/>
            <w:vAlign w:val="bottom"/>
            <w:gridSpan w:val="2"/>
          </w:tcPr>
          <w:p>
            <w:pPr>
              <w:ind w:left="520"/>
              <w:spacing w:after="0"/>
              <w:rPr>
                <w:sz w:val="20"/>
                <w:szCs w:val="20"/>
                <w:color w:val="auto"/>
              </w:rPr>
            </w:pPr>
            <w:r>
              <w:rPr>
                <w:rFonts w:ascii="Arial" w:cs="Arial" w:eastAsia="Arial" w:hAnsi="Arial"/>
                <w:sz w:val="18"/>
                <w:szCs w:val="18"/>
                <w:color w:val="auto"/>
              </w:rPr>
              <w:t>Accrued payroll and related</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7720" w:type="dxa"/>
            <w:vAlign w:val="bottom"/>
            <w:gridSpan w:val="2"/>
          </w:tcPr>
          <w:p>
            <w:pPr>
              <w:ind w:left="520"/>
              <w:spacing w:after="0"/>
              <w:rPr>
                <w:sz w:val="20"/>
                <w:szCs w:val="20"/>
                <w:color w:val="auto"/>
              </w:rPr>
            </w:pPr>
            <w:r>
              <w:rPr>
                <w:rFonts w:ascii="Arial" w:cs="Arial" w:eastAsia="Arial" w:hAnsi="Arial"/>
                <w:sz w:val="18"/>
                <w:szCs w:val="18"/>
                <w:color w:val="auto"/>
              </w:rPr>
              <w:t>Deferred lease revenues – current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7720" w:type="dxa"/>
            <w:vAlign w:val="bottom"/>
            <w:gridSpan w:val="2"/>
          </w:tcPr>
          <w:p>
            <w:pPr>
              <w:ind w:left="520"/>
              <w:spacing w:after="0"/>
              <w:rPr>
                <w:sz w:val="20"/>
                <w:szCs w:val="20"/>
                <w:color w:val="auto"/>
              </w:rPr>
            </w:pPr>
            <w:r>
              <w:rPr>
                <w:rFonts w:ascii="Arial" w:cs="Arial" w:eastAsia="Arial" w:hAnsi="Arial"/>
                <w:sz w:val="18"/>
                <w:szCs w:val="18"/>
                <w:color w:val="auto"/>
              </w:rPr>
              <w:t>Public liability and property damage insurance liabilities – current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29"/>
        </w:trPr>
        <w:tc>
          <w:tcPr>
            <w:tcW w:w="7720" w:type="dxa"/>
            <w:vAlign w:val="bottom"/>
            <w:gridSpan w:val="2"/>
          </w:tcPr>
          <w:p>
            <w:pPr>
              <w:ind w:left="5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r>
      <w:tr>
        <w:trPr>
          <w:trHeight w:val="223"/>
        </w:trPr>
        <w:tc>
          <w:tcPr>
            <w:tcW w:w="7720" w:type="dxa"/>
            <w:vAlign w:val="bottom"/>
            <w:gridSpan w:val="2"/>
          </w:tcPr>
          <w:p>
            <w:pPr>
              <w:ind w:left="520"/>
              <w:spacing w:after="0"/>
              <w:rPr>
                <w:sz w:val="20"/>
                <w:szCs w:val="20"/>
                <w:color w:val="auto"/>
              </w:rPr>
            </w:pPr>
            <w:r>
              <w:rPr>
                <w:rFonts w:ascii="Arial" w:cs="Arial" w:eastAsia="Arial" w:hAnsi="Arial"/>
                <w:sz w:val="18"/>
                <w:szCs w:val="18"/>
                <w:color w:val="auto"/>
              </w:rPr>
              <w:t>Accounts payable and other current liabilities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w:t>
            </w:r>
          </w:p>
        </w:tc>
      </w:tr>
      <w:tr>
        <w:trPr>
          <w:trHeight w:val="20"/>
        </w:trPr>
        <w:tc>
          <w:tcPr>
            <w:tcW w:w="14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500" w:right="5660" w:hanging="492"/>
        <w:spacing w:after="0" w:line="417" w:lineRule="auto"/>
        <w:tabs>
          <w:tab w:leader="none" w:pos="464"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Long-term Corporate Debt and Borrowing Arrangements </w:t>
      </w:r>
      <w:r>
        <w:rPr>
          <w:rFonts w:ascii="Arial" w:cs="Arial" w:eastAsia="Arial" w:hAnsi="Arial"/>
          <w:sz w:val="17"/>
          <w:szCs w:val="17"/>
          <w:color w:val="auto"/>
        </w:rPr>
        <w:t>Long-term debt and other borrowing arrangements consisted of:</w:t>
      </w:r>
    </w:p>
    <w:tbl>
      <w:tblPr>
        <w:tblLayout w:type="fixed"/>
        <w:tblInd w:w="520" w:type="dxa"/>
        <w:tblCellMar>
          <w:top w:w="0" w:type="dxa"/>
          <w:left w:w="0" w:type="dxa"/>
          <w:bottom w:w="0" w:type="dxa"/>
          <w:right w:w="0" w:type="dxa"/>
        </w:tblCellMar>
      </w:tblPr>
      <w:tr>
        <w:trPr>
          <w:trHeight w:val="218"/>
        </w:trPr>
        <w:tc>
          <w:tcPr>
            <w:tcW w:w="5500" w:type="dxa"/>
            <w:vAlign w:val="bottom"/>
          </w:tcPr>
          <w:p>
            <w:pPr>
              <w:spacing w:after="0"/>
              <w:rPr>
                <w:sz w:val="18"/>
                <w:szCs w:val="18"/>
                <w:color w:val="auto"/>
              </w:rPr>
            </w:pPr>
          </w:p>
        </w:tc>
        <w:tc>
          <w:tcPr>
            <w:tcW w:w="172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Maturity</w:t>
            </w:r>
          </w:p>
        </w:tc>
        <w:tc>
          <w:tcPr>
            <w:tcW w:w="3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line="20" w:lineRule="exact"/>
              <w:rPr>
                <w:sz w:val="1"/>
                <w:szCs w:val="1"/>
                <w:color w:val="auto"/>
              </w:rPr>
            </w:pPr>
          </w:p>
        </w:tc>
      </w:tr>
      <w:tr>
        <w:trPr>
          <w:trHeight w:val="215"/>
        </w:trPr>
        <w:tc>
          <w:tcPr>
            <w:tcW w:w="5500" w:type="dxa"/>
            <w:vAlign w:val="bottom"/>
          </w:tcPr>
          <w:p>
            <w:pPr>
              <w:spacing w:after="0"/>
              <w:rPr>
                <w:sz w:val="18"/>
                <w:szCs w:val="18"/>
                <w:color w:val="auto"/>
              </w:rPr>
            </w:pPr>
          </w:p>
        </w:tc>
        <w:tc>
          <w:tcPr>
            <w:tcW w:w="16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Date</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00" w:type="dxa"/>
            <w:vAlign w:val="bottom"/>
          </w:tcPr>
          <w:p>
            <w:pPr>
              <w:ind w:left="80"/>
              <w:spacing w:after="0"/>
              <w:rPr>
                <w:sz w:val="20"/>
                <w:szCs w:val="20"/>
                <w:color w:val="auto"/>
              </w:rPr>
            </w:pPr>
            <w:r>
              <w:rPr>
                <w:rFonts w:ascii="Arial" w:cs="Arial" w:eastAsia="Arial" w:hAnsi="Arial"/>
                <w:sz w:val="16"/>
                <w:szCs w:val="16"/>
                <w:color w:val="auto"/>
              </w:rPr>
              <w:t>6.375% Senior Notes</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2024</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16"/>
        </w:trPr>
        <w:tc>
          <w:tcPr>
            <w:tcW w:w="5500" w:type="dxa"/>
            <w:vAlign w:val="bottom"/>
          </w:tcPr>
          <w:p>
            <w:pPr>
              <w:ind w:left="80"/>
              <w:spacing w:after="0"/>
              <w:rPr>
                <w:sz w:val="20"/>
                <w:szCs w:val="20"/>
                <w:color w:val="auto"/>
              </w:rPr>
            </w:pPr>
            <w:r>
              <w:rPr>
                <w:rFonts w:ascii="Arial" w:cs="Arial" w:eastAsia="Arial" w:hAnsi="Arial"/>
                <w:sz w:val="16"/>
                <w:szCs w:val="16"/>
                <w:color w:val="auto"/>
              </w:rPr>
              <w:t>4.125% euro-denominated Senior Notes</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2024</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16"/>
        </w:trPr>
        <w:tc>
          <w:tcPr>
            <w:tcW w:w="5500" w:type="dxa"/>
            <w:vAlign w:val="bottom"/>
          </w:tcPr>
          <w:p>
            <w:pPr>
              <w:ind w:left="80"/>
              <w:spacing w:after="0"/>
              <w:rPr>
                <w:sz w:val="20"/>
                <w:szCs w:val="20"/>
                <w:color w:val="auto"/>
              </w:rPr>
            </w:pPr>
            <w:r>
              <w:rPr>
                <w:rFonts w:ascii="Arial" w:cs="Arial" w:eastAsia="Arial" w:hAnsi="Arial"/>
                <w:sz w:val="16"/>
                <w:szCs w:val="16"/>
                <w:color w:val="auto"/>
              </w:rPr>
              <w:t>5.250% Senior Notes</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2025</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16"/>
        </w:trPr>
        <w:tc>
          <w:tcPr>
            <w:tcW w:w="5500" w:type="dxa"/>
            <w:vAlign w:val="bottom"/>
          </w:tcPr>
          <w:p>
            <w:pPr>
              <w:ind w:left="80"/>
              <w:spacing w:after="0"/>
              <w:rPr>
                <w:sz w:val="20"/>
                <w:szCs w:val="20"/>
                <w:color w:val="auto"/>
              </w:rPr>
            </w:pPr>
            <w:r>
              <w:rPr>
                <w:rFonts w:ascii="Arial" w:cs="Arial" w:eastAsia="Arial" w:hAnsi="Arial"/>
                <w:sz w:val="16"/>
                <w:szCs w:val="16"/>
                <w:color w:val="auto"/>
              </w:rPr>
              <w:t>4.500% euro-denominated Senior Notes</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May 2025</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10.500% Senior Secured Notes</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May 2025</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16"/>
        </w:trPr>
        <w:tc>
          <w:tcPr>
            <w:tcW w:w="5500" w:type="dxa"/>
            <w:vAlign w:val="bottom"/>
          </w:tcPr>
          <w:p>
            <w:pPr>
              <w:ind w:left="80"/>
              <w:spacing w:after="0"/>
              <w:rPr>
                <w:sz w:val="20"/>
                <w:szCs w:val="20"/>
                <w:color w:val="auto"/>
              </w:rPr>
            </w:pPr>
            <w:r>
              <w:rPr>
                <w:rFonts w:ascii="Arial" w:cs="Arial" w:eastAsia="Arial" w:hAnsi="Arial"/>
                <w:sz w:val="16"/>
                <w:szCs w:val="16"/>
                <w:color w:val="auto"/>
              </w:rPr>
              <w:t>4.750% euro-denominated Senior Notes</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2026</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16"/>
        </w:trPr>
        <w:tc>
          <w:tcPr>
            <w:tcW w:w="5500" w:type="dxa"/>
            <w:vAlign w:val="bottom"/>
          </w:tcPr>
          <w:p>
            <w:pPr>
              <w:ind w:left="80"/>
              <w:spacing w:after="0"/>
              <w:rPr>
                <w:sz w:val="20"/>
                <w:szCs w:val="20"/>
                <w:color w:val="auto"/>
              </w:rPr>
            </w:pPr>
            <w:r>
              <w:rPr>
                <w:rFonts w:ascii="Arial" w:cs="Arial" w:eastAsia="Arial" w:hAnsi="Arial"/>
                <w:sz w:val="16"/>
                <w:szCs w:val="16"/>
                <w:color w:val="auto"/>
              </w:rPr>
              <w:t>5.750% Senior Notes</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July 2027</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724</w:t>
            </w:r>
          </w:p>
        </w:tc>
        <w:tc>
          <w:tcPr>
            <w:tcW w:w="0" w:type="dxa"/>
            <w:vAlign w:val="bottom"/>
          </w:tcPr>
          <w:p>
            <w:pPr>
              <w:spacing w:after="0"/>
              <w:rPr>
                <w:sz w:val="1"/>
                <w:szCs w:val="1"/>
                <w:color w:val="auto"/>
              </w:rPr>
            </w:pPr>
          </w:p>
        </w:tc>
      </w:tr>
      <w:tr>
        <w:trPr>
          <w:trHeight w:val="216"/>
        </w:trPr>
        <w:tc>
          <w:tcPr>
            <w:tcW w:w="5500" w:type="dxa"/>
            <w:vAlign w:val="bottom"/>
          </w:tcPr>
          <w:p>
            <w:pPr>
              <w:ind w:left="80"/>
              <w:spacing w:after="0"/>
              <w:rPr>
                <w:sz w:val="20"/>
                <w:szCs w:val="20"/>
                <w:color w:val="auto"/>
              </w:rPr>
            </w:pPr>
            <w:r>
              <w:rPr>
                <w:rFonts w:ascii="Arial" w:cs="Arial" w:eastAsia="Arial" w:hAnsi="Arial"/>
                <w:sz w:val="16"/>
                <w:szCs w:val="16"/>
                <w:color w:val="auto"/>
              </w:rPr>
              <w:t>4.750% Senior Notes</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2028</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500" w:type="dxa"/>
            <w:vAlign w:val="bottom"/>
          </w:tcPr>
          <w:p>
            <w:pPr>
              <w:ind w:left="80"/>
              <w:spacing w:after="0"/>
              <w:rPr>
                <w:sz w:val="20"/>
                <w:szCs w:val="20"/>
                <w:color w:val="auto"/>
              </w:rPr>
            </w:pPr>
            <w:r>
              <w:rPr>
                <w:rFonts w:ascii="Arial" w:cs="Arial" w:eastAsia="Arial" w:hAnsi="Arial"/>
                <w:sz w:val="16"/>
                <w:szCs w:val="16"/>
                <w:color w:val="auto"/>
              </w:rPr>
              <w:t>5.375% Senior Notes</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2029</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5500" w:type="dxa"/>
            <w:vAlign w:val="bottom"/>
          </w:tcPr>
          <w:p>
            <w:pPr>
              <w:spacing w:after="0" w:line="221" w:lineRule="exact"/>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(a)</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August 2027</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r>
        <w:trPr>
          <w:trHeight w:val="232"/>
        </w:trPr>
        <w:tc>
          <w:tcPr>
            <w:tcW w:w="5500" w:type="dxa"/>
            <w:vAlign w:val="bottom"/>
          </w:tcPr>
          <w:p>
            <w:pPr>
              <w:spacing w:after="0" w:line="232"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20"/>
                <w:szCs w:val="20"/>
                <w:color w:val="auto"/>
              </w:rPr>
            </w:pPr>
            <w:r>
              <w:rPr>
                <w:rFonts w:ascii="Arial" w:cs="Arial" w:eastAsia="Arial" w:hAnsi="Arial"/>
                <w:sz w:val="16"/>
                <w:szCs w:val="16"/>
                <w:color w:val="auto"/>
              </w:rPr>
              <w:t>Deferred financing fees</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20"/>
                <w:szCs w:val="20"/>
                <w:color w:val="auto"/>
              </w:rPr>
            </w:pPr>
            <w:r>
              <w:rPr>
                <w:rFonts w:ascii="Arial" w:cs="Arial" w:eastAsia="Arial" w:hAnsi="Arial"/>
                <w:sz w:val="16"/>
                <w:szCs w:val="16"/>
                <w:color w:val="auto"/>
              </w:rPr>
              <w:t>Total</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4,210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Less: Short-term debt and current portion of long-term debt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6"/>
                <w:szCs w:val="16"/>
                <w:color w:val="auto"/>
              </w:rPr>
              <w:t>Long-term debt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4,191</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w:t>
      </w:r>
    </w:p>
    <w:p>
      <w:pPr>
        <w:spacing w:after="0" w:line="8" w:lineRule="exact"/>
        <w:rPr>
          <w:sz w:val="20"/>
          <w:szCs w:val="20"/>
          <w:color w:val="auto"/>
        </w:rPr>
      </w:pPr>
    </w:p>
    <w:p>
      <w:pPr>
        <w:ind w:left="820" w:hanging="326"/>
        <w:spacing w:after="0" w:line="241" w:lineRule="auto"/>
        <w:tabs>
          <w:tab w:leader="none" w:pos="813" w:val="left"/>
        </w:tabs>
        <w:numPr>
          <w:ilvl w:val="0"/>
          <w:numId w:val="44"/>
        </w:numPr>
        <w:rPr>
          <w:rFonts w:ascii="Arial" w:cs="Arial" w:eastAsia="Arial" w:hAnsi="Arial"/>
          <w:sz w:val="9"/>
          <w:szCs w:val="9"/>
          <w:color w:val="auto"/>
        </w:rPr>
      </w:pPr>
      <w:r>
        <w:rPr>
          <w:rFonts w:ascii="Arial" w:cs="Arial" w:eastAsia="Arial" w:hAnsi="Arial"/>
          <w:sz w:val="14"/>
          <w:szCs w:val="14"/>
          <w:color w:val="auto"/>
        </w:rPr>
        <w:t>The floating rate term loan is part of our senior revolving credit facility, which is secured by pledges of capital stock of certain our subsidiaries, and liens on substantially all of our intellectual property and certain other real and personal property.</w:t>
      </w:r>
    </w:p>
    <w:p>
      <w:pPr>
        <w:ind w:left="820" w:hanging="326"/>
        <w:spacing w:after="0"/>
        <w:tabs>
          <w:tab w:leader="none" w:pos="820" w:val="left"/>
        </w:tabs>
        <w:numPr>
          <w:ilvl w:val="0"/>
          <w:numId w:val="44"/>
        </w:numPr>
        <w:rPr>
          <w:rFonts w:ascii="Arial" w:cs="Arial" w:eastAsia="Arial" w:hAnsi="Arial"/>
          <w:sz w:val="9"/>
          <w:szCs w:val="9"/>
          <w:color w:val="auto"/>
        </w:rPr>
      </w:pPr>
      <w:r>
        <w:rPr>
          <w:rFonts w:ascii="Arial" w:cs="Arial" w:eastAsia="Arial" w:hAnsi="Arial"/>
          <w:sz w:val="14"/>
          <w:szCs w:val="14"/>
          <w:color w:val="auto"/>
        </w:rPr>
        <w:t>Primarily includes finance leases which are secured by liens on the related assets.</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Term Loan</w:t>
      </w:r>
    </w:p>
    <w:p>
      <w:pPr>
        <w:spacing w:after="0" w:line="175" w:lineRule="exact"/>
        <w:rPr>
          <w:sz w:val="20"/>
          <w:szCs w:val="20"/>
          <w:color w:val="auto"/>
        </w:rPr>
      </w:pPr>
    </w:p>
    <w:p>
      <w:pPr>
        <w:jc w:val="both"/>
        <w:ind w:left="500"/>
        <w:spacing w:after="0" w:line="258" w:lineRule="auto"/>
        <w:rPr>
          <w:sz w:val="20"/>
          <w:szCs w:val="20"/>
          <w:color w:val="auto"/>
        </w:rPr>
      </w:pPr>
      <w:r>
        <w:rPr>
          <w:rFonts w:ascii="Arial" w:cs="Arial" w:eastAsia="Arial" w:hAnsi="Arial"/>
          <w:sz w:val="18"/>
          <w:szCs w:val="18"/>
          <w:i w:val="1"/>
          <w:iCs w:val="1"/>
          <w:color w:val="auto"/>
        </w:rPr>
        <w:t xml:space="preserve">Floating Rate Term Loan due 2027. </w:t>
      </w:r>
      <w:r>
        <w:rPr>
          <w:rFonts w:ascii="Arial" w:cs="Arial" w:eastAsia="Arial" w:hAnsi="Arial"/>
          <w:sz w:val="18"/>
          <w:szCs w:val="18"/>
          <w:color w:val="auto"/>
        </w:rPr>
        <w:t>In February 2020, we amended our Floating Rate Term Loan and extended its maturity term to</w:t>
      </w:r>
      <w:r>
        <w:rPr>
          <w:rFonts w:ascii="Arial" w:cs="Arial" w:eastAsia="Arial" w:hAnsi="Arial"/>
          <w:sz w:val="18"/>
          <w:szCs w:val="18"/>
          <w:i w:val="1"/>
          <w:iCs w:val="1"/>
          <w:color w:val="auto"/>
        </w:rPr>
        <w:t xml:space="preserve"> </w:t>
      </w:r>
      <w:r>
        <w:rPr>
          <w:rFonts w:ascii="Arial" w:cs="Arial" w:eastAsia="Arial" w:hAnsi="Arial"/>
          <w:sz w:val="18"/>
          <w:szCs w:val="18"/>
          <w:color w:val="auto"/>
        </w:rPr>
        <w:t>2027. We increased the outstanding borrowing principal amount of the Floating Rate Term Loan to $1.2 billion and on April 1, 2020 used the additional loan amount to redeem $100 million of our outstanding 5.500% Senior Notes due 2023. As of December 31, 2021, the loan bears interest at one-month LIBOR plus 1.75%, for an aggregate rate of 1.86%; however, we entered into an interest rate swap to hedge $700 million of our interest rate exposure related to the floating rate term loan at an aggregate rate of 4.75%.</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Senior Notes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6.375% Senior Notes due 2024</w:t>
      </w:r>
      <w:r>
        <w:rPr>
          <w:rFonts w:ascii="Arial" w:cs="Arial" w:eastAsia="Arial" w:hAnsi="Arial"/>
          <w:sz w:val="18"/>
          <w:szCs w:val="18"/>
          <w:color w:val="auto"/>
        </w:rPr>
        <w:t>. In March 2016, we issued $350 million of 6.375% Senior Notes due 2024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at par, with interest payable semi-annually. We have the right to redeem these notes in whole or in part at any time on or after April 1, 2019 at specified redemption prices plus accrued interest. In May 2016, we used the net proceeds from the offering to redeem $300 million principal amount of our previous 4.875% Senior Notes and for general corporate purposes.</w:t>
      </w:r>
    </w:p>
    <w:p>
      <w:pPr>
        <w:spacing w:after="0" w:line="211"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i w:val="1"/>
          <w:iCs w:val="1"/>
          <w:color w:val="auto"/>
        </w:rPr>
        <w:t xml:space="preserve">4.125% euro-denominated Senior Notes due 2024. </w:t>
      </w:r>
      <w:r>
        <w:rPr>
          <w:rFonts w:ascii="Arial" w:cs="Arial" w:eastAsia="Arial" w:hAnsi="Arial"/>
          <w:sz w:val="18"/>
          <w:szCs w:val="18"/>
          <w:color w:val="auto"/>
        </w:rPr>
        <w:t>In September 2016, we issued €300 million of 4.125% euro-denominated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2024 at par, with interest payable semi-annually. We have the right to redeem these notes in whole or in part at any time on or after November 15, 2019 at specified redemption prices plus accrued interest. In October 2016, we used the net proceeds from the offering primarily to redeem €275 million of our outstanding 6% euro-denominated Senior Notes due 2021.</w:t>
      </w:r>
    </w:p>
    <w:p>
      <w:pPr>
        <w:spacing w:after="0" w:line="207" w:lineRule="exact"/>
        <w:rPr>
          <w:sz w:val="20"/>
          <w:szCs w:val="20"/>
          <w:color w:val="auto"/>
        </w:rPr>
      </w:pPr>
    </w:p>
    <w:p>
      <w:pPr>
        <w:jc w:val="both"/>
        <w:ind w:left="500"/>
        <w:spacing w:after="0" w:line="258" w:lineRule="auto"/>
        <w:rPr>
          <w:sz w:val="20"/>
          <w:szCs w:val="20"/>
          <w:color w:val="auto"/>
        </w:rPr>
      </w:pPr>
      <w:r>
        <w:rPr>
          <w:rFonts w:ascii="Arial" w:cs="Arial" w:eastAsia="Arial" w:hAnsi="Arial"/>
          <w:sz w:val="18"/>
          <w:szCs w:val="18"/>
          <w:i w:val="1"/>
          <w:iCs w:val="1"/>
          <w:color w:val="auto"/>
        </w:rPr>
        <w:t xml:space="preserve">5.250% Senior Notes due 2025. </w:t>
      </w:r>
      <w:r>
        <w:rPr>
          <w:rFonts w:ascii="Arial" w:cs="Arial" w:eastAsia="Arial" w:hAnsi="Arial"/>
          <w:sz w:val="18"/>
          <w:szCs w:val="18"/>
          <w:color w:val="auto"/>
        </w:rPr>
        <w:t>In March 2015, we issued $375 million of 5.250% Senior Notes due 2025 at par, with interest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semi-annually. We have the right to redeem these notes in whole or in part at any time on or after March 15, 2020 at specified redemption prices plus accrued interest. In April 2015, we used net proceeds from the offering to redeem the remaining $223 million principal amount of our 9.750% Senior Notes and to partially fund the acquisition of Maggiore. In September 2021, we redeemed our 5.250% Senior Notes due March 2025 with an aggregate outstanding balance of $235 million for $239 million plus accrued interest.</w:t>
      </w:r>
    </w:p>
    <w:p>
      <w:pPr>
        <w:spacing w:after="0" w:line="210" w:lineRule="exact"/>
        <w:rPr>
          <w:sz w:val="20"/>
          <w:szCs w:val="20"/>
          <w:color w:val="auto"/>
        </w:rPr>
      </w:pPr>
    </w:p>
    <w:p>
      <w:pPr>
        <w:jc w:val="both"/>
        <w:ind w:left="500"/>
        <w:spacing w:after="0" w:line="258" w:lineRule="auto"/>
        <w:rPr>
          <w:sz w:val="20"/>
          <w:szCs w:val="20"/>
          <w:color w:val="auto"/>
        </w:rPr>
      </w:pPr>
      <w:r>
        <w:rPr>
          <w:rFonts w:ascii="Arial" w:cs="Arial" w:eastAsia="Arial" w:hAnsi="Arial"/>
          <w:sz w:val="18"/>
          <w:szCs w:val="18"/>
          <w:i w:val="1"/>
          <w:iCs w:val="1"/>
          <w:color w:val="auto"/>
        </w:rPr>
        <w:t xml:space="preserve">4.500% euro-denominated Senior Notes due 2025. </w:t>
      </w:r>
      <w:r>
        <w:rPr>
          <w:rFonts w:ascii="Arial" w:cs="Arial" w:eastAsia="Arial" w:hAnsi="Arial"/>
          <w:sz w:val="18"/>
          <w:szCs w:val="18"/>
          <w:color w:val="auto"/>
        </w:rPr>
        <w:t>In March 2017, we issued €250 million of 4.500% euro-denominated Senior Notes</w:t>
      </w:r>
      <w:r>
        <w:rPr>
          <w:rFonts w:ascii="Arial" w:cs="Arial" w:eastAsia="Arial" w:hAnsi="Arial"/>
          <w:sz w:val="18"/>
          <w:szCs w:val="18"/>
          <w:i w:val="1"/>
          <w:iCs w:val="1"/>
          <w:color w:val="auto"/>
        </w:rPr>
        <w:t xml:space="preserve"> </w:t>
      </w:r>
      <w:r>
        <w:rPr>
          <w:rFonts w:ascii="Arial" w:cs="Arial" w:eastAsia="Arial" w:hAnsi="Arial"/>
          <w:sz w:val="18"/>
          <w:szCs w:val="18"/>
          <w:color w:val="auto"/>
        </w:rPr>
        <w:t>due 2025, at par, with interest payable semi-annually. We have the right to redeem these notes in whole or in part on or after May 15, 2020 at specified redemption prices plus accrued interest. In April 2017, we used the net proceeds from the offering to redeem our outstanding €175 million principal amount of 6.000% euro-denominated Senior Notes due 2021 for € 180 million plus accrued interest. In June 2017, we used the remaining proceeds to redeem a portion of our Floating Rate Senior Notes due 2017.</w:t>
      </w:r>
    </w:p>
    <w:p>
      <w:pPr>
        <w:spacing w:after="0" w:line="210"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i w:val="1"/>
          <w:iCs w:val="1"/>
          <w:color w:val="auto"/>
        </w:rPr>
        <w:t xml:space="preserve">4.750% euro-denominated Senior Notes due 2026. </w:t>
      </w:r>
      <w:r>
        <w:rPr>
          <w:rFonts w:ascii="Arial" w:cs="Arial" w:eastAsia="Arial" w:hAnsi="Arial"/>
          <w:sz w:val="18"/>
          <w:szCs w:val="18"/>
          <w:color w:val="auto"/>
        </w:rPr>
        <w:t>In October 2018, we issued €350 million of 4.750% euro-denominated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2026, at par, with interest payable semi-annually. We have the right to redeem these notes in whole or in part on or after September 30, 2021 at specified redemption prices plus accrued interest. In October 2018, we used the net proceeds from the offering to redeem our 5.125% Senior Notes due June 2022 for $410 million plus accrued interest.</w:t>
      </w:r>
    </w:p>
    <w:p>
      <w:pPr>
        <w:spacing w:after="0" w:line="207"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i w:val="1"/>
          <w:iCs w:val="1"/>
          <w:color w:val="auto"/>
        </w:rPr>
        <w:t xml:space="preserve">5.750% Senior Notes due 2027. </w:t>
      </w:r>
      <w:r>
        <w:rPr>
          <w:rFonts w:ascii="Arial" w:cs="Arial" w:eastAsia="Arial" w:hAnsi="Arial"/>
          <w:sz w:val="18"/>
          <w:szCs w:val="18"/>
          <w:color w:val="auto"/>
        </w:rPr>
        <w:t>In July 2019, we issued $400 million of 5.750% Senior Notes due July 2027, at par, with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semi-annually. We used the net proceeds from the offering to redeem $400 million principal amount of our 5.500% Senior Notes due April 2023. In August 2020, we issued $350 million of additional 5.750% Senior Notes due July 2027, at 92% of face value, under the indenture governing our existing 5.750% Senior Notes. We used the proceeds from this offering to redeem the outstanding $100 million in aggregate principal amount of our 5.500% Senior Notes due 2023, with the remainder being used for general corporate purposes.</w:t>
      </w:r>
    </w:p>
    <w:p>
      <w:pPr>
        <w:spacing w:after="0" w:line="214"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i w:val="1"/>
          <w:iCs w:val="1"/>
          <w:color w:val="auto"/>
        </w:rPr>
        <w:t xml:space="preserve">10.500% Senior Secured Notes due 2025. </w:t>
      </w:r>
      <w:r>
        <w:rPr>
          <w:rFonts w:ascii="Arial" w:cs="Arial" w:eastAsia="Arial" w:hAnsi="Arial"/>
          <w:sz w:val="18"/>
          <w:szCs w:val="18"/>
          <w:color w:val="auto"/>
        </w:rPr>
        <w:t>In May 2020, we issued $ 500 million of 10.500% Senior Secured Notes due May 2025, at</w:t>
      </w:r>
      <w:r>
        <w:rPr>
          <w:rFonts w:ascii="Arial" w:cs="Arial" w:eastAsia="Arial" w:hAnsi="Arial"/>
          <w:sz w:val="18"/>
          <w:szCs w:val="18"/>
          <w:i w:val="1"/>
          <w:iCs w:val="1"/>
          <w:color w:val="auto"/>
        </w:rPr>
        <w:t xml:space="preserve"> </w:t>
      </w:r>
      <w:r>
        <w:rPr>
          <w:rFonts w:ascii="Arial" w:cs="Arial" w:eastAsia="Arial" w:hAnsi="Arial"/>
          <w:sz w:val="18"/>
          <w:szCs w:val="18"/>
          <w:color w:val="auto"/>
        </w:rPr>
        <w:t>97% of face value, with interest payable semi-annually. We have the right to redeem these notes in whole or in part prior to May 15, 2022 at a redemption price equal to 100% of principal amount plus accrued interest and a make-whole premium. We have the right to redeem these notes in whole or in part on or after May 15, 2022 at specified redemption prices plus accrued interest. The notes are guaranteed on a senior unsecured basis by us and on a senior secured basis by certain of our subsidiaries. We used the proceeds from this offering for general corporate purposes.</w:t>
      </w:r>
    </w:p>
    <w:p>
      <w:pPr>
        <w:spacing w:after="0" w:line="214" w:lineRule="exact"/>
        <w:rPr>
          <w:sz w:val="20"/>
          <w:szCs w:val="20"/>
          <w:color w:val="auto"/>
        </w:rPr>
      </w:pPr>
    </w:p>
    <w:p>
      <w:pPr>
        <w:jc w:val="both"/>
        <w:ind w:left="500"/>
        <w:spacing w:after="0" w:line="258" w:lineRule="auto"/>
        <w:rPr>
          <w:sz w:val="20"/>
          <w:szCs w:val="20"/>
          <w:color w:val="auto"/>
        </w:rPr>
      </w:pPr>
      <w:r>
        <w:rPr>
          <w:rFonts w:ascii="Arial" w:cs="Arial" w:eastAsia="Arial" w:hAnsi="Arial"/>
          <w:sz w:val="18"/>
          <w:szCs w:val="18"/>
          <w:i w:val="1"/>
          <w:iCs w:val="1"/>
          <w:color w:val="auto"/>
        </w:rPr>
        <w:t xml:space="preserve">4.750% Senior Notes due 2028. </w:t>
      </w:r>
      <w:r>
        <w:rPr>
          <w:rFonts w:ascii="Arial" w:cs="Arial" w:eastAsia="Arial" w:hAnsi="Arial"/>
          <w:sz w:val="18"/>
          <w:szCs w:val="18"/>
          <w:color w:val="auto"/>
        </w:rPr>
        <w:t>In March 2021, we issued $500 million of 4.750% Senior Notes due April 2028, at par, with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paid semiannually. We have the right to redeem these notes in whole or in part at any time on or after April 1, 2024 at specified redemption prices plus accrued interest. Net proceeds, together with cash on hand, were used to redeem all of the outstanding 6.375% Senior Notes due 2024 for $356 million plus accrued interest and a portion of our outstanding 5.250% Senior Notes due 2025 for $142 million plus accrued interest.</w:t>
      </w:r>
    </w:p>
    <w:p>
      <w:pPr>
        <w:spacing w:after="0" w:line="210" w:lineRule="exact"/>
        <w:rPr>
          <w:sz w:val="20"/>
          <w:szCs w:val="20"/>
          <w:color w:val="auto"/>
        </w:rPr>
      </w:pPr>
    </w:p>
    <w:p>
      <w:pPr>
        <w:jc w:val="both"/>
        <w:ind w:left="500" w:right="20"/>
        <w:spacing w:after="0" w:line="282" w:lineRule="auto"/>
        <w:rPr>
          <w:sz w:val="20"/>
          <w:szCs w:val="20"/>
          <w:color w:val="auto"/>
        </w:rPr>
      </w:pPr>
      <w:r>
        <w:rPr>
          <w:rFonts w:ascii="Arial" w:cs="Arial" w:eastAsia="Arial" w:hAnsi="Arial"/>
          <w:sz w:val="18"/>
          <w:szCs w:val="18"/>
          <w:i w:val="1"/>
          <w:iCs w:val="1"/>
          <w:color w:val="auto"/>
        </w:rPr>
        <w:t xml:space="preserve">5.375% Senior Notes due 2029. </w:t>
      </w:r>
      <w:r>
        <w:rPr>
          <w:rFonts w:ascii="Arial" w:cs="Arial" w:eastAsia="Arial" w:hAnsi="Arial"/>
          <w:sz w:val="18"/>
          <w:szCs w:val="18"/>
          <w:color w:val="auto"/>
        </w:rPr>
        <w:t>In March 2021, we issued $600 million of 5.375% Senior Notes due March 2029, at par, with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paid semiannually. We have the right to redeem these notes in whole or in part at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color w:val="auto"/>
        </w:rPr>
        <w:t>any time on or after March 1, 2024 at specified redemption prices plus accrued interest. Net proceeds, together with cash on hand, were used to redeem all of the outstanding 10.500% Senior Secured Notes due 2025 for $599 million plus accrued interest.</w:t>
      </w:r>
    </w:p>
    <w:p>
      <w:pPr>
        <w:spacing w:after="0" w:line="225"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color w:val="auto"/>
        </w:rPr>
        <w:t>In connection with the debt amendments and repayments for the years ended December 31, 2021, 2020 and 2019, we recorded $136 million, $9 million and $12 million in early extinguishment of debt costs, respectively.</w:t>
      </w:r>
    </w:p>
    <w:p>
      <w:pPr>
        <w:spacing w:after="0" w:line="225"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The 5.750% Senior Notes, the 4.750% Senior Notes and the 5.375% Senior Notes are senior unsecured obligations of our Avis Budget Car Rental, LLC (“ABCR”) subsidiary, are guaranteed by us and certain of our domestic subsidiaries and rank equally in right of payment with all of our existing and future senior unsecured indebtedness.</w:t>
      </w:r>
    </w:p>
    <w:p>
      <w:pPr>
        <w:spacing w:after="0" w:line="229"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The 4.125% euro-denominated Senior Notes, 4.500% euro-denominated Senior Notes and 4.750% euro-denominated Senior Notes are unsecured obligations of our Avis Budget Finance plc subsidiary, are guaranteed on a senior basis by us and certain of our domestic subsidiaries and rank equally with all of our existing senior unsecured debt.</w:t>
      </w:r>
    </w:p>
    <w:p>
      <w:pPr>
        <w:spacing w:after="0" w:line="126"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8740" w:type="dxa"/>
            <w:vAlign w:val="bottom"/>
          </w:tcPr>
          <w:p>
            <w:pPr>
              <w:spacing w:after="0"/>
              <w:rPr>
                <w:sz w:val="20"/>
                <w:szCs w:val="20"/>
                <w:color w:val="auto"/>
              </w:rPr>
            </w:pPr>
            <w:r>
              <w:rPr>
                <w:rFonts w:ascii="Arial" w:cs="Arial" w:eastAsia="Arial" w:hAnsi="Arial"/>
                <w:sz w:val="18"/>
                <w:szCs w:val="18"/>
                <w:b w:val="1"/>
                <w:bCs w:val="1"/>
                <w:color w:val="auto"/>
              </w:rPr>
              <w:t>Debt Maturities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78"/>
        </w:trPr>
        <w:tc>
          <w:tcPr>
            <w:tcW w:w="8740" w:type="dxa"/>
            <w:vAlign w:val="bottom"/>
          </w:tcPr>
          <w:p>
            <w:pPr>
              <w:spacing w:after="0"/>
              <w:rPr>
                <w:sz w:val="20"/>
                <w:szCs w:val="20"/>
                <w:color w:val="auto"/>
              </w:rPr>
            </w:pPr>
            <w:r>
              <w:rPr>
                <w:rFonts w:ascii="Arial" w:cs="Arial" w:eastAsia="Arial" w:hAnsi="Arial"/>
                <w:sz w:val="18"/>
                <w:szCs w:val="18"/>
                <w:color w:val="auto"/>
              </w:rPr>
              <w:t>The following table provides contractual maturities of our corporate debt at December 31, 2021:</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8"/>
        </w:trPr>
        <w:tc>
          <w:tcPr>
            <w:tcW w:w="8740" w:type="dxa"/>
            <w:vAlign w:val="bottom"/>
          </w:tcPr>
          <w:p>
            <w:pPr>
              <w:ind w:left="20"/>
              <w:spacing w:after="0"/>
              <w:rPr>
                <w:sz w:val="20"/>
                <w:szCs w:val="20"/>
                <w:color w:val="auto"/>
              </w:rPr>
            </w:pPr>
            <w:r>
              <w:rPr>
                <w:rFonts w:ascii="Arial" w:cs="Arial" w:eastAsia="Arial" w:hAnsi="Arial"/>
                <w:sz w:val="18"/>
                <w:szCs w:val="18"/>
                <w:b w:val="1"/>
                <w:bCs w:val="1"/>
                <w:color w:val="auto"/>
              </w:rPr>
              <w:t>Year</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23"/>
        </w:trPr>
        <w:tc>
          <w:tcPr>
            <w:tcW w:w="874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874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74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357</w:t>
            </w:r>
          </w:p>
        </w:tc>
      </w:tr>
      <w:tr>
        <w:trPr>
          <w:trHeight w:val="229"/>
        </w:trPr>
        <w:tc>
          <w:tcPr>
            <w:tcW w:w="874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30"/>
        </w:trPr>
        <w:tc>
          <w:tcPr>
            <w:tcW w:w="8740" w:type="dxa"/>
            <w:vAlign w:val="bottom"/>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29"/>
        </w:trPr>
        <w:tc>
          <w:tcPr>
            <w:tcW w:w="87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w:t>
            </w:r>
          </w:p>
        </w:tc>
      </w:tr>
      <w:tr>
        <w:trPr>
          <w:trHeight w:val="223"/>
        </w:trPr>
        <w:tc>
          <w:tcPr>
            <w:tcW w:w="87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4,057</w:t>
            </w:r>
          </w:p>
        </w:tc>
      </w:tr>
      <w:tr>
        <w:trPr>
          <w:trHeight w:val="20"/>
        </w:trPr>
        <w:tc>
          <w:tcPr>
            <w:tcW w:w="8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2021, the committed corporate credit facilities available to us and/or our subsidiaries were as follows:</w:t>
      </w:r>
    </w:p>
    <w:p>
      <w:pPr>
        <w:spacing w:after="0" w:line="15"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Total Capacity</w:t>
            </w:r>
          </w:p>
        </w:tc>
        <w:tc>
          <w:tcPr>
            <w:tcW w:w="12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Outstanding</w:t>
            </w:r>
          </w:p>
        </w:tc>
        <w:tc>
          <w:tcPr>
            <w:tcW w:w="15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Letters of Credit</w:t>
            </w:r>
          </w:p>
        </w:tc>
        <w:tc>
          <w:tcPr>
            <w:tcW w:w="220" w:type="dxa"/>
            <w:vAlign w:val="bottom"/>
          </w:tcPr>
          <w:p>
            <w:pPr>
              <w:spacing w:after="0"/>
              <w:rPr>
                <w:sz w:val="16"/>
                <w:szCs w:val="16"/>
                <w:color w:val="auto"/>
              </w:rPr>
            </w:pPr>
          </w:p>
        </w:tc>
        <w:tc>
          <w:tcPr>
            <w:tcW w:w="1180" w:type="dxa"/>
            <w:vAlign w:val="bottom"/>
          </w:tcPr>
          <w:p>
            <w:pPr>
              <w:ind w:left="120"/>
              <w:spacing w:after="0"/>
              <w:rPr>
                <w:sz w:val="20"/>
                <w:szCs w:val="20"/>
                <w:color w:val="auto"/>
              </w:rPr>
            </w:pPr>
            <w:r>
              <w:rPr>
                <w:rFonts w:ascii="Arial" w:cs="Arial" w:eastAsia="Arial" w:hAnsi="Arial"/>
                <w:sz w:val="16"/>
                <w:szCs w:val="16"/>
                <w:b w:val="1"/>
                <w:bCs w:val="1"/>
                <w:color w:val="auto"/>
              </w:rPr>
              <w:t>Available</w:t>
            </w:r>
          </w:p>
        </w:tc>
        <w:tc>
          <w:tcPr>
            <w:tcW w:w="0" w:type="dxa"/>
            <w:vAlign w:val="bottom"/>
          </w:tcPr>
          <w:p>
            <w:pPr>
              <w:spacing w:after="0"/>
              <w:rPr>
                <w:sz w:val="1"/>
                <w:szCs w:val="1"/>
                <w:color w:val="auto"/>
              </w:rPr>
            </w:pPr>
          </w:p>
        </w:tc>
      </w:tr>
      <w:tr>
        <w:trPr>
          <w:trHeight w:val="215"/>
        </w:trPr>
        <w:tc>
          <w:tcPr>
            <w:tcW w:w="4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Issued</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Capacity</w:t>
            </w:r>
          </w:p>
        </w:tc>
        <w:tc>
          <w:tcPr>
            <w:tcW w:w="0" w:type="dxa"/>
            <w:vAlign w:val="bottom"/>
          </w:tcPr>
          <w:p>
            <w:pPr>
              <w:spacing w:after="0"/>
              <w:rPr>
                <w:sz w:val="1"/>
                <w:szCs w:val="1"/>
                <w:color w:val="auto"/>
              </w:rPr>
            </w:pPr>
          </w:p>
        </w:tc>
      </w:tr>
      <w:tr>
        <w:trPr>
          <w:trHeight w:val="262"/>
        </w:trPr>
        <w:tc>
          <w:tcPr>
            <w:tcW w:w="4180" w:type="dxa"/>
            <w:vAlign w:val="bottom"/>
          </w:tcPr>
          <w:p>
            <w:pPr>
              <w:spacing w:after="0"/>
              <w:rPr>
                <w:sz w:val="20"/>
                <w:szCs w:val="20"/>
                <w:color w:val="auto"/>
              </w:rPr>
            </w:pPr>
            <w:r>
              <w:rPr>
                <w:rFonts w:ascii="Arial" w:cs="Arial" w:eastAsia="Arial" w:hAnsi="Arial"/>
                <w:sz w:val="16"/>
                <w:szCs w:val="16"/>
                <w:color w:val="auto"/>
              </w:rPr>
              <w:t xml:space="preserve">Senior revolving credit facility maturing 2026 </w:t>
            </w:r>
            <w:r>
              <w:rPr>
                <w:rFonts w:ascii="Arial" w:cs="Arial" w:eastAsia="Arial" w:hAnsi="Arial"/>
                <w:sz w:val="21"/>
                <w:szCs w:val="21"/>
                <w:color w:val="auto"/>
                <w:vertAlign w:val="superscript"/>
              </w:rPr>
              <w:t>(a)</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1,950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1,727</w:t>
            </w:r>
          </w:p>
        </w:tc>
        <w:tc>
          <w:tcPr>
            <w:tcW w:w="12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jc w:val="both"/>
        <w:ind w:left="820" w:hanging="326"/>
        <w:spacing w:after="0" w:line="249" w:lineRule="auto"/>
        <w:tabs>
          <w:tab w:leader="none" w:pos="813" w:val="left"/>
        </w:tabs>
        <w:numPr>
          <w:ilvl w:val="0"/>
          <w:numId w:val="45"/>
        </w:numPr>
        <w:rPr>
          <w:rFonts w:ascii="Arial" w:cs="Arial" w:eastAsia="Arial" w:hAnsi="Arial"/>
          <w:sz w:val="9"/>
          <w:szCs w:val="9"/>
          <w:color w:val="auto"/>
        </w:rPr>
      </w:pPr>
      <w:r>
        <w:rPr>
          <w:rFonts w:ascii="Arial" w:cs="Arial" w:eastAsia="Arial" w:hAnsi="Arial"/>
          <w:sz w:val="14"/>
          <w:szCs w:val="14"/>
          <w:color w:val="auto"/>
        </w:rPr>
        <w:t>The senior revolving credit facility bears interest at one-month LIBOR plus 175 basis points and is part of our senior credit facilities, which include the floating rate term loan and the senior revolving credit facility, and which are secured by pledges of capital stock of certain of our subsidiaries, and liens on substantially all of our intellectual property and certain other real and personal property.</w:t>
      </w:r>
    </w:p>
    <w:p>
      <w:pPr>
        <w:spacing w:after="0" w:line="222" w:lineRule="exact"/>
        <w:rPr>
          <w:sz w:val="20"/>
          <w:szCs w:val="20"/>
          <w:color w:val="auto"/>
        </w:rPr>
      </w:pPr>
    </w:p>
    <w:p>
      <w:pPr>
        <w:ind w:left="500" w:right="260"/>
        <w:spacing w:after="0" w:line="261" w:lineRule="auto"/>
        <w:rPr>
          <w:sz w:val="20"/>
          <w:szCs w:val="20"/>
          <w:color w:val="auto"/>
        </w:rPr>
      </w:pPr>
      <w:r>
        <w:rPr>
          <w:rFonts w:ascii="Arial" w:cs="Arial" w:eastAsia="Arial" w:hAnsi="Arial"/>
          <w:sz w:val="18"/>
          <w:szCs w:val="18"/>
          <w:color w:val="auto"/>
        </w:rPr>
        <w:t>In July 2021, we amended the credit agreement to increase the revolving credit facility to $1.95 billion and extend the maturity of the facility to 2026.</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274"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The agreements governing our indebtedness contain restrictive covenants, including restrictions on dividends paid to us by certain of our subsidiaries, the incurrence of additional indebtedness and/or liens by us and certain of our subsidiaries, acquisitions, mergers, liquidations, and sale and leaseback transactions. Our senior credit facility also contains a maximum leverage ratio requirement. As of December 31, 2021, we were in compliance with the financial covenants governing our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193" w:lineRule="exact"/>
        <w:rPr>
          <w:sz w:val="20"/>
          <w:szCs w:val="20"/>
          <w:color w:val="auto"/>
        </w:rPr>
      </w:pPr>
    </w:p>
    <w:p>
      <w:pPr>
        <w:ind w:left="500" w:right="140"/>
        <w:spacing w:after="0" w:line="261" w:lineRule="auto"/>
        <w:rPr>
          <w:sz w:val="20"/>
          <w:szCs w:val="20"/>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tbl>
      <w:tblPr>
        <w:tblLayout w:type="fixed"/>
        <w:tblInd w:w="520" w:type="dxa"/>
        <w:tblCellMar>
          <w:top w:w="0" w:type="dxa"/>
          <w:left w:w="0" w:type="dxa"/>
          <w:bottom w:w="0" w:type="dxa"/>
          <w:right w:w="0" w:type="dxa"/>
        </w:tblCellMar>
      </w:tblPr>
      <w:tr>
        <w:trPr>
          <w:trHeight w:val="239"/>
        </w:trPr>
        <w:tc>
          <w:tcPr>
            <w:tcW w:w="7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5"/>
        </w:trPr>
        <w:tc>
          <w:tcPr>
            <w:tcW w:w="7200" w:type="dxa"/>
            <w:vAlign w:val="bottom"/>
          </w:tcPr>
          <w:p>
            <w:pPr>
              <w:spacing w:after="0" w:line="225" w:lineRule="exact"/>
              <w:rPr>
                <w:sz w:val="20"/>
                <w:szCs w:val="20"/>
                <w:color w:val="auto"/>
              </w:rPr>
            </w:pPr>
            <w:r>
              <w:rPr>
                <w:rFonts w:ascii="Arial" w:cs="Arial" w:eastAsia="Arial" w:hAnsi="Arial"/>
                <w:sz w:val="18"/>
                <w:szCs w:val="18"/>
                <w:color w:val="auto"/>
              </w:rPr>
              <w:t xml:space="preserve">Americas – Debt due to Avis Budget Rental Car Funding </w:t>
            </w:r>
            <w:r>
              <w:rPr>
                <w:rFonts w:ascii="Arial" w:cs="Arial" w:eastAsia="Arial" w:hAnsi="Arial"/>
                <w:sz w:val="23"/>
                <w:szCs w:val="23"/>
                <w:color w:val="auto"/>
                <w:vertAlign w:val="superscript"/>
              </w:rPr>
              <w:t>(a)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8,889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5,116</w:t>
            </w:r>
          </w:p>
        </w:tc>
      </w:tr>
      <w:tr>
        <w:trPr>
          <w:trHeight w:val="229"/>
        </w:trPr>
        <w:tc>
          <w:tcPr>
            <w:tcW w:w="7200" w:type="dxa"/>
            <w:vAlign w:val="bottom"/>
          </w:tcPr>
          <w:p>
            <w:pPr>
              <w:spacing w:after="0" w:line="230" w:lineRule="exact"/>
              <w:rPr>
                <w:sz w:val="20"/>
                <w:szCs w:val="20"/>
                <w:color w:val="auto"/>
              </w:rPr>
            </w:pPr>
            <w:r>
              <w:rPr>
                <w:rFonts w:ascii="Arial" w:cs="Arial" w:eastAsia="Arial" w:hAnsi="Arial"/>
                <w:sz w:val="18"/>
                <w:szCs w:val="18"/>
                <w:color w:val="auto"/>
              </w:rPr>
              <w:t xml:space="preserve">Americas – Debt borrowings </w:t>
            </w:r>
            <w:r>
              <w:rPr>
                <w:rFonts w:ascii="Arial" w:cs="Arial" w:eastAsia="Arial" w:hAnsi="Arial"/>
                <w:sz w:val="23"/>
                <w:szCs w:val="23"/>
                <w:color w:val="auto"/>
                <w:vertAlign w:val="superscript"/>
              </w:rPr>
              <w:t>(a)</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40"/>
        </w:trPr>
        <w:tc>
          <w:tcPr>
            <w:tcW w:w="7200" w:type="dxa"/>
            <w:vAlign w:val="bottom"/>
          </w:tcPr>
          <w:p>
            <w:pPr>
              <w:spacing w:after="0" w:line="240" w:lineRule="exact"/>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3"/>
                <w:szCs w:val="23"/>
                <w:color w:val="auto"/>
                <w:vertAlign w:val="superscript"/>
              </w:rPr>
              <w:t>(a)</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1,115</w:t>
            </w:r>
          </w:p>
        </w:tc>
      </w:tr>
      <w:tr>
        <w:trPr>
          <w:trHeight w:val="217"/>
        </w:trPr>
        <w:tc>
          <w:tcPr>
            <w:tcW w:w="7200" w:type="dxa"/>
            <w:vAlign w:val="bottom"/>
          </w:tcPr>
          <w:p>
            <w:pPr>
              <w:spacing w:after="0"/>
              <w:rPr>
                <w:sz w:val="20"/>
                <w:szCs w:val="20"/>
                <w:color w:val="auto"/>
              </w:rPr>
            </w:pPr>
            <w:r>
              <w:rPr>
                <w:rFonts w:ascii="Arial" w:cs="Arial" w:eastAsia="Arial" w:hAnsi="Arial"/>
                <w:sz w:val="18"/>
                <w:szCs w:val="18"/>
                <w:color w:val="auto"/>
              </w:rPr>
              <w:t>International – Finance leases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29"/>
        </w:trPr>
        <w:tc>
          <w:tcPr>
            <w:tcW w:w="720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00" w:type="dxa"/>
            <w:vAlign w:val="bottom"/>
          </w:tcPr>
          <w:p>
            <w:pPr>
              <w:spacing w:after="0" w:line="230" w:lineRule="exact"/>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3"/>
                <w:szCs w:val="23"/>
                <w:color w:val="auto"/>
                <w:vertAlign w:val="superscript"/>
              </w:rPr>
              <w:t>(b)</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6,857</w:t>
            </w:r>
          </w:p>
        </w:tc>
      </w:tr>
      <w:tr>
        <w:trPr>
          <w:trHeight w:val="21"/>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194" w:lineRule="auto"/>
        <w:tabs>
          <w:tab w:leader="none" w:pos="820" w:val="left"/>
        </w:tabs>
        <w:numPr>
          <w:ilvl w:val="0"/>
          <w:numId w:val="47"/>
        </w:numPr>
        <w:rPr>
          <w:rFonts w:ascii="Arial" w:cs="Arial" w:eastAsia="Arial" w:hAnsi="Arial"/>
          <w:sz w:val="19"/>
          <w:szCs w:val="19"/>
          <w:color w:val="auto"/>
          <w:vertAlign w:val="superscript"/>
        </w:rPr>
      </w:pPr>
      <w:r>
        <w:rPr>
          <w:rFonts w:ascii="Arial" w:cs="Arial" w:eastAsia="Arial" w:hAnsi="Arial"/>
          <w:sz w:val="14"/>
          <w:szCs w:val="14"/>
          <w:color w:val="auto"/>
        </w:rPr>
        <w:t>Increase reflects additional borrowings principally to fund increases in our global rental fleet.</w:t>
      </w:r>
    </w:p>
    <w:p>
      <w:pPr>
        <w:ind w:left="820" w:hanging="326"/>
        <w:spacing w:after="0" w:line="189" w:lineRule="auto"/>
        <w:tabs>
          <w:tab w:leader="none" w:pos="820" w:val="left"/>
        </w:tabs>
        <w:numPr>
          <w:ilvl w:val="0"/>
          <w:numId w:val="47"/>
        </w:numPr>
        <w:rPr>
          <w:rFonts w:ascii="Arial" w:cs="Arial" w:eastAsia="Arial" w:hAnsi="Arial"/>
          <w:sz w:val="19"/>
          <w:szCs w:val="19"/>
          <w:color w:val="auto"/>
          <w:vertAlign w:val="superscript"/>
        </w:rPr>
      </w:pPr>
      <w:r>
        <w:rPr>
          <w:rFonts w:ascii="Arial" w:cs="Arial" w:eastAsia="Arial" w:hAnsi="Arial"/>
          <w:sz w:val="14"/>
          <w:szCs w:val="14"/>
          <w:color w:val="auto"/>
        </w:rPr>
        <w:t>Deferred financing fees related to Debt due to Avis Budget Rental Car Funding as of December 31, 2021 and 2020 were $41 million and $36 million, respectively.</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Americas</w:t>
      </w:r>
    </w:p>
    <w:p>
      <w:pPr>
        <w:spacing w:after="0" w:line="256" w:lineRule="exact"/>
        <w:rPr>
          <w:sz w:val="20"/>
          <w:szCs w:val="20"/>
          <w:color w:val="auto"/>
        </w:rPr>
      </w:pPr>
    </w:p>
    <w:p>
      <w:pPr>
        <w:jc w:val="both"/>
        <w:ind w:left="500"/>
        <w:spacing w:after="0" w:line="251" w:lineRule="auto"/>
        <w:rPr>
          <w:sz w:val="20"/>
          <w:szCs w:val="20"/>
          <w:color w:val="auto"/>
        </w:rPr>
      </w:pPr>
      <w:r>
        <w:rPr>
          <w:rFonts w:ascii="Arial" w:cs="Arial" w:eastAsia="Arial" w:hAnsi="Arial"/>
          <w:sz w:val="18"/>
          <w:szCs w:val="18"/>
          <w:i w:val="1"/>
          <w:iCs w:val="1"/>
          <w:color w:val="auto"/>
        </w:rPr>
        <w:t>Debt due to Avis Budget Rental Car Funding</w:t>
      </w:r>
      <w:r>
        <w:rPr>
          <w:rFonts w:ascii="Arial" w:cs="Arial" w:eastAsia="Arial" w:hAnsi="Arial"/>
          <w:sz w:val="18"/>
          <w:szCs w:val="18"/>
          <w:color w:val="auto"/>
        </w:rPr>
        <w:t>. Avis Budget Rental Car Funding, an unconsolidated bankruptcy remote qualifying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purpose limited liability company, issues privately placed notes to investors as well as to banks and bank-sponsored conduit entities. Avis Budget Rental Car Funding uses the proceeds from its note issuances to make loans to our wholly-owned subsidiary, AESOP Leasing LP (“AESOP Leasing”), on a continuing basis. AESOP Leasing is required to use the proceeds of such loans to acquire or finance the acquisition of vehicles used in our rental car operations. By issuing debt through the Avis Budget Rental Car Funding program, we pay a lower rate of interest than if we had issued debt directly to third parties. Avis Budget Rental Car Funding is not consolidated, as we are not the “primary beneficiary” of Avis Budget Rental Car Funding. We determined that we are not the primary beneficiary because we do not have the obligation to absorb the potential losses or receive the benefits of Avis Budget Rental Car Funding’s activities since our only significant source of variability in the earnings, losses or cash flows of Avis Budget Rental Car Funding is exposure to our own creditworthiness, due to our loan from Avis Budget Rental Car Funding. Because Avis Budget Rental Car Funding is not consolidated, AESOP Leasing’s loan obligations to Avis Budget Rental Car Funding are reflected as related party debt on our Consolidated Balance Sheets. We also have an asset within Assets under vehicle programs on our Consolidated Balance Sheets which represents securities issued to us by Avis Budget Rental Car Funding. AESOP Leasing is consolidated, as we are the “primary beneficiary” of AESOP Leasing; as a result, the vehicles purchased by AESOP Leasing remain on our Consolidated Balance Sheets. We determined we are the primary beneficiary of AESOP Leasing, as we have the ability to direct its activities, an obligation to absorb a majority of its expected losses and the right to receive the benefits of AESOP Leasing’s activities. AESOP Leasing’s vehicles and related assets, which as of December 31, 2021, approximate $ 10.5 billion and some of which are subject to manufacturer repurchase and guaranteed depreciation agreements, collateralize the debt issued by Avis Budget Rental Car Funding. The assets and liabilities of AESOP Leasing are presented on our Consolidated Balance Sheets within Assets under vehicle programs and Liabilities under vehicle programs, respectively. The assets of AESOP Leasing, included within assets under vehicle programs (excluding the investment in Avis Budget Rental Car Funding (AESOP) LLC—related party) are restricted. Such assets may be used only to repay the respective AESOP Leasing liabilities, included within Liabilities under vehicle programs, and to purchase new vehicles, although if certain collateral coverage requirements are met, AESOP Leasing may pay dividends from excess cash. The creditors of AESOP Leasing and Avis Budget Rental Car Funding have no recourse to our general credit. We periodically provide Avis Budget Rental Car Funding with non-contractually required support, in the form of equity and loans, to serve as additional collateral for the debt issued by Avis Budget Rental Car Funding.</w:t>
      </w:r>
    </w:p>
    <w:p>
      <w:pPr>
        <w:spacing w:after="0" w:line="168"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The business activities of Avis Budget Rental Car Funding are limited primarily to issuing indebtedness and using the proceeds thereof to make loans to AESOP Leasing for the purpose of acquiring or financing the acquisition of vehicles to be leased to our rental car subsidiaries and pledging its assets to secure the indebtedness. Because Avis Budget Rental Car Funding is not consolidated by us, its results of operations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and cash flows are not reflected within our financial statements.</w:t>
      </w:r>
    </w:p>
    <w:p>
      <w:pPr>
        <w:spacing w:after="0" w:line="171" w:lineRule="exact"/>
        <w:rPr>
          <w:sz w:val="20"/>
          <w:szCs w:val="20"/>
          <w:color w:val="auto"/>
        </w:rPr>
      </w:pPr>
    </w:p>
    <w:p>
      <w:pPr>
        <w:jc w:val="both"/>
        <w:ind w:left="500"/>
        <w:spacing w:after="0" w:line="251" w:lineRule="auto"/>
        <w:rPr>
          <w:sz w:val="20"/>
          <w:szCs w:val="20"/>
          <w:color w:val="auto"/>
        </w:rPr>
      </w:pPr>
      <w:r>
        <w:rPr>
          <w:rFonts w:ascii="Arial" w:cs="Arial" w:eastAsia="Arial" w:hAnsi="Arial"/>
          <w:sz w:val="18"/>
          <w:szCs w:val="18"/>
          <w:color w:val="auto"/>
        </w:rPr>
        <w:t>In January 2020 and August 2020, AESOP issued approximately $700 million in asset-backed notes with an expected final payment date of August 2025 and issued approximately $ 650 million in asset-backed notes with an expected final payment date of February 2026, respectively. In May 2021, AESOP issued $800 million of asset-backed notes with an expected final payment date of August 2026. In June 2021, AESOP issued $ 96 million, $105 million and $ 103 million of asset-backed notes with expected final payment dates of March 2024, September 2024 and August 2025, respectively. In November 2021, AESOP issued $650 million of asset-backed notes with an expected final payment date of February 2027. We used the proceeds from these borrowings to fund the repayment of maturing vehicle-backed debt and the acquisition of rental cars in the United States. Borrowings under the Avis Budget Rental Car Funding program primarily represent fixed rate notes and had a weighted average interest rate of 2.66% and 3.17% as of December 31, 2021 and 2020 respectively.</w:t>
      </w:r>
    </w:p>
    <w:p>
      <w:pPr>
        <w:spacing w:after="0" w:line="140" w:lineRule="exact"/>
        <w:rPr>
          <w:sz w:val="20"/>
          <w:szCs w:val="20"/>
          <w:color w:val="auto"/>
        </w:rPr>
      </w:pPr>
    </w:p>
    <w:p>
      <w:pPr>
        <w:jc w:val="both"/>
        <w:ind w:left="500"/>
        <w:spacing w:after="0" w:line="258" w:lineRule="auto"/>
        <w:rPr>
          <w:sz w:val="20"/>
          <w:szCs w:val="20"/>
          <w:color w:val="auto"/>
        </w:rPr>
      </w:pPr>
      <w:r>
        <w:rPr>
          <w:rFonts w:ascii="Arial" w:cs="Arial" w:eastAsia="Arial" w:hAnsi="Arial"/>
          <w:sz w:val="18"/>
          <w:szCs w:val="18"/>
          <w:i w:val="1"/>
          <w:iCs w:val="1"/>
          <w:color w:val="auto"/>
        </w:rPr>
        <w:t>Debt borrowings</w:t>
      </w:r>
      <w:r>
        <w:rPr>
          <w:rFonts w:ascii="Arial" w:cs="Arial" w:eastAsia="Arial" w:hAnsi="Arial"/>
          <w:sz w:val="18"/>
          <w:szCs w:val="18"/>
          <w:color w:val="auto"/>
        </w:rPr>
        <w:t>.We finance the acquisition of vehicles used in our Canadian rental operations through a consolidated, bankruptcy</w:t>
      </w:r>
      <w:r>
        <w:rPr>
          <w:rFonts w:ascii="Arial" w:cs="Arial" w:eastAsia="Arial" w:hAnsi="Arial"/>
          <w:sz w:val="18"/>
          <w:szCs w:val="18"/>
          <w:i w:val="1"/>
          <w:iCs w:val="1"/>
          <w:color w:val="auto"/>
        </w:rPr>
        <w:t xml:space="preserve"> </w:t>
      </w:r>
      <w:r>
        <w:rPr>
          <w:rFonts w:ascii="Arial" w:cs="Arial" w:eastAsia="Arial" w:hAnsi="Arial"/>
          <w:sz w:val="18"/>
          <w:szCs w:val="18"/>
          <w:color w:val="auto"/>
        </w:rPr>
        <w:t>remote special-purpose entity, which issues privately placed notes to investors and bank-sponsored conduits. We finance the acquisition of fleet for our truck rental operations in the United States through a combination of debt facilities and leases. These debt borrowings represent a mix of fixed and floating rate debt and had a weighted average interest rate of 2.64% and 2.98% as of December 31, 2021 and 2020 respectively.</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International</w:t>
      </w:r>
    </w:p>
    <w:p>
      <w:pPr>
        <w:spacing w:after="0" w:line="175"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i w:val="1"/>
          <w:iCs w:val="1"/>
          <w:color w:val="auto"/>
        </w:rPr>
        <w:t>Debt borrowings</w:t>
      </w:r>
      <w:r>
        <w:rPr>
          <w:rFonts w:ascii="Arial" w:cs="Arial" w:eastAsia="Arial" w:hAnsi="Arial"/>
          <w:sz w:val="18"/>
          <w:szCs w:val="18"/>
          <w:color w:val="auto"/>
        </w:rPr>
        <w:t>. In 2013, we entered into a three-year, €500 million European rental fleet securitization program, which is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finance fleet purchases for certain of our European operations. Since 2013, we increased its capacity to € 1.7 billion, and extended the securitization maturity to 2024. We finance the acquisition of vehicles used in our International rental car operations through this and other consolidated, bankruptcy remote special-purpose entities, which issue privately placed notes to banks and bank-sponsored conduits. The International borrowings primarily represent floating rate notes and had a weighted average interest rate of 1.66% and 2.17% as of December 31, 2021 and 2020, respectively.</w:t>
      </w:r>
    </w:p>
    <w:p>
      <w:pPr>
        <w:spacing w:after="0" w:line="214" w:lineRule="exact"/>
        <w:rPr>
          <w:sz w:val="20"/>
          <w:szCs w:val="20"/>
          <w:color w:val="auto"/>
        </w:rPr>
      </w:pPr>
    </w:p>
    <w:p>
      <w:pPr>
        <w:jc w:val="both"/>
        <w:ind w:left="500"/>
        <w:spacing w:after="0" w:line="266" w:lineRule="auto"/>
        <w:rPr>
          <w:sz w:val="20"/>
          <w:szCs w:val="20"/>
          <w:color w:val="auto"/>
        </w:rPr>
      </w:pPr>
      <w:r>
        <w:rPr>
          <w:rFonts w:ascii="Arial" w:cs="Arial" w:eastAsia="Arial" w:hAnsi="Arial"/>
          <w:sz w:val="18"/>
          <w:szCs w:val="18"/>
          <w:i w:val="1"/>
          <w:iCs w:val="1"/>
          <w:color w:val="auto"/>
        </w:rPr>
        <w:t xml:space="preserve">Finance leases. </w:t>
      </w:r>
      <w:r>
        <w:rPr>
          <w:rFonts w:ascii="Arial" w:cs="Arial" w:eastAsia="Arial" w:hAnsi="Arial"/>
          <w:sz w:val="18"/>
          <w:szCs w:val="18"/>
          <w:color w:val="auto"/>
        </w:rPr>
        <w:t>We obtain a portion of our International vehicles under finance lease arrangements.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 and 2020, the weighted average interest rate on these borrowings was 1.25% and 1.16% respectively. All finance leases are on a fixed repayment basis and interest rates are fixed at the contract date.</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Maturities</w:t>
      </w:r>
    </w:p>
    <w:p>
      <w:pPr>
        <w:spacing w:after="0" w:line="193" w:lineRule="exact"/>
        <w:rPr>
          <w:sz w:val="20"/>
          <w:szCs w:val="20"/>
          <w:color w:val="auto"/>
        </w:rPr>
      </w:pPr>
    </w:p>
    <w:p>
      <w:pPr>
        <w:jc w:val="both"/>
        <w:ind w:left="500" w:right="20"/>
        <w:spacing w:after="0" w:line="261" w:lineRule="auto"/>
        <w:rPr>
          <w:sz w:val="20"/>
          <w:szCs w:val="20"/>
          <w:color w:val="auto"/>
        </w:rPr>
      </w:pPr>
      <w:r>
        <w:rPr>
          <w:rFonts w:ascii="Arial" w:cs="Arial" w:eastAsia="Arial" w:hAnsi="Arial"/>
          <w:sz w:val="18"/>
          <w:szCs w:val="18"/>
          <w:color w:val="auto"/>
        </w:rPr>
        <w:t>The following table provides the contractual maturities of our debt under vehicle programs, including related party debt due to Avis Budget Rental Car Funding, at December 31, 2021:</w:t>
      </w:r>
    </w:p>
    <w:p>
      <w:pPr>
        <w:spacing w:after="0" w:line="140"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8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Debt under</w:t>
            </w:r>
          </w:p>
        </w:tc>
      </w:tr>
      <w:tr>
        <w:trPr>
          <w:trHeight w:val="175"/>
        </w:trPr>
        <w:tc>
          <w:tcPr>
            <w:tcW w:w="8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8"/>
              </w:rPr>
              <w:t>Vehicle</w:t>
            </w:r>
          </w:p>
        </w:tc>
      </w:tr>
      <w:tr>
        <w:trPr>
          <w:trHeight w:val="230"/>
        </w:trPr>
        <w:tc>
          <w:tcPr>
            <w:tcW w:w="8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70"/>
              <w:spacing w:after="0" w:line="230" w:lineRule="exact"/>
              <w:rPr>
                <w:sz w:val="20"/>
                <w:szCs w:val="20"/>
                <w:color w:val="auto"/>
              </w:rPr>
            </w:pPr>
            <w:r>
              <w:rPr>
                <w:rFonts w:ascii="Arial" w:cs="Arial" w:eastAsia="Arial" w:hAnsi="Arial"/>
                <w:sz w:val="18"/>
                <w:szCs w:val="18"/>
                <w:b w:val="1"/>
                <w:bCs w:val="1"/>
                <w:color w:val="auto"/>
                <w:w w:val="94"/>
              </w:rPr>
              <w:t xml:space="preserve">Programs </w:t>
            </w:r>
            <w:r>
              <w:rPr>
                <w:rFonts w:ascii="Arial" w:cs="Arial" w:eastAsia="Arial" w:hAnsi="Arial"/>
                <w:sz w:val="23"/>
                <w:szCs w:val="23"/>
                <w:color w:val="auto"/>
                <w:w w:val="94"/>
                <w:vertAlign w:val="superscript"/>
              </w:rPr>
              <w:t>(a)</w:t>
            </w:r>
          </w:p>
        </w:tc>
      </w:tr>
      <w:tr>
        <w:trPr>
          <w:trHeight w:val="225"/>
        </w:trPr>
        <w:tc>
          <w:tcPr>
            <w:tcW w:w="8720" w:type="dxa"/>
            <w:vAlign w:val="bottom"/>
          </w:tcPr>
          <w:p>
            <w:pPr>
              <w:spacing w:after="0" w:line="225" w:lineRule="exact"/>
              <w:rPr>
                <w:sz w:val="20"/>
                <w:szCs w:val="20"/>
                <w:color w:val="auto"/>
              </w:rPr>
            </w:pPr>
            <w:r>
              <w:rPr>
                <w:rFonts w:ascii="Arial" w:cs="Arial" w:eastAsia="Arial" w:hAnsi="Arial"/>
                <w:sz w:val="18"/>
                <w:szCs w:val="18"/>
                <w:color w:val="auto"/>
              </w:rPr>
              <w:t xml:space="preserve">2022 </w:t>
            </w:r>
            <w:r>
              <w:rPr>
                <w:rFonts w:ascii="Arial" w:cs="Arial" w:eastAsia="Arial" w:hAnsi="Arial"/>
                <w:sz w:val="23"/>
                <w:szCs w:val="23"/>
                <w:color w:val="auto"/>
                <w:vertAlign w:val="superscript"/>
              </w:rPr>
              <w:t>(b)</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2,025</w:t>
            </w:r>
          </w:p>
        </w:tc>
      </w:tr>
      <w:tr>
        <w:trPr>
          <w:trHeight w:val="230"/>
        </w:trPr>
        <w:tc>
          <w:tcPr>
            <w:tcW w:w="8720" w:type="dxa"/>
            <w:vAlign w:val="bottom"/>
          </w:tcPr>
          <w:p>
            <w:pPr>
              <w:spacing w:after="0" w:line="230" w:lineRule="exact"/>
              <w:rPr>
                <w:sz w:val="20"/>
                <w:szCs w:val="20"/>
                <w:color w:val="auto"/>
              </w:rPr>
            </w:pPr>
            <w:r>
              <w:rPr>
                <w:rFonts w:ascii="Arial" w:cs="Arial" w:eastAsia="Arial" w:hAnsi="Arial"/>
                <w:sz w:val="18"/>
                <w:szCs w:val="18"/>
                <w:color w:val="auto"/>
              </w:rPr>
              <w:t xml:space="preserve">2023 </w:t>
            </w:r>
            <w:r>
              <w:rPr>
                <w:rFonts w:ascii="Arial" w:cs="Arial" w:eastAsia="Arial" w:hAnsi="Arial"/>
                <w:sz w:val="23"/>
                <w:szCs w:val="23"/>
                <w:color w:val="auto"/>
                <w:vertAlign w:val="superscript"/>
              </w:rPr>
              <w:t>(c)</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2,890</w:t>
            </w:r>
          </w:p>
        </w:tc>
      </w:tr>
      <w:tr>
        <w:trPr>
          <w:trHeight w:val="240"/>
        </w:trPr>
        <w:tc>
          <w:tcPr>
            <w:tcW w:w="8720" w:type="dxa"/>
            <w:vAlign w:val="bottom"/>
          </w:tcPr>
          <w:p>
            <w:pPr>
              <w:spacing w:after="0" w:line="240" w:lineRule="exact"/>
              <w:rPr>
                <w:sz w:val="20"/>
                <w:szCs w:val="20"/>
                <w:color w:val="auto"/>
              </w:rPr>
            </w:pPr>
            <w:r>
              <w:rPr>
                <w:rFonts w:ascii="Arial" w:cs="Arial" w:eastAsia="Arial" w:hAnsi="Arial"/>
                <w:sz w:val="18"/>
                <w:szCs w:val="18"/>
                <w:color w:val="auto"/>
              </w:rPr>
              <w:t xml:space="preserve">2024 </w:t>
            </w:r>
            <w:r>
              <w:rPr>
                <w:rFonts w:ascii="Arial" w:cs="Arial" w:eastAsia="Arial" w:hAnsi="Arial"/>
                <w:sz w:val="23"/>
                <w:szCs w:val="23"/>
                <w:color w:val="auto"/>
                <w:vertAlign w:val="superscript"/>
              </w:rPr>
              <w:t>(d)</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3,004</w:t>
            </w:r>
          </w:p>
        </w:tc>
      </w:tr>
      <w:tr>
        <w:trPr>
          <w:trHeight w:val="217"/>
        </w:trPr>
        <w:tc>
          <w:tcPr>
            <w:tcW w:w="8720" w:type="dxa"/>
            <w:vAlign w:val="bottom"/>
          </w:tcPr>
          <w:p>
            <w:pPr>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1,666</w:t>
            </w: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1,530</w:t>
            </w:r>
          </w:p>
        </w:tc>
      </w:tr>
      <w:tr>
        <w:trPr>
          <w:trHeight w:val="229"/>
        </w:trPr>
        <w:tc>
          <w:tcPr>
            <w:tcW w:w="872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r>
      <w:tr>
        <w:trPr>
          <w:trHeight w:val="223"/>
        </w:trPr>
        <w:tc>
          <w:tcPr>
            <w:tcW w:w="87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11,438</w:t>
            </w:r>
          </w:p>
        </w:tc>
      </w:tr>
      <w:tr>
        <w:trPr>
          <w:trHeight w:val="20"/>
        </w:trPr>
        <w:tc>
          <w:tcPr>
            <w:tcW w:w="8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760" w:hanging="266"/>
        <w:spacing w:after="0" w:line="187" w:lineRule="auto"/>
        <w:tabs>
          <w:tab w:leader="none" w:pos="760" w:val="left"/>
        </w:tabs>
        <w:numPr>
          <w:ilvl w:val="0"/>
          <w:numId w:val="48"/>
        </w:numPr>
        <w:rPr>
          <w:rFonts w:ascii="Arial" w:cs="Arial" w:eastAsia="Arial" w:hAnsi="Arial"/>
          <w:sz w:val="19"/>
          <w:szCs w:val="19"/>
          <w:color w:val="auto"/>
          <w:vertAlign w:val="superscript"/>
        </w:rPr>
      </w:pPr>
      <w:r>
        <w:rPr>
          <w:rFonts w:ascii="Arial" w:cs="Arial" w:eastAsia="Arial" w:hAnsi="Arial"/>
          <w:sz w:val="14"/>
          <w:szCs w:val="14"/>
          <w:color w:val="auto"/>
        </w:rPr>
        <w:t>Vehicle-backed debt primarily represents asset-backed securities.</w:t>
      </w:r>
    </w:p>
    <w:p>
      <w:pPr>
        <w:ind w:left="760" w:hanging="266"/>
        <w:spacing w:after="0" w:line="187" w:lineRule="auto"/>
        <w:tabs>
          <w:tab w:leader="none" w:pos="76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Includes $0.7 billion of bank and bank-sponsored facilities.</w:t>
      </w:r>
    </w:p>
    <w:p>
      <w:pPr>
        <w:ind w:left="760" w:hanging="266"/>
        <w:spacing w:after="0" w:line="187" w:lineRule="auto"/>
        <w:tabs>
          <w:tab w:leader="none" w:pos="76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Includes $1.7 billion of bank and bank-sponsored facilities.</w:t>
      </w:r>
    </w:p>
    <w:p>
      <w:pPr>
        <w:ind w:left="760" w:hanging="266"/>
        <w:spacing w:after="0" w:line="189" w:lineRule="auto"/>
        <w:tabs>
          <w:tab w:leader="none" w:pos="760" w:val="left"/>
        </w:tabs>
        <w:numPr>
          <w:ilvl w:val="0"/>
          <w:numId w:val="48"/>
        </w:numPr>
        <w:rPr>
          <w:rFonts w:ascii="Arial" w:cs="Arial" w:eastAsia="Arial" w:hAnsi="Arial"/>
          <w:sz w:val="19"/>
          <w:szCs w:val="19"/>
          <w:color w:val="auto"/>
          <w:vertAlign w:val="superscript"/>
        </w:rPr>
      </w:pPr>
      <w:r>
        <w:rPr>
          <w:rFonts w:ascii="Arial" w:cs="Arial" w:eastAsia="Arial" w:hAnsi="Arial"/>
          <w:sz w:val="14"/>
          <w:szCs w:val="14"/>
          <w:color w:val="auto"/>
        </w:rPr>
        <w:t>Includes $1.3 billion of bank and bank-sponsored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193" w:lineRule="exact"/>
        <w:rPr>
          <w:sz w:val="20"/>
          <w:szCs w:val="20"/>
          <w:color w:val="auto"/>
        </w:rPr>
      </w:pPr>
    </w:p>
    <w:p>
      <w:pPr>
        <w:ind w:left="500" w:right="340"/>
        <w:spacing w:after="0" w:line="259" w:lineRule="auto"/>
        <w:rPr>
          <w:sz w:val="20"/>
          <w:szCs w:val="20"/>
          <w:color w:val="auto"/>
        </w:rPr>
      </w:pPr>
      <w:r>
        <w:rPr>
          <w:rFonts w:ascii="Arial" w:cs="Arial" w:eastAsia="Arial" w:hAnsi="Arial"/>
          <w:sz w:val="18"/>
          <w:szCs w:val="18"/>
          <w:color w:val="auto"/>
        </w:rPr>
        <w:t>The following table presents available funding under our debt arrangements related to our vehicle programs, including related party debt due to Avis Budget Rental Car Funding, at December 31, 2021:</w:t>
      </w:r>
    </w:p>
    <w:tbl>
      <w:tblPr>
        <w:tblLayout w:type="fixed"/>
        <w:tblInd w:w="520" w:type="dxa"/>
        <w:tblCellMar>
          <w:top w:w="0" w:type="dxa"/>
          <w:left w:w="0" w:type="dxa"/>
          <w:bottom w:w="0" w:type="dxa"/>
          <w:right w:w="0" w:type="dxa"/>
        </w:tblCellMar>
      </w:tblPr>
      <w:tr>
        <w:trPr>
          <w:trHeight w:val="175"/>
        </w:trPr>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280"/>
              <w:spacing w:after="0" w:line="176" w:lineRule="exact"/>
              <w:rPr>
                <w:sz w:val="20"/>
                <w:szCs w:val="20"/>
                <w:color w:val="auto"/>
              </w:rPr>
            </w:pPr>
            <w:r>
              <w:rPr>
                <w:rFonts w:ascii="Arial" w:cs="Arial" w:eastAsia="Arial" w:hAnsi="Arial"/>
                <w:sz w:val="17"/>
                <w:szCs w:val="17"/>
                <w:b w:val="1"/>
                <w:bCs w:val="1"/>
                <w:color w:val="auto"/>
                <w:w w:val="99"/>
              </w:rPr>
              <w:t>Outstanding</w:t>
            </w: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 xml:space="preserve">Total Capacity </w:t>
            </w:r>
            <w:r>
              <w:rPr>
                <w:rFonts w:ascii="Arial" w:cs="Arial" w:eastAsia="Arial" w:hAnsi="Arial"/>
                <w:sz w:val="22"/>
                <w:szCs w:val="22"/>
                <w:color w:val="auto"/>
                <w:vertAlign w:val="superscript"/>
              </w:rPr>
              <w:t>(a)</w:t>
            </w:r>
          </w:p>
        </w:tc>
        <w:tc>
          <w:tcPr>
            <w:tcW w:w="18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7"/>
              </w:rPr>
              <w:t xml:space="preserve">Borrowings </w:t>
            </w:r>
            <w:r>
              <w:rPr>
                <w:rFonts w:ascii="Arial" w:cs="Arial" w:eastAsia="Arial" w:hAnsi="Arial"/>
                <w:sz w:val="22"/>
                <w:szCs w:val="22"/>
                <w:color w:val="auto"/>
                <w:w w:val="97"/>
                <w:vertAlign w:val="superscript"/>
              </w:rPr>
              <w:t>(b)</w:t>
            </w:r>
          </w:p>
        </w:tc>
        <w:tc>
          <w:tcPr>
            <w:tcW w:w="156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Available Capacity</w:t>
            </w:r>
          </w:p>
        </w:tc>
        <w:tc>
          <w:tcPr>
            <w:tcW w:w="0" w:type="dxa"/>
            <w:vAlign w:val="bottom"/>
          </w:tcPr>
          <w:p>
            <w:pPr>
              <w:spacing w:after="0"/>
              <w:rPr>
                <w:sz w:val="1"/>
                <w:szCs w:val="1"/>
                <w:color w:val="auto"/>
              </w:rPr>
            </w:pPr>
          </w:p>
        </w:tc>
      </w:tr>
      <w:tr>
        <w:trPr>
          <w:trHeight w:val="87"/>
        </w:trPr>
        <w:tc>
          <w:tcPr>
            <w:tcW w:w="5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5180" w:type="dxa"/>
            <w:vAlign w:val="bottom"/>
          </w:tcPr>
          <w:p>
            <w:pPr>
              <w:spacing w:after="0" w:line="192" w:lineRule="exact"/>
              <w:rPr>
                <w:sz w:val="20"/>
                <w:szCs w:val="20"/>
                <w:color w:val="auto"/>
              </w:rPr>
            </w:pPr>
            <w:r>
              <w:rPr>
                <w:rFonts w:ascii="Arial" w:cs="Arial" w:eastAsia="Arial" w:hAnsi="Arial"/>
                <w:sz w:val="17"/>
                <w:szCs w:val="17"/>
                <w:color w:val="auto"/>
              </w:rPr>
              <w:t>Americas – Debt due to Avis Budget Rental Car Funding</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10,343</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8,889</w:t>
            </w:r>
          </w:p>
        </w:tc>
        <w:tc>
          <w:tcPr>
            <w:tcW w:w="120" w:type="dxa"/>
            <w:vAlign w:val="bottom"/>
          </w:tcPr>
          <w:p>
            <w:pPr>
              <w:spacing w:after="0"/>
              <w:rPr>
                <w:sz w:val="17"/>
                <w:szCs w:val="17"/>
                <w:color w:val="auto"/>
              </w:rPr>
            </w:pPr>
          </w:p>
        </w:tc>
        <w:tc>
          <w:tcPr>
            <w:tcW w:w="5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1,454</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7"/>
                <w:szCs w:val="17"/>
                <w:color w:val="auto"/>
              </w:rPr>
              <w:t>Americas – Debt borrowings</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825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612</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7"/>
                <w:szCs w:val="17"/>
                <w:color w:val="auto"/>
              </w:rPr>
              <w:t>International – Debt borrowings</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2,627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1,757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870</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7"/>
                <w:szCs w:val="17"/>
                <w:color w:val="auto"/>
              </w:rPr>
              <w:t>International – Finance leases</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177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7"/>
                <w:szCs w:val="17"/>
                <w:color w:val="auto"/>
              </w:rPr>
              <w:t>Other</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5180" w:type="dxa"/>
            <w:vAlign w:val="bottom"/>
          </w:tcPr>
          <w:p>
            <w:pPr>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14,004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11,438</w:t>
            </w:r>
          </w:p>
        </w:tc>
        <w:tc>
          <w:tcPr>
            <w:tcW w:w="120" w:type="dxa"/>
            <w:vAlign w:val="bottom"/>
          </w:tcPr>
          <w:p>
            <w:pPr>
              <w:spacing w:after="0"/>
              <w:rPr>
                <w:sz w:val="18"/>
                <w:szCs w:val="18"/>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2,566</w:t>
            </w:r>
          </w:p>
        </w:tc>
        <w:tc>
          <w:tcPr>
            <w:tcW w:w="0" w:type="dxa"/>
            <w:vAlign w:val="bottom"/>
          </w:tcPr>
          <w:p>
            <w:pPr>
              <w:spacing w:after="0"/>
              <w:rPr>
                <w:sz w:val="1"/>
                <w:szCs w:val="1"/>
                <w:color w:val="auto"/>
              </w:rPr>
            </w:pPr>
          </w:p>
        </w:tc>
      </w:tr>
      <w:tr>
        <w:trPr>
          <w:trHeight w:val="23"/>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820" w:hanging="326"/>
        <w:spacing w:after="0" w:line="187" w:lineRule="auto"/>
        <w:tabs>
          <w:tab w:leader="none" w:pos="820" w:val="left"/>
        </w:tabs>
        <w:numPr>
          <w:ilvl w:val="0"/>
          <w:numId w:val="49"/>
        </w:numPr>
        <w:rPr>
          <w:rFonts w:ascii="Arial" w:cs="Arial" w:eastAsia="Arial" w:hAnsi="Arial"/>
          <w:sz w:val="19"/>
          <w:szCs w:val="19"/>
          <w:color w:val="auto"/>
          <w:vertAlign w:val="superscript"/>
        </w:rPr>
      </w:pPr>
      <w:r>
        <w:rPr>
          <w:rFonts w:ascii="Arial" w:cs="Arial" w:eastAsia="Arial" w:hAnsi="Arial"/>
          <w:sz w:val="14"/>
          <w:szCs w:val="14"/>
          <w:color w:val="auto"/>
        </w:rPr>
        <w:t>Capacity is subject to maintaining sufficient assets to collateralize debt.</w:t>
      </w:r>
    </w:p>
    <w:p>
      <w:pPr>
        <w:ind w:left="820" w:hanging="326"/>
        <w:spacing w:after="0" w:line="211" w:lineRule="auto"/>
        <w:tabs>
          <w:tab w:leader="none" w:pos="813" w:val="left"/>
        </w:tabs>
        <w:numPr>
          <w:ilvl w:val="0"/>
          <w:numId w:val="49"/>
        </w:numPr>
        <w:rPr>
          <w:rFonts w:ascii="Arial" w:cs="Arial" w:eastAsia="Arial" w:hAnsi="Arial"/>
          <w:sz w:val="19"/>
          <w:szCs w:val="19"/>
          <w:color w:val="auto"/>
          <w:vertAlign w:val="superscript"/>
        </w:rPr>
      </w:pPr>
      <w:r>
        <w:rPr>
          <w:rFonts w:ascii="Arial" w:cs="Arial" w:eastAsia="Arial" w:hAnsi="Arial"/>
          <w:sz w:val="14"/>
          <w:szCs w:val="14"/>
          <w:color w:val="auto"/>
        </w:rPr>
        <w:t>The outstanding debt is collateralized by vehicles and related assets of $10.4 billion for Americas - Debt due to Avis Budget Rental Car Funding; $0.9 billion for Americas - Debt borrowings; $2.1 billion for International - Debt borrowings; and $0.2 billion for International - Finance leases.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193"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The agreements under our vehicle-backed funding programs contain restrictive covenants, including restrictions on dividends paid to us by certain of our subsidiaries and restrictions on indebtedness, mergers, liens, liquidations and sale and leaseback transactions, and in some cases also require compliance with certain financial requirements. As of December 31, 2021, we are not aware of any instances of non-compliance with any of the financial or restrictive covenants contained in the debt agreements under our vehicle-backed funding programs.</w:t>
      </w:r>
    </w:p>
    <w:p>
      <w:pPr>
        <w:spacing w:after="0" w:line="210" w:lineRule="exact"/>
        <w:rPr>
          <w:sz w:val="20"/>
          <w:szCs w:val="20"/>
          <w:color w:val="auto"/>
        </w:rPr>
      </w:pPr>
    </w:p>
    <w:p>
      <w:pPr>
        <w:ind w:left="500" w:right="7920" w:hanging="492"/>
        <w:spacing w:after="0" w:line="475" w:lineRule="auto"/>
        <w:tabs>
          <w:tab w:leader="none" w:pos="464"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spacing w:after="0" w:line="40"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In 2006, we completed the spin-offs of our Realogy and Wyndham subsidiaries. We do not believe that the impact of any resolution of pre-existing contingent liabilities in connection with the spin-offs should result in a material liability to us in relation to our consolidated financial position or liquidity, as Realogy and Wyndham each have agreed to assume responsibility for these liabilities. We are also named in litigation that is primarily related to the businesses of our former subsidiaries, including Realogy and Wyndham. We are entitled to indemnification from such entities for any liability resulting from such litigation.</w:t>
      </w:r>
    </w:p>
    <w:p>
      <w:pPr>
        <w:spacing w:after="0" w:line="232"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In February 2017, following state court trials in Georgia, we were found liable for damages in two cases brought by plaintiffs who were injured in a vehicle accident allegedly caused by an employee of our independent contractor who was acting outside of the scope of employment. In fourth quarter 2019, we appealed both verdicts resulting in a reversal of the opinions rendered. The Georgia Supreme Court granted the plaintiffs’ application to review the appellate court’s reversal of the judgments entered at the trial court. The Georgia Supreme Court heard oral arguments in December 2020, and on May 3, 2021 issued a decision affirming the appellate court’s judgements. Following the issuance of this decision, plaintiffs filed motions for reconsideration, which were denied in June 2021. We have reversed a previously recognized liability related to these cases, net of recoverable insurance proceeds, of approximately $12 million within operating expenses.</w:t>
      </w:r>
    </w:p>
    <w:p>
      <w:pPr>
        <w:spacing w:after="0" w:line="232"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In November 2011, Jose Mendez v. Avis Budget Group Inc., et al. was filed in U.S. District Court for the District of New Jersey. The plaintiff seeks to represent a purported nationwide class and two sub-classes of certain renters of vehicles from our Avis and Budget subsidiaries from April 2007 through December 2015. The plaintiff seeks damages in connection with claims relating to our electronic toll service, including that administrative fees and toll charges were not properly disclosed to customers and/or were excessive. Plaintiff’s motion for class certification was approved by the Court in November 2017. The parties are currently engaged in settlement discussions. We have been named as a defendant in other purported consumer class action law suits, including a class action filed against us in Florida seeking damages in connection with a breach of contract claim and two purported class action suits filed against us in New Jersey, one related to fines and fees charged to car renters by us for violations incurred during the course of</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color w:val="auto"/>
        </w:rPr>
        <w:t>their rental and another related to ancillary charges at our Payless subsidiary. In the Florida lawsuit, a motion for preliminary approval of a proposed settlement has been filed with the Court.</w:t>
      </w:r>
    </w:p>
    <w:p>
      <w:pPr>
        <w:spacing w:after="0" w:line="225" w:lineRule="exact"/>
        <w:rPr>
          <w:sz w:val="20"/>
          <w:szCs w:val="20"/>
          <w:color w:val="auto"/>
        </w:rPr>
      </w:pPr>
    </w:p>
    <w:p>
      <w:pPr>
        <w:jc w:val="both"/>
        <w:ind w:left="500"/>
        <w:spacing w:after="0" w:line="251" w:lineRule="auto"/>
        <w:rPr>
          <w:sz w:val="20"/>
          <w:szCs w:val="20"/>
          <w:color w:val="auto"/>
        </w:rPr>
      </w:pPr>
      <w:r>
        <w:rPr>
          <w:rFonts w:ascii="Arial" w:cs="Arial" w:eastAsia="Arial" w:hAnsi="Arial"/>
          <w:sz w:val="18"/>
          <w:szCs w:val="18"/>
          <w:color w:val="auto"/>
        </w:rPr>
        <w:t>We are currently involved, and in the future may be involved, in claims and/or legal proceedings, including class actions, and governmental inquiries that are incidental to our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 Litigation is inherently unpredictable and, although we believe that our accruals are adequate and/or that we have valid defenses in these matters, unfavorable resolutions could occur. We estimate that the potential exposure resulting from adverse outcomes of current legal proceedings in which it is reasonably possible that a loss may be incurred could, in the aggregate, be up to approximately $35 million in excess of amounts accrued as of December 31, 2021. We do not believe that the impact should result in a material liability to us in relation to our consolidated financial condition or results of operations.</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193"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We maintain agreements with vehicle manufacturers under which we have agreed to purchase approximately $ 5.9 billion of vehicles from manufacturers over the next 12 months, a $2.8 billion decrease compared to December 31, 2020,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Purchase Commitments</w:t>
      </w:r>
    </w:p>
    <w:p>
      <w:pPr>
        <w:spacing w:after="0" w:line="193"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In the normal course of business, we make various commitments to purchase other goods or services from specific suppliers, including those related to marketing, advertising, computer services and capital expenditures. As of December 31, 2021, we had approximately $149 million of purchase obligations, which extend through 2026.</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193" w:lineRule="exact"/>
        <w:rPr>
          <w:sz w:val="20"/>
          <w:szCs w:val="20"/>
          <w:color w:val="auto"/>
        </w:rPr>
      </w:pPr>
    </w:p>
    <w:p>
      <w:pPr>
        <w:jc w:val="both"/>
        <w:ind w:left="500"/>
        <w:spacing w:after="0" w:line="250" w:lineRule="auto"/>
        <w:rPr>
          <w:sz w:val="20"/>
          <w:szCs w:val="20"/>
          <w:color w:val="auto"/>
        </w:rPr>
      </w:pPr>
      <w:r>
        <w:rPr>
          <w:rFonts w:ascii="Arial" w:cs="Arial" w:eastAsia="Arial" w:hAnsi="Arial"/>
          <w:sz w:val="18"/>
          <w:szCs w:val="18"/>
          <w:color w:val="auto"/>
        </w:rPr>
        <w:t>Concentrations of credit risk at December 31, 2021, include (i) risks related to our repurchase and guaranteed depreciation agreements with domestic and foreign car manufacturers, including Ford, Fiat Chrysler and General Motors, and primarily with respect to receivables for program cars that have been disposed, but for which we have not yet received payment from the manufacturers and</w:t>
      </w:r>
    </w:p>
    <w:p>
      <w:pPr>
        <w:spacing w:after="0" w:line="1" w:lineRule="exact"/>
        <w:rPr>
          <w:sz w:val="20"/>
          <w:szCs w:val="20"/>
          <w:color w:val="auto"/>
        </w:rPr>
      </w:pPr>
    </w:p>
    <w:p>
      <w:pPr>
        <w:ind w:left="500" w:hanging="6"/>
        <w:spacing w:after="0" w:line="261" w:lineRule="auto"/>
        <w:tabs>
          <w:tab w:leader="none" w:pos="794" w:val="left"/>
        </w:tabs>
        <w:numPr>
          <w:ilvl w:val="0"/>
          <w:numId w:val="51"/>
        </w:numPr>
        <w:rPr>
          <w:rFonts w:ascii="Arial" w:cs="Arial" w:eastAsia="Arial" w:hAnsi="Arial"/>
          <w:sz w:val="18"/>
          <w:szCs w:val="18"/>
          <w:color w:val="auto"/>
        </w:rPr>
      </w:pPr>
      <w:r>
        <w:rPr>
          <w:rFonts w:ascii="Arial" w:cs="Arial" w:eastAsia="Arial" w:hAnsi="Arial"/>
          <w:sz w:val="18"/>
          <w:szCs w:val="18"/>
          <w:color w:val="auto"/>
        </w:rPr>
        <w:t>risks related to Realogy and Wyndham, including receivables of $26 million and $15 million, respectively, related to certain contingent, income tax and other corporate liabilities assumed by Realogy and Wyndham in connection with their disposition.</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93"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We maintain a liability for asset retirement obligations. An asset retirement obligation is a legal obligation to perform certain activities in connection with the retirement, disposal or abandonment of assets. Our asset retirement obligations, which are measured at discounted fair values, are primarily related to the removal of underground gasoline storage tanks at our rental facilities. The liability accrued for asset retirement obligations was $28 million and $30 million at December 31, 2021 and 2020, respectively.</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Standard Guarantees/Indemnifications</w:t>
      </w:r>
    </w:p>
    <w:p>
      <w:pPr>
        <w:spacing w:after="0" w:line="193" w:lineRule="exact"/>
        <w:rPr>
          <w:sz w:val="20"/>
          <w:szCs w:val="20"/>
          <w:color w:val="auto"/>
        </w:rPr>
      </w:pPr>
    </w:p>
    <w:p>
      <w:pPr>
        <w:jc w:val="both"/>
        <w:ind w:left="500"/>
        <w:spacing w:after="0" w:line="250" w:lineRule="auto"/>
        <w:rPr>
          <w:sz w:val="20"/>
          <w:szCs w:val="20"/>
          <w:color w:val="auto"/>
        </w:rPr>
      </w:pPr>
      <w:r>
        <w:rPr>
          <w:rFonts w:ascii="Arial" w:cs="Arial" w:eastAsia="Arial" w:hAnsi="Arial"/>
          <w:sz w:val="18"/>
          <w:szCs w:val="18"/>
          <w:color w:val="auto"/>
        </w:rPr>
        <w:t>In the ordinary course of business, we enter into numerous agreements that contain standard guarantees and indemnities whereby we agree to indemnify another party, among other things, for performance under contracts and any breaches of representations and warranties thereunder. In addition, many of these parties are also indemnified against any third-party claim resulting from the transaction that is contemplated in the underlying agreement. Such guarantees or indemnifications are granted under various agreements, including those governing (i) purchases, sales or outsourcing of assets, businesses or activities, (ii) leases of real estate,</w:t>
      </w:r>
    </w:p>
    <w:p>
      <w:pPr>
        <w:spacing w:after="0" w:line="2" w:lineRule="exact"/>
        <w:rPr>
          <w:sz w:val="20"/>
          <w:szCs w:val="20"/>
          <w:color w:val="auto"/>
        </w:rPr>
      </w:pPr>
    </w:p>
    <w:p>
      <w:pPr>
        <w:jc w:val="both"/>
        <w:ind w:left="500" w:hanging="6"/>
        <w:spacing w:after="0" w:line="250" w:lineRule="auto"/>
        <w:tabs>
          <w:tab w:leader="none" w:pos="8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licensing of trademarks, (iv) access to credit facilities and use of derivatives and (v) issuances of debt or equity securities. The guarantees or indemnifications issued are for the benefit of the (i) buyers in sale agreements and sellers in purchase agreements,</w:t>
      </w:r>
    </w:p>
    <w:p>
      <w:pPr>
        <w:ind w:left="740" w:hanging="246"/>
        <w:spacing w:after="0"/>
        <w:tabs>
          <w:tab w:leader="none" w:pos="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landlords in lease contracts, (iii) licensees under licensing agreements, (iv) financial institutions in credit facility arrangements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derivative contracts and (v) underwriters and placement agents in debt or equity security issuances. While some of these guarantees extend only for the duration of the underlying agreement, many may survive the expiration of the term of the agreement or extend into perpetuity (unless subject to a legal statute of limitations). There are no specific limitations on the maximum potential amount of future payments that we could be required to make under these guarantees, nor are we able to develop an estimate of the maximum potential amount of future payments to be made under these guarantees as the triggering events are not subject to predictability. With respect to certain of the aforementioned guarantees, such as indemnifications provided to landlords against third-party claims for the use of real estate property leased by us, we maintains insurance coverage that mitigates our potential exposure.</w:t>
      </w:r>
    </w:p>
    <w:p>
      <w:pPr>
        <w:spacing w:after="0" w:line="212" w:lineRule="exact"/>
        <w:rPr>
          <w:sz w:val="20"/>
          <w:szCs w:val="20"/>
          <w:color w:val="auto"/>
        </w:rPr>
      </w:pPr>
    </w:p>
    <w:p>
      <w:pPr>
        <w:ind w:left="500" w:right="8600" w:hanging="492"/>
        <w:spacing w:after="0" w:line="477" w:lineRule="auto"/>
        <w:tabs>
          <w:tab w:leader="none" w:pos="464"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Cash Dividend Payments</w:t>
      </w:r>
    </w:p>
    <w:p>
      <w:pPr>
        <w:spacing w:after="0" w:line="1"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color w:val="auto"/>
        </w:rPr>
        <w:t>During 2021, 2020 and 2019, we did not declare or pay any cash dividends. Our ability to pay dividends to holders of our common stock is limited by our senior credit facility, the indentures governing our senior notes and our vehicle financing programs.</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93"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262626"/>
        </w:rPr>
        <w:t xml:space="preserve">Our Board of Directors has authorized the repurchase of up to approximately $4.1 billion of our common stock under a plan originally approved in 2013 and subsequently expanded, most recently in November 2021. </w:t>
      </w:r>
      <w:r>
        <w:rPr>
          <w:rFonts w:ascii="Arial" w:cs="Arial" w:eastAsia="Arial" w:hAnsi="Arial"/>
          <w:sz w:val="18"/>
          <w:szCs w:val="18"/>
          <w:color w:val="000000"/>
        </w:rPr>
        <w:t>During 2021, 2020 and 2019, we repurchased</w:t>
      </w:r>
      <w:r>
        <w:rPr>
          <w:rFonts w:ascii="Arial" w:cs="Arial" w:eastAsia="Arial" w:hAnsi="Arial"/>
          <w:sz w:val="18"/>
          <w:szCs w:val="18"/>
          <w:color w:val="262626"/>
        </w:rPr>
        <w:t xml:space="preserve"> </w:t>
      </w:r>
      <w:r>
        <w:rPr>
          <w:rFonts w:ascii="Arial" w:cs="Arial" w:eastAsia="Arial" w:hAnsi="Arial"/>
          <w:sz w:val="18"/>
          <w:szCs w:val="18"/>
          <w:color w:val="000000"/>
        </w:rPr>
        <w:t>approximately 21.5 million shares of common stock at a cost of approximately $1.6 billion under the program. As of December 31, 2021, approximately $959 million of authorization remained available to repurchase common stock under this plan.</w:t>
      </w:r>
    </w:p>
    <w:p>
      <w:pPr>
        <w:spacing w:after="0" w:line="231"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In June 2019, as part of our share repurchase program, we entered into a structured repurchase agreement involving the use of capped call options for the purchase of our common stock. We paid a fixed sum upon the execution of the agreement in exchange for the right to receive either a pre-determined amount of cash or stock. We paid net premiums of $16 million to enter into this agreement, which was recorded as a reduction of additional paid in capital. In September 2019, the capped call options expired and all outstanding options settled for 0.6 million shares.</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Share Issuances</w:t>
      </w:r>
    </w:p>
    <w:p>
      <w:pPr>
        <w:spacing w:after="0" w:line="274"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On February 10, 2020, we announced we had appointed a new Chairman of the Board of Directors and in connection with this appointment, the new Chairman purchased an aggregate $ 15 million of unregistered shares of our common stock at a price per share equal to the closing price of our common stock on February 7, 2020. We issued the common stock from treasury shares.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income (loss) are as follows:</w:t>
      </w:r>
    </w:p>
    <w:p>
      <w:pPr>
        <w:spacing w:after="0" w:line="9" w:lineRule="exact"/>
        <w:rPr>
          <w:sz w:val="20"/>
          <w:szCs w:val="20"/>
          <w:color w:val="auto"/>
        </w:rPr>
      </w:pPr>
    </w:p>
    <w:tbl>
      <w:tblPr>
        <w:tblLayout w:type="fixed"/>
        <w:tblInd w:w="4740" w:type="dxa"/>
        <w:tblCellMar>
          <w:top w:w="0" w:type="dxa"/>
          <w:left w:w="0" w:type="dxa"/>
          <w:bottom w:w="0" w:type="dxa"/>
          <w:right w:w="0" w:type="dxa"/>
        </w:tblCellMar>
      </w:tblPr>
      <w:tr>
        <w:trPr>
          <w:trHeight w:val="149"/>
        </w:trPr>
        <w:tc>
          <w:tcPr>
            <w:tcW w:w="1400" w:type="dxa"/>
            <w:vAlign w:val="bottom"/>
            <w:vMerge w:val="restart"/>
          </w:tcPr>
          <w:p>
            <w:pPr>
              <w:jc w:val="center"/>
              <w:ind w:right="77"/>
              <w:spacing w:after="0"/>
              <w:rPr>
                <w:sz w:val="20"/>
                <w:szCs w:val="20"/>
                <w:color w:val="auto"/>
              </w:rPr>
            </w:pPr>
            <w:r>
              <w:rPr>
                <w:rFonts w:ascii="Arial" w:cs="Arial" w:eastAsia="Arial" w:hAnsi="Arial"/>
                <w:sz w:val="13"/>
                <w:szCs w:val="13"/>
                <w:b w:val="1"/>
                <w:bCs w:val="1"/>
                <w:color w:val="auto"/>
                <w:w w:val="96"/>
              </w:rPr>
              <w:t>Currency Translation</w:t>
            </w: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7"/>
              </w:rPr>
              <w:t>Net Unrealized</w:t>
            </w: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97"/>
              </w:rPr>
              <w:t>Minimum Pension</w:t>
            </w:r>
          </w:p>
        </w:tc>
        <w:tc>
          <w:tcPr>
            <w:tcW w:w="1380" w:type="dxa"/>
            <w:vAlign w:val="bottom"/>
          </w:tcPr>
          <w:p>
            <w:pPr>
              <w:jc w:val="center"/>
              <w:ind w:left="157"/>
              <w:spacing w:after="0"/>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15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Gains (Losses) on</w:t>
            </w:r>
          </w:p>
        </w:tc>
        <w:tc>
          <w:tcPr>
            <w:tcW w:w="14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Liability</w:t>
            </w:r>
          </w:p>
        </w:tc>
        <w:tc>
          <w:tcPr>
            <w:tcW w:w="1380" w:type="dxa"/>
            <w:vAlign w:val="bottom"/>
          </w:tcPr>
          <w:p>
            <w:pPr>
              <w:jc w:val="center"/>
              <w:ind w:left="137"/>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76"/>
        </w:trPr>
        <w:tc>
          <w:tcPr>
            <w:tcW w:w="1400" w:type="dxa"/>
            <w:vAlign w:val="bottom"/>
          </w:tcPr>
          <w:p>
            <w:pPr>
              <w:jc w:val="center"/>
              <w:ind w:right="37"/>
              <w:spacing w:after="0" w:line="175" w:lineRule="exact"/>
              <w:rPr>
                <w:sz w:val="20"/>
                <w:szCs w:val="20"/>
                <w:color w:val="auto"/>
              </w:rPr>
            </w:pPr>
            <w:r>
              <w:rPr>
                <w:rFonts w:ascii="Arial" w:cs="Arial" w:eastAsia="Arial" w:hAnsi="Arial"/>
                <w:sz w:val="13"/>
                <w:szCs w:val="13"/>
                <w:b w:val="1"/>
                <w:bCs w:val="1"/>
                <w:color w:val="auto"/>
                <w:w w:val="94"/>
              </w:rPr>
              <w:t xml:space="preserve">Adjustments </w:t>
            </w:r>
            <w:r>
              <w:rPr>
                <w:rFonts w:ascii="Arial" w:cs="Arial" w:eastAsia="Arial" w:hAnsi="Arial"/>
                <w:sz w:val="16"/>
                <w:szCs w:val="16"/>
                <w:b w:val="1"/>
                <w:bCs w:val="1"/>
                <w:color w:val="auto"/>
                <w:w w:val="94"/>
                <w:vertAlign w:val="superscript"/>
              </w:rPr>
              <w:t>(a)</w:t>
            </w:r>
          </w:p>
        </w:tc>
        <w:tc>
          <w:tcPr>
            <w:tcW w:w="1580" w:type="dxa"/>
            <w:vAlign w:val="bottom"/>
          </w:tcPr>
          <w:p>
            <w:pPr>
              <w:jc w:val="center"/>
              <w:spacing w:after="0" w:line="175" w:lineRule="exact"/>
              <w:rPr>
                <w:sz w:val="20"/>
                <w:szCs w:val="20"/>
                <w:color w:val="auto"/>
              </w:rPr>
            </w:pPr>
            <w:r>
              <w:rPr>
                <w:rFonts w:ascii="Arial" w:cs="Arial" w:eastAsia="Arial" w:hAnsi="Arial"/>
                <w:sz w:val="13"/>
                <w:szCs w:val="13"/>
                <w:b w:val="1"/>
                <w:bCs w:val="1"/>
                <w:color w:val="auto"/>
                <w:w w:val="94"/>
              </w:rPr>
              <w:t xml:space="preserve">Cash Flow Hedges </w:t>
            </w:r>
            <w:r>
              <w:rPr>
                <w:rFonts w:ascii="Arial" w:cs="Arial" w:eastAsia="Arial" w:hAnsi="Arial"/>
                <w:sz w:val="16"/>
                <w:szCs w:val="16"/>
                <w:b w:val="1"/>
                <w:bCs w:val="1"/>
                <w:color w:val="auto"/>
                <w:w w:val="94"/>
                <w:vertAlign w:val="superscript"/>
              </w:rPr>
              <w:t>(b)</w:t>
            </w:r>
          </w:p>
        </w:tc>
        <w:tc>
          <w:tcPr>
            <w:tcW w:w="1460" w:type="dxa"/>
            <w:vAlign w:val="bottom"/>
          </w:tcPr>
          <w:p>
            <w:pPr>
              <w:jc w:val="center"/>
              <w:spacing w:after="0" w:line="175" w:lineRule="exact"/>
              <w:rPr>
                <w:sz w:val="20"/>
                <w:szCs w:val="20"/>
                <w:color w:val="auto"/>
              </w:rPr>
            </w:pPr>
            <w:r>
              <w:rPr>
                <w:rFonts w:ascii="Arial" w:cs="Arial" w:eastAsia="Arial" w:hAnsi="Arial"/>
                <w:sz w:val="13"/>
                <w:szCs w:val="13"/>
                <w:b w:val="1"/>
                <w:bCs w:val="1"/>
                <w:color w:val="auto"/>
                <w:w w:val="95"/>
              </w:rPr>
              <w:t xml:space="preserve">Adjustment </w:t>
            </w:r>
            <w:r>
              <w:rPr>
                <w:rFonts w:ascii="Arial" w:cs="Arial" w:eastAsia="Arial" w:hAnsi="Arial"/>
                <w:sz w:val="16"/>
                <w:szCs w:val="16"/>
                <w:b w:val="1"/>
                <w:bCs w:val="1"/>
                <w:color w:val="auto"/>
                <w:w w:val="95"/>
                <w:vertAlign w:val="superscript"/>
              </w:rPr>
              <w:t>(c)</w:t>
            </w:r>
          </w:p>
        </w:tc>
        <w:tc>
          <w:tcPr>
            <w:tcW w:w="1380" w:type="dxa"/>
            <w:vAlign w:val="bottom"/>
          </w:tcPr>
          <w:p>
            <w:pPr>
              <w:jc w:val="center"/>
              <w:ind w:left="137"/>
              <w:spacing w:after="0"/>
              <w:rPr>
                <w:sz w:val="20"/>
                <w:szCs w:val="20"/>
                <w:color w:val="auto"/>
              </w:rPr>
            </w:pPr>
            <w:r>
              <w:rPr>
                <w:rFonts w:ascii="Arial" w:cs="Arial" w:eastAsia="Arial" w:hAnsi="Arial"/>
                <w:sz w:val="13"/>
                <w:szCs w:val="13"/>
                <w:b w:val="1"/>
                <w:bCs w:val="1"/>
                <w:color w:val="auto"/>
                <w:w w:val="97"/>
              </w:rPr>
              <w:t>Income (Loss)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0</wp:posOffset>
            </wp:positionV>
            <wp:extent cx="8997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99795"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8" w:lineRule="exact"/>
        <w:rPr>
          <w:sz w:val="20"/>
          <w:szCs w:val="20"/>
          <w:color w:val="auto"/>
        </w:rPr>
      </w:pPr>
    </w:p>
    <w:tbl>
      <w:tblPr>
        <w:tblLayout w:type="fixed"/>
        <w:tblInd w:w="520" w:type="dxa"/>
        <w:tblCellMar>
          <w:top w:w="0" w:type="dxa"/>
          <w:left w:w="0" w:type="dxa"/>
          <w:bottom w:w="0" w:type="dxa"/>
          <w:right w:w="0" w:type="dxa"/>
        </w:tblCellMar>
      </w:tblPr>
      <w:tr>
        <w:trPr>
          <w:trHeight w:val="165"/>
        </w:trPr>
        <w:tc>
          <w:tcPr>
            <w:tcW w:w="4080" w:type="dxa"/>
            <w:vAlign w:val="bottom"/>
          </w:tcPr>
          <w:p>
            <w:pPr>
              <w:spacing w:after="0"/>
              <w:rPr>
                <w:sz w:val="20"/>
                <w:szCs w:val="20"/>
                <w:color w:val="auto"/>
              </w:rPr>
            </w:pPr>
            <w:r>
              <w:rPr>
                <w:rFonts w:ascii="Arial" w:cs="Arial" w:eastAsia="Arial" w:hAnsi="Arial"/>
                <w:sz w:val="13"/>
                <w:szCs w:val="13"/>
                <w:color w:val="auto"/>
              </w:rPr>
              <w:t>Balance, December 31, 2018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4080" w:type="dxa"/>
            <w:vAlign w:val="bottom"/>
          </w:tcPr>
          <w:p>
            <w:pPr>
              <w:ind w:left="160"/>
              <w:spacing w:after="0"/>
              <w:rPr>
                <w:sz w:val="20"/>
                <w:szCs w:val="20"/>
                <w:color w:val="auto"/>
              </w:rPr>
            </w:pPr>
            <w:r>
              <w:rPr>
                <w:rFonts w:ascii="Arial" w:cs="Arial" w:eastAsia="Arial" w:hAnsi="Arial"/>
                <w:sz w:val="13"/>
                <w:szCs w:val="13"/>
                <w:color w:val="auto"/>
              </w:rPr>
              <w:t>Cumulative effect of accounting change</w:t>
            </w:r>
          </w:p>
        </w:tc>
        <w:tc>
          <w:tcPr>
            <w:tcW w:w="160" w:type="dxa"/>
            <w:vAlign w:val="bottom"/>
          </w:tcPr>
          <w:p>
            <w:pPr>
              <w:spacing w:after="0"/>
              <w:rPr>
                <w:sz w:val="15"/>
                <w:szCs w:val="15"/>
                <w:color w:val="auto"/>
              </w:rPr>
            </w:pPr>
          </w:p>
        </w:tc>
      </w:tr>
      <w:tr>
        <w:trPr>
          <w:trHeight w:val="176"/>
        </w:trPr>
        <w:tc>
          <w:tcPr>
            <w:tcW w:w="4080" w:type="dxa"/>
            <w:vAlign w:val="bottom"/>
          </w:tcPr>
          <w:p>
            <w:pPr>
              <w:spacing w:after="0"/>
              <w:rPr>
                <w:sz w:val="20"/>
                <w:szCs w:val="20"/>
                <w:color w:val="auto"/>
              </w:rPr>
            </w:pPr>
            <w:r>
              <w:rPr>
                <w:rFonts w:ascii="Arial" w:cs="Arial" w:eastAsia="Arial" w:hAnsi="Arial"/>
                <w:sz w:val="13"/>
                <w:szCs w:val="13"/>
                <w:color w:val="auto"/>
              </w:rPr>
              <w:t>Balance, January 1, 2019</w:t>
            </w:r>
          </w:p>
        </w:tc>
        <w:tc>
          <w:tcPr>
            <w:tcW w:w="160" w:type="dxa"/>
            <w:vAlign w:val="bottom"/>
          </w:tcPr>
          <w:p>
            <w:pPr>
              <w:spacing w:after="0"/>
              <w:rPr>
                <w:sz w:val="15"/>
                <w:szCs w:val="15"/>
                <w:color w:val="auto"/>
              </w:rPr>
            </w:pPr>
          </w:p>
        </w:tc>
      </w:tr>
      <w:tr>
        <w:trPr>
          <w:trHeight w:val="189"/>
        </w:trPr>
        <w:tc>
          <w:tcPr>
            <w:tcW w:w="4080" w:type="dxa"/>
            <w:vAlign w:val="bottom"/>
          </w:tcPr>
          <w:p>
            <w:pPr>
              <w:ind w:left="160"/>
              <w:spacing w:after="0"/>
              <w:rPr>
                <w:sz w:val="20"/>
                <w:szCs w:val="20"/>
                <w:color w:val="auto"/>
              </w:rPr>
            </w:pPr>
            <w:r>
              <w:rPr>
                <w:rFonts w:ascii="Arial" w:cs="Arial" w:eastAsia="Arial" w:hAnsi="Arial"/>
                <w:sz w:val="13"/>
                <w:szCs w:val="13"/>
                <w:color w:val="auto"/>
              </w:rPr>
              <w:t>Other comprehensive income (loss) before reclassifications</w:t>
            </w:r>
          </w:p>
        </w:tc>
        <w:tc>
          <w:tcPr>
            <w:tcW w:w="160" w:type="dxa"/>
            <w:vAlign w:val="bottom"/>
          </w:tcPr>
          <w:p>
            <w:pPr>
              <w:spacing w:after="0"/>
              <w:rPr>
                <w:sz w:val="16"/>
                <w:szCs w:val="16"/>
                <w:color w:val="auto"/>
              </w:rPr>
            </w:pPr>
          </w:p>
        </w:tc>
      </w:tr>
      <w:tr>
        <w:trPr>
          <w:trHeight w:val="159"/>
        </w:trPr>
        <w:tc>
          <w:tcPr>
            <w:tcW w:w="4080" w:type="dxa"/>
            <w:vAlign w:val="bottom"/>
          </w:tcPr>
          <w:p>
            <w:pPr>
              <w:ind w:left="160"/>
              <w:spacing w:after="0"/>
              <w:rPr>
                <w:sz w:val="20"/>
                <w:szCs w:val="20"/>
                <w:color w:val="auto"/>
              </w:rPr>
            </w:pPr>
            <w:r>
              <w:rPr>
                <w:rFonts w:ascii="Arial" w:cs="Arial" w:eastAsia="Arial" w:hAnsi="Arial"/>
                <w:sz w:val="13"/>
                <w:szCs w:val="13"/>
                <w:color w:val="auto"/>
                <w:w w:val="98"/>
              </w:rPr>
              <w:t>Amounts reclassified from accumulated other comprehensive income</w:t>
            </w:r>
          </w:p>
        </w:tc>
        <w:tc>
          <w:tcPr>
            <w:tcW w:w="160" w:type="dxa"/>
            <w:vAlign w:val="bottom"/>
          </w:tcPr>
          <w:p>
            <w:pPr>
              <w:spacing w:after="0"/>
              <w:rPr>
                <w:sz w:val="13"/>
                <w:szCs w:val="13"/>
                <w:color w:val="auto"/>
              </w:rPr>
            </w:pPr>
          </w:p>
        </w:tc>
      </w:tr>
      <w:tr>
        <w:trPr>
          <w:trHeight w:val="152"/>
        </w:trPr>
        <w:tc>
          <w:tcPr>
            <w:tcW w:w="4080" w:type="dxa"/>
            <w:vAlign w:val="bottom"/>
          </w:tcPr>
          <w:p>
            <w:pPr>
              <w:ind w:left="320"/>
              <w:spacing w:after="0"/>
              <w:rPr>
                <w:sz w:val="20"/>
                <w:szCs w:val="20"/>
                <w:color w:val="auto"/>
              </w:rPr>
            </w:pPr>
            <w:r>
              <w:rPr>
                <w:rFonts w:ascii="Arial" w:cs="Arial" w:eastAsia="Arial" w:hAnsi="Arial"/>
                <w:sz w:val="13"/>
                <w:szCs w:val="13"/>
                <w:color w:val="auto"/>
              </w:rPr>
              <w:t>(loss)</w:t>
            </w:r>
          </w:p>
        </w:tc>
        <w:tc>
          <w:tcPr>
            <w:tcW w:w="160" w:type="dxa"/>
            <w:vAlign w:val="bottom"/>
          </w:tcPr>
          <w:p>
            <w:pPr>
              <w:spacing w:after="0"/>
              <w:rPr>
                <w:sz w:val="13"/>
                <w:szCs w:val="13"/>
                <w:color w:val="auto"/>
              </w:rPr>
            </w:pPr>
          </w:p>
        </w:tc>
      </w:tr>
      <w:tr>
        <w:trPr>
          <w:trHeight w:val="176"/>
        </w:trPr>
        <w:tc>
          <w:tcPr>
            <w:tcW w:w="4080" w:type="dxa"/>
            <w:vAlign w:val="bottom"/>
          </w:tcPr>
          <w:p>
            <w:pPr>
              <w:spacing w:after="0"/>
              <w:rPr>
                <w:sz w:val="20"/>
                <w:szCs w:val="20"/>
                <w:color w:val="auto"/>
              </w:rPr>
            </w:pPr>
            <w:r>
              <w:rPr>
                <w:rFonts w:ascii="Arial" w:cs="Arial" w:eastAsia="Arial" w:hAnsi="Arial"/>
                <w:sz w:val="13"/>
                <w:szCs w:val="13"/>
                <w:color w:val="auto"/>
              </w:rPr>
              <w:t>Net current-period other comprehensive income (loss)</w:t>
            </w:r>
          </w:p>
        </w:tc>
        <w:tc>
          <w:tcPr>
            <w:tcW w:w="160" w:type="dxa"/>
            <w:vAlign w:val="bottom"/>
          </w:tcPr>
          <w:p>
            <w:pPr>
              <w:spacing w:after="0"/>
              <w:rPr>
                <w:sz w:val="15"/>
                <w:szCs w:val="15"/>
                <w:color w:val="auto"/>
              </w:rPr>
            </w:pPr>
          </w:p>
        </w:tc>
      </w:tr>
      <w:tr>
        <w:trPr>
          <w:trHeight w:val="189"/>
        </w:trPr>
        <w:tc>
          <w:tcPr>
            <w:tcW w:w="4080" w:type="dxa"/>
            <w:vAlign w:val="bottom"/>
          </w:tcPr>
          <w:p>
            <w:pPr>
              <w:spacing w:after="0"/>
              <w:rPr>
                <w:sz w:val="20"/>
                <w:szCs w:val="20"/>
                <w:color w:val="auto"/>
              </w:rPr>
            </w:pPr>
            <w:r>
              <w:rPr>
                <w:rFonts w:ascii="Arial" w:cs="Arial" w:eastAsia="Arial" w:hAnsi="Arial"/>
                <w:sz w:val="13"/>
                <w:szCs w:val="13"/>
                <w:color w:val="auto"/>
              </w:rPr>
              <w:t>Balance, December 31, 2019</w:t>
            </w:r>
          </w:p>
        </w:tc>
        <w:tc>
          <w:tcPr>
            <w:tcW w:w="160" w:type="dxa"/>
            <w:vAlign w:val="bottom"/>
          </w:tcPr>
          <w:p>
            <w:pPr>
              <w:spacing w:after="0"/>
              <w:rPr>
                <w:sz w:val="16"/>
                <w:szCs w:val="16"/>
                <w:color w:val="auto"/>
              </w:rPr>
            </w:pPr>
          </w:p>
        </w:tc>
      </w:tr>
      <w:tr>
        <w:trPr>
          <w:trHeight w:val="189"/>
        </w:trPr>
        <w:tc>
          <w:tcPr>
            <w:tcW w:w="4080" w:type="dxa"/>
            <w:vAlign w:val="bottom"/>
          </w:tcPr>
          <w:p>
            <w:pPr>
              <w:ind w:left="160"/>
              <w:spacing w:after="0"/>
              <w:rPr>
                <w:sz w:val="20"/>
                <w:szCs w:val="20"/>
                <w:color w:val="auto"/>
              </w:rPr>
            </w:pPr>
            <w:r>
              <w:rPr>
                <w:rFonts w:ascii="Arial" w:cs="Arial" w:eastAsia="Arial" w:hAnsi="Arial"/>
                <w:sz w:val="13"/>
                <w:szCs w:val="13"/>
                <w:color w:val="auto"/>
              </w:rPr>
              <w:t>Other comprehensive income (loss) before reclassifications</w:t>
            </w:r>
          </w:p>
        </w:tc>
        <w:tc>
          <w:tcPr>
            <w:tcW w:w="160" w:type="dxa"/>
            <w:vAlign w:val="bottom"/>
          </w:tcPr>
          <w:p>
            <w:pPr>
              <w:spacing w:after="0"/>
              <w:rPr>
                <w:sz w:val="16"/>
                <w:szCs w:val="16"/>
                <w:color w:val="auto"/>
              </w:rPr>
            </w:pPr>
          </w:p>
        </w:tc>
      </w:tr>
      <w:tr>
        <w:trPr>
          <w:trHeight w:val="159"/>
        </w:trPr>
        <w:tc>
          <w:tcPr>
            <w:tcW w:w="4080" w:type="dxa"/>
            <w:vAlign w:val="bottom"/>
          </w:tcPr>
          <w:p>
            <w:pPr>
              <w:ind w:left="160"/>
              <w:spacing w:after="0"/>
              <w:rPr>
                <w:sz w:val="20"/>
                <w:szCs w:val="20"/>
                <w:color w:val="auto"/>
              </w:rPr>
            </w:pPr>
            <w:r>
              <w:rPr>
                <w:rFonts w:ascii="Arial" w:cs="Arial" w:eastAsia="Arial" w:hAnsi="Arial"/>
                <w:sz w:val="13"/>
                <w:szCs w:val="13"/>
                <w:color w:val="auto"/>
                <w:w w:val="98"/>
              </w:rPr>
              <w:t>Amounts reclassified from accumulated other comprehensive income</w:t>
            </w:r>
          </w:p>
        </w:tc>
        <w:tc>
          <w:tcPr>
            <w:tcW w:w="160" w:type="dxa"/>
            <w:vAlign w:val="bottom"/>
          </w:tcPr>
          <w:p>
            <w:pPr>
              <w:spacing w:after="0"/>
              <w:rPr>
                <w:sz w:val="13"/>
                <w:szCs w:val="13"/>
                <w:color w:val="auto"/>
              </w:rPr>
            </w:pPr>
          </w:p>
        </w:tc>
      </w:tr>
      <w:tr>
        <w:trPr>
          <w:trHeight w:val="152"/>
        </w:trPr>
        <w:tc>
          <w:tcPr>
            <w:tcW w:w="4080" w:type="dxa"/>
            <w:vAlign w:val="bottom"/>
          </w:tcPr>
          <w:p>
            <w:pPr>
              <w:ind w:left="320"/>
              <w:spacing w:after="0"/>
              <w:rPr>
                <w:sz w:val="20"/>
                <w:szCs w:val="20"/>
                <w:color w:val="auto"/>
              </w:rPr>
            </w:pPr>
            <w:r>
              <w:rPr>
                <w:rFonts w:ascii="Arial" w:cs="Arial" w:eastAsia="Arial" w:hAnsi="Arial"/>
                <w:sz w:val="13"/>
                <w:szCs w:val="13"/>
                <w:color w:val="auto"/>
              </w:rPr>
              <w:t>(loss)</w:t>
            </w:r>
          </w:p>
        </w:tc>
        <w:tc>
          <w:tcPr>
            <w:tcW w:w="160" w:type="dxa"/>
            <w:vAlign w:val="bottom"/>
          </w:tcPr>
          <w:p>
            <w:pPr>
              <w:spacing w:after="0"/>
              <w:rPr>
                <w:sz w:val="13"/>
                <w:szCs w:val="13"/>
                <w:color w:val="auto"/>
              </w:rPr>
            </w:pPr>
          </w:p>
        </w:tc>
      </w:tr>
      <w:tr>
        <w:trPr>
          <w:trHeight w:val="175"/>
        </w:trPr>
        <w:tc>
          <w:tcPr>
            <w:tcW w:w="4080" w:type="dxa"/>
            <w:vAlign w:val="bottom"/>
          </w:tcPr>
          <w:p>
            <w:pPr>
              <w:spacing w:after="0"/>
              <w:rPr>
                <w:sz w:val="20"/>
                <w:szCs w:val="20"/>
                <w:color w:val="auto"/>
              </w:rPr>
            </w:pPr>
            <w:r>
              <w:rPr>
                <w:rFonts w:ascii="Arial" w:cs="Arial" w:eastAsia="Arial" w:hAnsi="Arial"/>
                <w:sz w:val="13"/>
                <w:szCs w:val="13"/>
                <w:color w:val="auto"/>
              </w:rPr>
              <w:t>Net current-period other comprehensive income (loss)</w:t>
            </w:r>
          </w:p>
        </w:tc>
        <w:tc>
          <w:tcPr>
            <w:tcW w:w="160" w:type="dxa"/>
            <w:vAlign w:val="bottom"/>
          </w:tcPr>
          <w:p>
            <w:pPr>
              <w:spacing w:after="0"/>
              <w:rPr>
                <w:sz w:val="15"/>
                <w:szCs w:val="15"/>
                <w:color w:val="auto"/>
              </w:rPr>
            </w:pPr>
          </w:p>
        </w:tc>
      </w:tr>
      <w:tr>
        <w:trPr>
          <w:trHeight w:val="189"/>
        </w:trPr>
        <w:tc>
          <w:tcPr>
            <w:tcW w:w="4080" w:type="dxa"/>
            <w:vAlign w:val="bottom"/>
          </w:tcPr>
          <w:p>
            <w:pPr>
              <w:spacing w:after="0"/>
              <w:rPr>
                <w:sz w:val="20"/>
                <w:szCs w:val="20"/>
                <w:color w:val="auto"/>
              </w:rPr>
            </w:pPr>
            <w:r>
              <w:rPr>
                <w:rFonts w:ascii="Arial" w:cs="Arial" w:eastAsia="Arial" w:hAnsi="Arial"/>
                <w:sz w:val="13"/>
                <w:szCs w:val="13"/>
                <w:color w:val="auto"/>
              </w:rPr>
              <w:t>Balance, December 31, 2020</w:t>
            </w:r>
          </w:p>
        </w:tc>
        <w:tc>
          <w:tcPr>
            <w:tcW w:w="160" w:type="dxa"/>
            <w:vAlign w:val="bottom"/>
          </w:tcPr>
          <w:p>
            <w:pPr>
              <w:spacing w:after="0"/>
              <w:rPr>
                <w:sz w:val="16"/>
                <w:szCs w:val="16"/>
                <w:color w:val="auto"/>
              </w:rPr>
            </w:pPr>
          </w:p>
        </w:tc>
      </w:tr>
      <w:tr>
        <w:trPr>
          <w:trHeight w:val="189"/>
        </w:trPr>
        <w:tc>
          <w:tcPr>
            <w:tcW w:w="4080" w:type="dxa"/>
            <w:vAlign w:val="bottom"/>
          </w:tcPr>
          <w:p>
            <w:pPr>
              <w:ind w:left="160"/>
              <w:spacing w:after="0"/>
              <w:rPr>
                <w:sz w:val="20"/>
                <w:szCs w:val="20"/>
                <w:color w:val="auto"/>
              </w:rPr>
            </w:pPr>
            <w:r>
              <w:rPr>
                <w:rFonts w:ascii="Arial" w:cs="Arial" w:eastAsia="Arial" w:hAnsi="Arial"/>
                <w:sz w:val="13"/>
                <w:szCs w:val="13"/>
                <w:color w:val="auto"/>
              </w:rPr>
              <w:t>Other comprehensive income (loss) before reclassifications</w:t>
            </w:r>
          </w:p>
        </w:tc>
        <w:tc>
          <w:tcPr>
            <w:tcW w:w="160" w:type="dxa"/>
            <w:vAlign w:val="bottom"/>
          </w:tcPr>
          <w:p>
            <w:pPr>
              <w:spacing w:after="0"/>
              <w:rPr>
                <w:sz w:val="16"/>
                <w:szCs w:val="16"/>
                <w:color w:val="auto"/>
              </w:rPr>
            </w:pPr>
          </w:p>
        </w:tc>
      </w:tr>
      <w:tr>
        <w:trPr>
          <w:trHeight w:val="159"/>
        </w:trPr>
        <w:tc>
          <w:tcPr>
            <w:tcW w:w="4080" w:type="dxa"/>
            <w:vAlign w:val="bottom"/>
          </w:tcPr>
          <w:p>
            <w:pPr>
              <w:ind w:left="160"/>
              <w:spacing w:after="0"/>
              <w:rPr>
                <w:sz w:val="20"/>
                <w:szCs w:val="20"/>
                <w:color w:val="auto"/>
              </w:rPr>
            </w:pPr>
            <w:r>
              <w:rPr>
                <w:rFonts w:ascii="Arial" w:cs="Arial" w:eastAsia="Arial" w:hAnsi="Arial"/>
                <w:sz w:val="13"/>
                <w:szCs w:val="13"/>
                <w:color w:val="auto"/>
                <w:w w:val="98"/>
              </w:rPr>
              <w:t>Amounts reclassified from accumulated other comprehensive income</w:t>
            </w:r>
          </w:p>
        </w:tc>
        <w:tc>
          <w:tcPr>
            <w:tcW w:w="160" w:type="dxa"/>
            <w:vAlign w:val="bottom"/>
          </w:tcPr>
          <w:p>
            <w:pPr>
              <w:spacing w:after="0"/>
              <w:rPr>
                <w:sz w:val="13"/>
                <w:szCs w:val="13"/>
                <w:color w:val="auto"/>
              </w:rPr>
            </w:pPr>
          </w:p>
        </w:tc>
      </w:tr>
      <w:tr>
        <w:trPr>
          <w:trHeight w:val="152"/>
        </w:trPr>
        <w:tc>
          <w:tcPr>
            <w:tcW w:w="4080" w:type="dxa"/>
            <w:vAlign w:val="bottom"/>
          </w:tcPr>
          <w:p>
            <w:pPr>
              <w:ind w:left="320"/>
              <w:spacing w:after="0"/>
              <w:rPr>
                <w:sz w:val="20"/>
                <w:szCs w:val="20"/>
                <w:color w:val="auto"/>
              </w:rPr>
            </w:pPr>
            <w:r>
              <w:rPr>
                <w:rFonts w:ascii="Arial" w:cs="Arial" w:eastAsia="Arial" w:hAnsi="Arial"/>
                <w:sz w:val="13"/>
                <w:szCs w:val="13"/>
                <w:color w:val="auto"/>
              </w:rPr>
              <w:t>(loss)</w:t>
            </w:r>
          </w:p>
        </w:tc>
        <w:tc>
          <w:tcPr>
            <w:tcW w:w="160" w:type="dxa"/>
            <w:vAlign w:val="bottom"/>
          </w:tcPr>
          <w:p>
            <w:pPr>
              <w:spacing w:after="0"/>
              <w:rPr>
                <w:sz w:val="13"/>
                <w:szCs w:val="13"/>
                <w:color w:val="auto"/>
              </w:rPr>
            </w:pPr>
          </w:p>
        </w:tc>
      </w:tr>
      <w:tr>
        <w:trPr>
          <w:trHeight w:val="175"/>
        </w:trPr>
        <w:tc>
          <w:tcPr>
            <w:tcW w:w="4080" w:type="dxa"/>
            <w:vAlign w:val="bottom"/>
          </w:tcPr>
          <w:p>
            <w:pPr>
              <w:spacing w:after="0"/>
              <w:rPr>
                <w:sz w:val="20"/>
                <w:szCs w:val="20"/>
                <w:color w:val="auto"/>
              </w:rPr>
            </w:pPr>
            <w:r>
              <w:rPr>
                <w:rFonts w:ascii="Arial" w:cs="Arial" w:eastAsia="Arial" w:hAnsi="Arial"/>
                <w:sz w:val="13"/>
                <w:szCs w:val="13"/>
                <w:color w:val="auto"/>
              </w:rPr>
              <w:t>Net current-period other comprehensive income (loss)</w:t>
            </w:r>
          </w:p>
        </w:tc>
        <w:tc>
          <w:tcPr>
            <w:tcW w:w="160" w:type="dxa"/>
            <w:vAlign w:val="bottom"/>
          </w:tcPr>
          <w:p>
            <w:pPr>
              <w:spacing w:after="0"/>
              <w:rPr>
                <w:sz w:val="15"/>
                <w:szCs w:val="15"/>
                <w:color w:val="auto"/>
              </w:rPr>
            </w:pPr>
          </w:p>
        </w:tc>
      </w:tr>
      <w:tr>
        <w:trPr>
          <w:trHeight w:val="203"/>
        </w:trPr>
        <w:tc>
          <w:tcPr>
            <w:tcW w:w="4080" w:type="dxa"/>
            <w:vAlign w:val="bottom"/>
          </w:tcPr>
          <w:p>
            <w:pPr>
              <w:spacing w:after="0"/>
              <w:rPr>
                <w:sz w:val="20"/>
                <w:szCs w:val="20"/>
                <w:color w:val="auto"/>
              </w:rPr>
            </w:pPr>
            <w:r>
              <w:rPr>
                <w:rFonts w:ascii="Arial" w:cs="Arial" w:eastAsia="Arial" w:hAnsi="Arial"/>
                <w:sz w:val="13"/>
                <w:szCs w:val="13"/>
                <w:color w:val="auto"/>
              </w:rPr>
              <w:t>Balance, December 31, 2021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360" w:type="dxa"/>
            <w:vAlign w:val="bottom"/>
          </w:tcPr>
          <w:p>
            <w:pPr>
              <w:jc w:val="right"/>
              <w:ind w:right="77"/>
              <w:spacing w:after="0"/>
              <w:rPr>
                <w:sz w:val="20"/>
                <w:szCs w:val="20"/>
                <w:color w:val="auto"/>
              </w:rPr>
            </w:pPr>
            <w:r>
              <w:rPr>
                <w:rFonts w:ascii="Arial" w:cs="Arial" w:eastAsia="Arial" w:hAnsi="Arial"/>
                <w:sz w:val="13"/>
                <w:szCs w:val="13"/>
                <w:color w:val="auto"/>
              </w:rPr>
              <w:t>(3)</w:t>
            </w:r>
          </w:p>
        </w:tc>
        <w:tc>
          <w:tcPr>
            <w:tcW w:w="620" w:type="dxa"/>
            <w:vAlign w:val="bottom"/>
            <w:tcBorders>
              <w:top w:val="single" w:sz="8" w:color="auto"/>
            </w:tcBorders>
          </w:tcPr>
          <w:p>
            <w:pPr>
              <w:jc w:val="right"/>
              <w:ind w:right="47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600" w:type="dxa"/>
            <w:vAlign w:val="bottom"/>
            <w:tcBorders>
              <w:top w:val="single" w:sz="8" w:color="auto"/>
            </w:tcBorders>
          </w:tcPr>
          <w:p>
            <w:pPr>
              <w:jc w:val="right"/>
              <w:ind w:right="437"/>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(132)</w:t>
            </w:r>
          </w:p>
        </w:tc>
        <w:tc>
          <w:tcPr>
            <w:tcW w:w="120" w:type="dxa"/>
            <w:vAlign w:val="bottom"/>
          </w:tcPr>
          <w:p>
            <w:pPr>
              <w:spacing w:after="0"/>
              <w:rPr>
                <w:sz w:val="13"/>
                <w:szCs w:val="13"/>
                <w:color w:val="auto"/>
              </w:rPr>
            </w:pPr>
          </w:p>
        </w:tc>
        <w:tc>
          <w:tcPr>
            <w:tcW w:w="600" w:type="dxa"/>
            <w:vAlign w:val="bottom"/>
            <w:tcBorders>
              <w:top w:val="single" w:sz="8" w:color="auto"/>
            </w:tcBorders>
          </w:tcPr>
          <w:p>
            <w:pPr>
              <w:jc w:val="right"/>
              <w:ind w:right="457"/>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(133)</w:t>
            </w:r>
          </w:p>
        </w:tc>
      </w:tr>
      <w:tr>
        <w:trPr>
          <w:trHeight w:val="185"/>
        </w:trPr>
        <w:tc>
          <w:tcPr>
            <w:tcW w:w="3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69"/>
        </w:trPr>
        <w:tc>
          <w:tcPr>
            <w:tcW w:w="360" w:type="dxa"/>
            <w:vAlign w:val="bottom"/>
          </w:tcPr>
          <w:p>
            <w:pPr>
              <w:jc w:val="right"/>
              <w:ind w:right="77"/>
              <w:spacing w:after="0"/>
              <w:rPr>
                <w:sz w:val="20"/>
                <w:szCs w:val="20"/>
                <w:color w:val="auto"/>
              </w:rPr>
            </w:pPr>
            <w:r>
              <w:rPr>
                <w:rFonts w:ascii="Arial" w:cs="Arial" w:eastAsia="Arial" w:hAnsi="Arial"/>
                <w:sz w:val="13"/>
                <w:szCs w:val="13"/>
                <w:color w:val="auto"/>
              </w:rPr>
              <w:t>(3)</w:t>
            </w:r>
          </w:p>
        </w:tc>
        <w:tc>
          <w:tcPr>
            <w:tcW w:w="6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(132)</w:t>
            </w:r>
          </w:p>
        </w:tc>
        <w:tc>
          <w:tcPr>
            <w:tcW w:w="120" w:type="dxa"/>
            <w:vAlign w:val="bottom"/>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(132)</w:t>
            </w:r>
          </w:p>
        </w:tc>
      </w:tr>
      <w:tr>
        <w:trPr>
          <w:trHeight w:val="160"/>
        </w:trPr>
        <w:tc>
          <w:tcPr>
            <w:tcW w:w="360" w:type="dxa"/>
            <w:vAlign w:val="bottom"/>
          </w:tcPr>
          <w:p>
            <w:pPr>
              <w:jc w:val="right"/>
              <w:ind w:right="117"/>
              <w:spacing w:after="0"/>
              <w:rPr>
                <w:sz w:val="20"/>
                <w:szCs w:val="20"/>
                <w:color w:val="auto"/>
              </w:rPr>
            </w:pPr>
            <w:r>
              <w:rPr>
                <w:rFonts w:ascii="Arial" w:cs="Arial" w:eastAsia="Arial" w:hAnsi="Arial"/>
                <w:sz w:val="13"/>
                <w:szCs w:val="13"/>
                <w:color w:val="auto"/>
              </w:rPr>
              <w:t>12</w:t>
            </w:r>
          </w:p>
        </w:tc>
        <w:tc>
          <w:tcPr>
            <w:tcW w:w="6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306"/>
        </w:trPr>
        <w:tc>
          <w:tcPr>
            <w:tcW w:w="3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r>
        <w:trPr>
          <w:trHeight w:val="169"/>
        </w:trPr>
        <w:tc>
          <w:tcPr>
            <w:tcW w:w="360" w:type="dxa"/>
            <w:vAlign w:val="bottom"/>
          </w:tcPr>
          <w:p>
            <w:pPr>
              <w:jc w:val="right"/>
              <w:ind w:right="117"/>
              <w:spacing w:after="0"/>
              <w:rPr>
                <w:sz w:val="20"/>
                <w:szCs w:val="20"/>
                <w:color w:val="auto"/>
              </w:rPr>
            </w:pPr>
            <w:r>
              <w:rPr>
                <w:rFonts w:ascii="Arial" w:cs="Arial" w:eastAsia="Arial" w:hAnsi="Arial"/>
                <w:sz w:val="13"/>
                <w:szCs w:val="13"/>
                <w:color w:val="auto"/>
              </w:rPr>
              <w:t>12</w:t>
            </w:r>
          </w:p>
        </w:tc>
        <w:tc>
          <w:tcPr>
            <w:tcW w:w="6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r>
      <w:tr>
        <w:trPr>
          <w:trHeight w:val="169"/>
        </w:trPr>
        <w:tc>
          <w:tcPr>
            <w:tcW w:w="360" w:type="dxa"/>
            <w:vAlign w:val="bottom"/>
          </w:tcPr>
          <w:p>
            <w:pPr>
              <w:jc w:val="right"/>
              <w:ind w:right="117"/>
              <w:spacing w:after="0"/>
              <w:rPr>
                <w:sz w:val="20"/>
                <w:szCs w:val="20"/>
                <w:color w:val="auto"/>
              </w:rPr>
            </w:pPr>
            <w:r>
              <w:rPr>
                <w:rFonts w:ascii="Arial" w:cs="Arial" w:eastAsia="Arial" w:hAnsi="Arial"/>
                <w:sz w:val="13"/>
                <w:szCs w:val="13"/>
                <w:color w:val="auto"/>
              </w:rPr>
              <w:t>9</w:t>
            </w:r>
          </w:p>
        </w:tc>
        <w:tc>
          <w:tcPr>
            <w:tcW w:w="6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w:t>
            </w:r>
          </w:p>
        </w:tc>
        <w:tc>
          <w:tcPr>
            <w:tcW w:w="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w:t>
            </w:r>
          </w:p>
        </w:tc>
      </w:tr>
      <w:tr>
        <w:trPr>
          <w:trHeight w:val="159"/>
        </w:trPr>
        <w:tc>
          <w:tcPr>
            <w:tcW w:w="360" w:type="dxa"/>
            <w:vAlign w:val="bottom"/>
          </w:tcPr>
          <w:p>
            <w:pPr>
              <w:jc w:val="right"/>
              <w:ind w:right="117"/>
              <w:spacing w:after="0"/>
              <w:rPr>
                <w:sz w:val="20"/>
                <w:szCs w:val="20"/>
                <w:color w:val="auto"/>
              </w:rPr>
            </w:pPr>
            <w:r>
              <w:rPr>
                <w:rFonts w:ascii="Arial" w:cs="Arial" w:eastAsia="Arial" w:hAnsi="Arial"/>
                <w:sz w:val="13"/>
                <w:szCs w:val="13"/>
                <w:color w:val="auto"/>
              </w:rPr>
              <w:t>33</w:t>
            </w:r>
          </w:p>
        </w:tc>
        <w:tc>
          <w:tcPr>
            <w:tcW w:w="6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307"/>
        </w:trPr>
        <w:tc>
          <w:tcPr>
            <w:tcW w:w="36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6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r>
      <w:tr>
        <w:trPr>
          <w:trHeight w:val="169"/>
        </w:trPr>
        <w:tc>
          <w:tcPr>
            <w:tcW w:w="360" w:type="dxa"/>
            <w:vAlign w:val="bottom"/>
          </w:tcPr>
          <w:p>
            <w:pPr>
              <w:jc w:val="right"/>
              <w:ind w:right="117"/>
              <w:spacing w:after="0"/>
              <w:rPr>
                <w:sz w:val="20"/>
                <w:szCs w:val="20"/>
                <w:color w:val="auto"/>
              </w:rPr>
            </w:pPr>
            <w:r>
              <w:rPr>
                <w:rFonts w:ascii="Arial" w:cs="Arial" w:eastAsia="Arial" w:hAnsi="Arial"/>
                <w:sz w:val="13"/>
                <w:szCs w:val="13"/>
                <w:color w:val="auto"/>
              </w:rPr>
              <w:t>31</w:t>
            </w:r>
          </w:p>
        </w:tc>
        <w:tc>
          <w:tcPr>
            <w:tcW w:w="6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r>
      <w:tr>
        <w:trPr>
          <w:trHeight w:val="169"/>
        </w:trPr>
        <w:tc>
          <w:tcPr>
            <w:tcW w:w="360" w:type="dxa"/>
            <w:vAlign w:val="bottom"/>
          </w:tcPr>
          <w:p>
            <w:pPr>
              <w:jc w:val="right"/>
              <w:ind w:right="117"/>
              <w:spacing w:after="0"/>
              <w:rPr>
                <w:sz w:val="20"/>
                <w:szCs w:val="20"/>
                <w:color w:val="auto"/>
              </w:rPr>
            </w:pPr>
            <w:r>
              <w:rPr>
                <w:rFonts w:ascii="Arial" w:cs="Arial" w:eastAsia="Arial" w:hAnsi="Arial"/>
                <w:sz w:val="13"/>
                <w:szCs w:val="13"/>
                <w:color w:val="auto"/>
              </w:rPr>
              <w:t>40</w:t>
            </w:r>
          </w:p>
        </w:tc>
        <w:tc>
          <w:tcPr>
            <w:tcW w:w="6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w:t>
            </w:r>
          </w:p>
        </w:tc>
        <w:tc>
          <w:tcPr>
            <w:tcW w:w="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w:t>
            </w:r>
          </w:p>
        </w:tc>
      </w:tr>
      <w:tr>
        <w:trPr>
          <w:trHeight w:val="160"/>
        </w:trPr>
        <w:tc>
          <w:tcPr>
            <w:tcW w:w="360" w:type="dxa"/>
            <w:vAlign w:val="bottom"/>
          </w:tcPr>
          <w:p>
            <w:pPr>
              <w:jc w:val="right"/>
              <w:ind w:right="77"/>
              <w:spacing w:after="0"/>
              <w:rPr>
                <w:sz w:val="20"/>
                <w:szCs w:val="20"/>
                <w:color w:val="auto"/>
              </w:rPr>
            </w:pPr>
            <w:r>
              <w:rPr>
                <w:rFonts w:ascii="Arial" w:cs="Arial" w:eastAsia="Arial" w:hAnsi="Arial"/>
                <w:sz w:val="13"/>
                <w:szCs w:val="13"/>
                <w:color w:val="auto"/>
                <w:w w:val="86"/>
              </w:rPr>
              <w:t>(35)</w:t>
            </w:r>
          </w:p>
        </w:tc>
        <w:tc>
          <w:tcPr>
            <w:tcW w:w="6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307"/>
        </w:trPr>
        <w:tc>
          <w:tcPr>
            <w:tcW w:w="360" w:type="dxa"/>
            <w:vAlign w:val="bottom"/>
          </w:tcPr>
          <w:p>
            <w:pPr>
              <w:jc w:val="right"/>
              <w:ind w:right="117"/>
              <w:spacing w:after="0"/>
              <w:rPr>
                <w:sz w:val="20"/>
                <w:szCs w:val="20"/>
                <w:color w:val="auto"/>
              </w:rPr>
            </w:pPr>
            <w:r>
              <w:rPr>
                <w:rFonts w:ascii="Arial" w:cs="Arial" w:eastAsia="Arial" w:hAnsi="Arial"/>
                <w:sz w:val="13"/>
                <w:szCs w:val="13"/>
                <w:color w:val="auto"/>
              </w:rPr>
              <w:t>11</w:t>
            </w:r>
          </w:p>
        </w:tc>
        <w:tc>
          <w:tcPr>
            <w:tcW w:w="6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r>
      <w:tr>
        <w:trPr>
          <w:trHeight w:val="169"/>
        </w:trPr>
        <w:tc>
          <w:tcPr>
            <w:tcW w:w="360" w:type="dxa"/>
            <w:vAlign w:val="bottom"/>
          </w:tcPr>
          <w:p>
            <w:pPr>
              <w:jc w:val="right"/>
              <w:ind w:right="77"/>
              <w:spacing w:after="0"/>
              <w:rPr>
                <w:sz w:val="20"/>
                <w:szCs w:val="20"/>
                <w:color w:val="auto"/>
              </w:rPr>
            </w:pPr>
            <w:r>
              <w:rPr>
                <w:rFonts w:ascii="Arial" w:cs="Arial" w:eastAsia="Arial" w:hAnsi="Arial"/>
                <w:sz w:val="13"/>
                <w:szCs w:val="13"/>
                <w:color w:val="auto"/>
                <w:w w:val="86"/>
              </w:rPr>
              <w:t>(24)</w:t>
            </w:r>
          </w:p>
        </w:tc>
        <w:tc>
          <w:tcPr>
            <w:tcW w:w="6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w:t>
            </w:r>
          </w:p>
        </w:tc>
      </w:tr>
      <w:tr>
        <w:trPr>
          <w:trHeight w:val="169"/>
        </w:trPr>
        <w:tc>
          <w:tcPr>
            <w:tcW w:w="360" w:type="dxa"/>
            <w:vAlign w:val="bottom"/>
          </w:tcPr>
          <w:p>
            <w:pPr>
              <w:jc w:val="right"/>
              <w:ind w:right="117"/>
              <w:spacing w:after="0"/>
              <w:rPr>
                <w:sz w:val="20"/>
                <w:szCs w:val="20"/>
                <w:color w:val="auto"/>
              </w:rPr>
            </w:pPr>
            <w:r>
              <w:rPr>
                <w:rFonts w:ascii="Arial" w:cs="Arial" w:eastAsia="Arial" w:hAnsi="Arial"/>
                <w:sz w:val="13"/>
                <w:szCs w:val="13"/>
                <w:color w:val="auto"/>
              </w:rPr>
              <w:t>16</w:t>
            </w:r>
          </w:p>
        </w:tc>
        <w:tc>
          <w:tcPr>
            <w:tcW w:w="62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w:t>
            </w:r>
          </w:p>
        </w:tc>
        <w:tc>
          <w:tcPr>
            <w:tcW w:w="120" w:type="dxa"/>
            <w:vAlign w:val="bottom"/>
          </w:tcPr>
          <w:p>
            <w:pPr>
              <w:spacing w:after="0"/>
              <w:rPr>
                <w:sz w:val="14"/>
                <w:szCs w:val="14"/>
                <w:color w:val="auto"/>
              </w:rPr>
            </w:pPr>
          </w:p>
        </w:tc>
        <w:tc>
          <w:tcPr>
            <w:tcW w:w="60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w:t>
            </w:r>
          </w:p>
        </w:tc>
      </w:tr>
      <w:tr>
        <w:trPr>
          <w:trHeight w:val="27"/>
        </w:trPr>
        <w:tc>
          <w:tcPr>
            <w:tcW w:w="3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-745490</wp:posOffset>
            </wp:positionH>
            <wp:positionV relativeFrom="paragraph">
              <wp:posOffset>-33655</wp:posOffset>
            </wp:positionV>
            <wp:extent cx="89979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99795" cy="8255"/>
                    </a:xfrm>
                    <a:prstGeom prst="rect">
                      <a:avLst/>
                    </a:prstGeom>
                    <a:noFill/>
                  </pic:spPr>
                </pic:pic>
              </a:graphicData>
            </a:graphic>
          </wp:anchor>
        </w:drawing>
        <w:drawing>
          <wp:anchor simplePos="0" relativeHeight="251657728" behindDoc="1" locked="0" layoutInCell="0" allowOverlap="1">
            <wp:simplePos x="0" y="0"/>
            <wp:positionH relativeFrom="column">
              <wp:posOffset>-745490</wp:posOffset>
            </wp:positionH>
            <wp:positionV relativeFrom="paragraph">
              <wp:posOffset>-8255</wp:posOffset>
            </wp:positionV>
            <wp:extent cx="89979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99795" cy="8890"/>
                    </a:xfrm>
                    <a:prstGeom prst="rect">
                      <a:avLst/>
                    </a:prstGeom>
                    <a:noFill/>
                  </pic:spPr>
                </pic:pic>
              </a:graphicData>
            </a:graphic>
          </wp:anchor>
        </w:drawing>
        <w:drawing>
          <wp:anchor simplePos="0" relativeHeight="251657728" behindDoc="1" locked="0" layoutInCell="0" allowOverlap="1">
            <wp:simplePos x="0" y="0"/>
            <wp:positionH relativeFrom="column">
              <wp:posOffset>-745490</wp:posOffset>
            </wp:positionH>
            <wp:positionV relativeFrom="paragraph">
              <wp:posOffset>-153670</wp:posOffset>
            </wp:positionV>
            <wp:extent cx="8997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99795" cy="8255"/>
                    </a:xfrm>
                    <a:prstGeom prst="rect">
                      <a:avLst/>
                    </a:prstGeom>
                    <a:noFill/>
                  </pic:spPr>
                </pic:pic>
              </a:graphicData>
            </a:graphic>
          </wp:anchor>
        </w:drawing>
        <w:drawing>
          <wp:anchor simplePos="0" relativeHeight="251657728" behindDoc="1" locked="0" layoutInCell="0" allowOverlap="1">
            <wp:simplePos x="0" y="0"/>
            <wp:positionH relativeFrom="column">
              <wp:posOffset>-745490</wp:posOffset>
            </wp:positionH>
            <wp:positionV relativeFrom="paragraph">
              <wp:posOffset>-273685</wp:posOffset>
            </wp:positionV>
            <wp:extent cx="89979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99795" cy="8890"/>
                    </a:xfrm>
                    <a:prstGeom prst="rect">
                      <a:avLst/>
                    </a:prstGeom>
                    <a:noFill/>
                  </pic:spPr>
                </pic:pic>
              </a:graphicData>
            </a:graphic>
          </wp:anchor>
        </w:drawing>
        <w:drawing>
          <wp:anchor simplePos="0" relativeHeight="251657728" behindDoc="1" locked="0" layoutInCell="0" allowOverlap="1">
            <wp:simplePos x="0" y="0"/>
            <wp:positionH relativeFrom="column">
              <wp:posOffset>-745490</wp:posOffset>
            </wp:positionH>
            <wp:positionV relativeFrom="paragraph">
              <wp:posOffset>-582295</wp:posOffset>
            </wp:positionV>
            <wp:extent cx="8997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99795" cy="8255"/>
                    </a:xfrm>
                    <a:prstGeom prst="rect">
                      <a:avLst/>
                    </a:prstGeom>
                    <a:noFill/>
                  </pic:spPr>
                </pic:pic>
              </a:graphicData>
            </a:graphic>
          </wp:anchor>
        </w:drawing>
        <w:drawing>
          <wp:anchor simplePos="0" relativeHeight="251657728" behindDoc="1" locked="0" layoutInCell="0" allowOverlap="1">
            <wp:simplePos x="0" y="0"/>
            <wp:positionH relativeFrom="column">
              <wp:posOffset>-745490</wp:posOffset>
            </wp:positionH>
            <wp:positionV relativeFrom="paragraph">
              <wp:posOffset>-702310</wp:posOffset>
            </wp:positionV>
            <wp:extent cx="89979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99795" cy="8890"/>
                    </a:xfrm>
                    <a:prstGeom prst="rect">
                      <a:avLst/>
                    </a:prstGeom>
                    <a:noFill/>
                  </pic:spPr>
                </pic:pic>
              </a:graphicData>
            </a:graphic>
          </wp:anchor>
        </w:drawing>
        <w:drawing>
          <wp:anchor simplePos="0" relativeHeight="251657728" behindDoc="1" locked="0" layoutInCell="0" allowOverlap="1">
            <wp:simplePos x="0" y="0"/>
            <wp:positionH relativeFrom="column">
              <wp:posOffset>-745490</wp:posOffset>
            </wp:positionH>
            <wp:positionV relativeFrom="paragraph">
              <wp:posOffset>-822325</wp:posOffset>
            </wp:positionV>
            <wp:extent cx="8997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99795" cy="8255"/>
                    </a:xfrm>
                    <a:prstGeom prst="rect">
                      <a:avLst/>
                    </a:prstGeom>
                    <a:noFill/>
                  </pic:spPr>
                </pic:pic>
              </a:graphicData>
            </a:graphic>
          </wp:anchor>
        </w:drawing>
        <w:drawing>
          <wp:anchor simplePos="0" relativeHeight="251657728" behindDoc="1" locked="0" layoutInCell="0" allowOverlap="1">
            <wp:simplePos x="0" y="0"/>
            <wp:positionH relativeFrom="column">
              <wp:posOffset>-745490</wp:posOffset>
            </wp:positionH>
            <wp:positionV relativeFrom="paragraph">
              <wp:posOffset>-1130935</wp:posOffset>
            </wp:positionV>
            <wp:extent cx="89979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99795" cy="8890"/>
                    </a:xfrm>
                    <a:prstGeom prst="rect">
                      <a:avLst/>
                    </a:prstGeom>
                    <a:noFill/>
                  </pic:spPr>
                </pic:pic>
              </a:graphicData>
            </a:graphic>
          </wp:anchor>
        </w:drawing>
        <w:drawing>
          <wp:anchor simplePos="0" relativeHeight="251657728" behindDoc="1" locked="0" layoutInCell="0" allowOverlap="1">
            <wp:simplePos x="0" y="0"/>
            <wp:positionH relativeFrom="column">
              <wp:posOffset>-745490</wp:posOffset>
            </wp:positionH>
            <wp:positionV relativeFrom="paragraph">
              <wp:posOffset>-1250950</wp:posOffset>
            </wp:positionV>
            <wp:extent cx="8997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99795" cy="8255"/>
                    </a:xfrm>
                    <a:prstGeom prst="rect">
                      <a:avLst/>
                    </a:prstGeom>
                    <a:noFill/>
                  </pic:spPr>
                </pic:pic>
              </a:graphicData>
            </a:graphic>
          </wp:anchor>
        </w:drawing>
        <w:drawing>
          <wp:anchor simplePos="0" relativeHeight="251657728" behindDoc="1" locked="0" layoutInCell="0" allowOverlap="1">
            <wp:simplePos x="0" y="0"/>
            <wp:positionH relativeFrom="column">
              <wp:posOffset>-745490</wp:posOffset>
            </wp:positionH>
            <wp:positionV relativeFrom="paragraph">
              <wp:posOffset>-1370965</wp:posOffset>
            </wp:positionV>
            <wp:extent cx="8997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99795" cy="8255"/>
                    </a:xfrm>
                    <a:prstGeom prst="rect">
                      <a:avLst/>
                    </a:prstGeom>
                    <a:noFill/>
                  </pic:spPr>
                </pic:pic>
              </a:graphicData>
            </a:graphic>
          </wp:anchor>
        </w:drawing>
        <w:drawing>
          <wp:anchor simplePos="0" relativeHeight="251657728" behindDoc="1" locked="0" layoutInCell="0" allowOverlap="1">
            <wp:simplePos x="0" y="0"/>
            <wp:positionH relativeFrom="column">
              <wp:posOffset>-745490</wp:posOffset>
            </wp:positionH>
            <wp:positionV relativeFrom="paragraph">
              <wp:posOffset>-1679575</wp:posOffset>
            </wp:positionV>
            <wp:extent cx="8997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99795" cy="8255"/>
                    </a:xfrm>
                    <a:prstGeom prst="rect">
                      <a:avLst/>
                    </a:prstGeom>
                    <a:noFill/>
                  </pic:spPr>
                </pic:pic>
              </a:graphicData>
            </a:graphic>
          </wp:anchor>
        </w:drawing>
        <w:drawing>
          <wp:anchor simplePos="0" relativeHeight="251657728" behindDoc="1" locked="0" layoutInCell="0" allowOverlap="1">
            <wp:simplePos x="0" y="0"/>
            <wp:positionH relativeFrom="column">
              <wp:posOffset>-745490</wp:posOffset>
            </wp:positionH>
            <wp:positionV relativeFrom="paragraph">
              <wp:posOffset>-1799590</wp:posOffset>
            </wp:positionV>
            <wp:extent cx="8997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99795" cy="8255"/>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5120" w:space="720"/>
            <w:col w:w="5400"/>
          </w:cols>
          <w:pgMar w:left="320" w:top="140" w:right="339" w:bottom="1440" w:gutter="0" w:footer="0" w:header="0"/>
          <w:type w:val="continuous"/>
        </w:sectPr>
      </w:pPr>
    </w:p>
    <w:p>
      <w:pPr>
        <w:ind w:left="540"/>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jc w:val="both"/>
        <w:ind w:left="500"/>
        <w:spacing w:after="0" w:line="237"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(see Note 9-Income Taxes for impacts of the Tax Act) and include a $70 million gain, net of tax, related to our hedge of our investment in euro-denominated foreign operations (See Note 20-Financial Instruments).</w:t>
      </w:r>
    </w:p>
    <w:p>
      <w:pPr>
        <w:spacing w:after="0" w:line="9" w:lineRule="exact"/>
        <w:rPr>
          <w:sz w:val="20"/>
          <w:szCs w:val="20"/>
          <w:color w:val="auto"/>
        </w:rPr>
      </w:pPr>
    </w:p>
    <w:p>
      <w:pPr>
        <w:ind w:left="820" w:right="20" w:hanging="326"/>
        <w:spacing w:after="0" w:line="204" w:lineRule="auto"/>
        <w:tabs>
          <w:tab w:leader="none" w:pos="813" w:val="left"/>
        </w:tabs>
        <w:numPr>
          <w:ilvl w:val="1"/>
          <w:numId w:val="55"/>
        </w:numPr>
        <w:rPr>
          <w:rFonts w:ascii="Arial" w:cs="Arial" w:eastAsia="Arial" w:hAnsi="Arial"/>
          <w:sz w:val="19"/>
          <w:szCs w:val="19"/>
          <w:color w:val="auto"/>
          <w:vertAlign w:val="superscript"/>
        </w:rPr>
      </w:pPr>
      <w:r>
        <w:rPr>
          <w:rFonts w:ascii="Arial" w:cs="Arial" w:eastAsia="Arial" w:hAnsi="Arial"/>
          <w:sz w:val="14"/>
          <w:szCs w:val="14"/>
          <w:color w:val="auto"/>
        </w:rPr>
        <w:t>For the years ended December 31, 2021 and 2020, the amount reclassified from accumulated other comprehensive income (loss) into restructuring and other related charges.</w:t>
      </w:r>
    </w:p>
    <w:p>
      <w:pPr>
        <w:spacing w:after="0" w:line="1" w:lineRule="exact"/>
        <w:rPr>
          <w:rFonts w:ascii="Arial" w:cs="Arial" w:eastAsia="Arial" w:hAnsi="Arial"/>
          <w:sz w:val="19"/>
          <w:szCs w:val="19"/>
          <w:color w:val="auto"/>
          <w:vertAlign w:val="superscript"/>
        </w:rPr>
      </w:pPr>
    </w:p>
    <w:p>
      <w:pPr>
        <w:jc w:val="both"/>
        <w:ind w:left="820" w:hanging="326"/>
        <w:spacing w:after="0" w:line="221" w:lineRule="auto"/>
        <w:tabs>
          <w:tab w:leader="none" w:pos="813" w:val="left"/>
        </w:tabs>
        <w:numPr>
          <w:ilvl w:val="1"/>
          <w:numId w:val="55"/>
        </w:numPr>
        <w:rPr>
          <w:rFonts w:ascii="Arial" w:cs="Arial" w:eastAsia="Arial" w:hAnsi="Arial"/>
          <w:sz w:val="19"/>
          <w:szCs w:val="19"/>
          <w:color w:val="auto"/>
          <w:vertAlign w:val="superscript"/>
        </w:rPr>
      </w:pPr>
      <w:r>
        <w:rPr>
          <w:rFonts w:ascii="Arial" w:cs="Arial" w:eastAsia="Arial" w:hAnsi="Arial"/>
          <w:sz w:val="14"/>
          <w:szCs w:val="14"/>
          <w:color w:val="auto"/>
        </w:rPr>
        <w:t>For the years ended December 31, 2021, 2020 and 2019, the amounts reclassified from accumulated other comprehensive income (loss) into corporate interest expense were $17 million ($12 million, net of tax), $9 million ($6 million, net of tax) and $4 million ($3 million, net of tax), respectively. For the year ended December 31, 2021 and 2020, the amounts reclassified from accumulated other comprehensive income (loss) into vehicle interest expense were $2 million ($2 million, net of tax) and $2 million ($2 million, net of tax).</w:t>
      </w:r>
    </w:p>
    <w:p>
      <w:pPr>
        <w:spacing w:after="0" w:line="2" w:lineRule="exact"/>
        <w:rPr>
          <w:rFonts w:ascii="Arial" w:cs="Arial" w:eastAsia="Arial" w:hAnsi="Arial"/>
          <w:sz w:val="19"/>
          <w:szCs w:val="19"/>
          <w:color w:val="auto"/>
          <w:vertAlign w:val="superscript"/>
        </w:rPr>
      </w:pPr>
    </w:p>
    <w:p>
      <w:pPr>
        <w:ind w:left="820" w:right="20" w:hanging="326"/>
        <w:spacing w:after="0" w:line="211" w:lineRule="auto"/>
        <w:tabs>
          <w:tab w:leader="none" w:pos="807" w:val="left"/>
        </w:tabs>
        <w:numPr>
          <w:ilvl w:val="1"/>
          <w:numId w:val="55"/>
        </w:numPr>
        <w:rPr>
          <w:rFonts w:ascii="Arial" w:cs="Arial" w:eastAsia="Arial" w:hAnsi="Arial"/>
          <w:sz w:val="19"/>
          <w:szCs w:val="19"/>
          <w:color w:val="auto"/>
          <w:vertAlign w:val="superscript"/>
        </w:rPr>
      </w:pPr>
      <w:r>
        <w:rPr>
          <w:rFonts w:ascii="Arial" w:cs="Arial" w:eastAsia="Arial" w:hAnsi="Arial"/>
          <w:sz w:val="14"/>
          <w:szCs w:val="14"/>
          <w:color w:val="auto"/>
        </w:rPr>
        <w:t>For the years ended December 31, 2021, 2020 and 2019, amounts reclassified from accumulated other comprehensive income (loss) into selling, general and administrative expenses were $9 million ($7 million, net of tax), $9 million ($6 million, net of tax) and $8 million ($6 million, net of tax), respectively.</w:t>
      </w:r>
    </w:p>
    <w:p>
      <w:pPr>
        <w:spacing w:after="0" w:line="205" w:lineRule="exact"/>
        <w:rPr>
          <w:rFonts w:ascii="Arial" w:cs="Arial" w:eastAsia="Arial" w:hAnsi="Arial"/>
          <w:sz w:val="19"/>
          <w:szCs w:val="19"/>
          <w:color w:val="auto"/>
          <w:vertAlign w:val="superscript"/>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74" w:lineRule="exact"/>
        <w:rPr>
          <w:sz w:val="20"/>
          <w:szCs w:val="20"/>
          <w:color w:val="auto"/>
        </w:rPr>
      </w:pPr>
    </w:p>
    <w:p>
      <w:pPr>
        <w:ind w:left="500" w:right="20"/>
        <w:spacing w:after="0" w:line="261" w:lineRule="auto"/>
        <w:rPr>
          <w:sz w:val="20"/>
          <w:szCs w:val="20"/>
          <w:color w:val="auto"/>
        </w:rPr>
      </w:pPr>
      <w:r>
        <w:rPr>
          <w:rFonts w:ascii="Arial" w:cs="Arial" w:eastAsia="Arial" w:hAnsi="Arial"/>
          <w:sz w:val="18"/>
          <w:szCs w:val="18"/>
          <w:color w:val="auto"/>
        </w:rPr>
        <w:t>In August 2021, SRS Mobility Ventures, LLC acquired a 33 1/3% Class A Membership Interest in one of our subsidiaries at fair value of $37.5 million. SRS Mobility Ventures, LLC is an affiliate of our largest shareholder, SRS Investment Management, LLC.</w:t>
      </w:r>
    </w:p>
    <w:p>
      <w:pPr>
        <w:spacing w:after="0" w:line="203"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74"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Our Amended and Restated Equity and Incentive Plan provides for the grant of options, stock appreciation rights, restricted stock, restricted stock units (“RSUs”) and other stock- or cash-based awards to employees, directors and other individuals who perform services for us and our subsidiaries. The maximum number of shares reserved for grant of awards under the plan is 22.5 million, with approximately 4.3 million shares available as of December 31, 2021. We typically settle stock-based awards with treasury shares.</w:t>
      </w:r>
    </w:p>
    <w:p>
      <w:pPr>
        <w:spacing w:after="0" w:line="150"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Time-based awards generally vest ratably over a three-year period following the date of grant, and performance- or market-based awards generally vest three years following the date of grant based on the attainment of performance- or market-based goals, all of which are subject to a service condition.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Unit Awards</w:t>
      </w:r>
    </w:p>
    <w:p>
      <w:pPr>
        <w:spacing w:after="0" w:line="193"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Stock unit awards entitle the holder to receive shares of common stock upon vesting on a one-to-one basis. Certain performance-based RSUs vest based upon the level of performance attained, but vesting can increase (typically by up to 20%) if certain relative total shareholder return goals are achieved. Market-based RSUs generally vest based on the level of total shareholder return or absolute stock price attainment.</w:t>
      </w:r>
    </w:p>
    <w:p>
      <w:pPr>
        <w:spacing w:after="0" w:line="150"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In June 2020, we granted market-based RSUs that vest based on absolute stock price attainment. The grant date fair value of this award is estimated using a Monte Carlo simulation model. The weighted average assumptions used in the model are outlined in the table below. During the years ended December 31, 2021 and 2019, we did not issue any stock unit awards containing a market condition.</w:t>
      </w:r>
    </w:p>
    <w:p>
      <w:pPr>
        <w:spacing w:after="0" w:line="190"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5560" w:type="dxa"/>
            <w:vAlign w:val="bottom"/>
          </w:tcPr>
          <w:p>
            <w:pPr>
              <w:spacing w:after="0"/>
              <w:rPr>
                <w:sz w:val="20"/>
                <w:szCs w:val="20"/>
                <w:color w:val="auto"/>
              </w:rPr>
            </w:pPr>
            <w:r>
              <w:rPr>
                <w:rFonts w:ascii="Arial" w:cs="Arial" w:eastAsia="Arial" w:hAnsi="Arial"/>
                <w:sz w:val="18"/>
                <w:szCs w:val="18"/>
                <w:color w:val="auto"/>
              </w:rPr>
              <w:t>Expected volatility of stock price</w:t>
            </w:r>
          </w:p>
        </w:tc>
        <w:tc>
          <w:tcPr>
            <w:tcW w:w="3620" w:type="dxa"/>
            <w:vAlign w:val="bottom"/>
          </w:tcPr>
          <w:p>
            <w:pPr>
              <w:jc w:val="center"/>
              <w:ind w:left="2970"/>
              <w:spacing w:after="0"/>
              <w:rPr>
                <w:sz w:val="20"/>
                <w:szCs w:val="20"/>
                <w:color w:val="auto"/>
              </w:rPr>
            </w:pPr>
            <w:r>
              <w:rPr>
                <w:rFonts w:ascii="Arial" w:cs="Arial" w:eastAsia="Arial" w:hAnsi="Arial"/>
                <w:sz w:val="18"/>
                <w:szCs w:val="18"/>
                <w:color w:val="auto"/>
                <w:w w:val="99"/>
              </w:rPr>
              <w:t>91%</w:t>
            </w: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620" w:type="dxa"/>
            <w:vAlign w:val="bottom"/>
          </w:tcPr>
          <w:p>
            <w:pPr>
              <w:jc w:val="center"/>
              <w:ind w:left="2950"/>
              <w:spacing w:after="0"/>
              <w:rPr>
                <w:sz w:val="20"/>
                <w:szCs w:val="20"/>
                <w:color w:val="auto"/>
              </w:rPr>
            </w:pPr>
            <w:r>
              <w:rPr>
                <w:rFonts w:ascii="Arial" w:cs="Arial" w:eastAsia="Arial" w:hAnsi="Arial"/>
                <w:sz w:val="18"/>
                <w:szCs w:val="18"/>
                <w:color w:val="auto"/>
                <w:w w:val="97"/>
              </w:rPr>
              <w:t>0.18%</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Valuation period</w:t>
            </w:r>
          </w:p>
        </w:tc>
        <w:tc>
          <w:tcPr>
            <w:tcW w:w="3620" w:type="dxa"/>
            <w:vAlign w:val="bottom"/>
          </w:tcPr>
          <w:p>
            <w:pPr>
              <w:ind w:left="3040"/>
              <w:spacing w:after="0"/>
              <w:rPr>
                <w:sz w:val="20"/>
                <w:szCs w:val="20"/>
                <w:color w:val="auto"/>
              </w:rPr>
            </w:pPr>
            <w:r>
              <w:rPr>
                <w:rFonts w:ascii="Arial" w:cs="Arial" w:eastAsia="Arial" w:hAnsi="Arial"/>
                <w:sz w:val="18"/>
                <w:szCs w:val="18"/>
                <w:color w:val="auto"/>
                <w:w w:val="94"/>
              </w:rPr>
              <w:t>3 years</w:t>
            </w: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Dividend yield</w:t>
            </w:r>
          </w:p>
        </w:tc>
        <w:tc>
          <w:tcPr>
            <w:tcW w:w="3620" w:type="dxa"/>
            <w:vAlign w:val="bottom"/>
          </w:tcPr>
          <w:p>
            <w:pPr>
              <w:jc w:val="center"/>
              <w:ind w:left="2950"/>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Annual activity related to stock units consisted of (in thousands of shares):</w:t>
      </w:r>
    </w:p>
    <w:p>
      <w:pPr>
        <w:spacing w:after="0" w:line="24"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14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Weighted Average</w:t>
            </w:r>
          </w:p>
        </w:tc>
        <w:tc>
          <w:tcPr>
            <w:tcW w:w="200" w:type="dxa"/>
            <w:vAlign w:val="bottom"/>
          </w:tcPr>
          <w:p>
            <w:pPr>
              <w:spacing w:after="0"/>
              <w:rPr>
                <w:sz w:val="14"/>
                <w:szCs w:val="14"/>
                <w:color w:val="auto"/>
              </w:rPr>
            </w:pPr>
          </w:p>
        </w:tc>
        <w:tc>
          <w:tcPr>
            <w:tcW w:w="11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2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Average</w:t>
            </w: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Grant Date</w:t>
            </w: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Contractual Term</w:t>
            </w:r>
          </w:p>
        </w:tc>
        <w:tc>
          <w:tcPr>
            <w:tcW w:w="13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Intrinsic Value (in</w:t>
            </w:r>
          </w:p>
        </w:tc>
        <w:tc>
          <w:tcPr>
            <w:tcW w:w="0" w:type="dxa"/>
            <w:vAlign w:val="bottom"/>
          </w:tcPr>
          <w:p>
            <w:pPr>
              <w:spacing w:after="0"/>
              <w:rPr>
                <w:sz w:val="1"/>
                <w:szCs w:val="1"/>
                <w:color w:val="auto"/>
              </w:rPr>
            </w:pPr>
          </w:p>
        </w:tc>
      </w:tr>
      <w:tr>
        <w:trPr>
          <w:trHeight w:val="176"/>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Time-based RSUs</w:t>
            </w:r>
          </w:p>
        </w:tc>
        <w:tc>
          <w:tcPr>
            <w:tcW w:w="1200" w:type="dxa"/>
            <w:vAlign w:val="bottom"/>
          </w:tcPr>
          <w:p>
            <w:pPr>
              <w:jc w:val="right"/>
              <w:ind w:right="28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5"/>
                <w:szCs w:val="15"/>
                <w:color w:val="auto"/>
              </w:rPr>
            </w:pPr>
          </w:p>
        </w:tc>
        <w:tc>
          <w:tcPr>
            <w:tcW w:w="1100" w:type="dxa"/>
            <w:vAlign w:val="bottom"/>
          </w:tcPr>
          <w:p>
            <w:pPr>
              <w:jc w:val="center"/>
              <w:ind w:right="108"/>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170"/>
        </w:trPr>
        <w:tc>
          <w:tcPr>
            <w:tcW w:w="4720" w:type="dxa"/>
            <w:vAlign w:val="bottom"/>
            <w:vMerge w:val="continue"/>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20" w:type="dxa"/>
            <w:vAlign w:val="bottom"/>
          </w:tcPr>
          <w:p>
            <w:pPr>
              <w:ind w:left="180"/>
              <w:spacing w:after="0"/>
              <w:rPr>
                <w:sz w:val="20"/>
                <w:szCs w:val="20"/>
                <w:color w:val="auto"/>
              </w:rPr>
            </w:pPr>
            <w:r>
              <w:rPr>
                <w:rFonts w:ascii="Arial" w:cs="Arial" w:eastAsia="Arial" w:hAnsi="Arial"/>
                <w:sz w:val="14"/>
                <w:szCs w:val="14"/>
                <w:color w:val="auto"/>
              </w:rPr>
              <w:t>Outstanding at January 1, 2021</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1,070</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27.47</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20" w:type="dxa"/>
            <w:vAlign w:val="bottom"/>
          </w:tcPr>
          <w:p>
            <w:pPr>
              <w:ind w:left="380"/>
              <w:spacing w:after="0" w:line="197" w:lineRule="exact"/>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65.23</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20" w:type="dxa"/>
            <w:vAlign w:val="bottom"/>
          </w:tcPr>
          <w:p>
            <w:pPr>
              <w:ind w:left="380"/>
              <w:spacing w:after="0" w:line="197" w:lineRule="exact"/>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(b)</w:t>
            </w:r>
          </w:p>
        </w:tc>
        <w:tc>
          <w:tcPr>
            <w:tcW w:w="1200" w:type="dxa"/>
            <w:vAlign w:val="bottom"/>
          </w:tcPr>
          <w:p>
            <w:pPr>
              <w:jc w:val="right"/>
              <w:spacing w:after="0"/>
              <w:rPr>
                <w:sz w:val="20"/>
                <w:szCs w:val="20"/>
                <w:color w:val="auto"/>
              </w:rPr>
            </w:pPr>
            <w:r>
              <w:rPr>
                <w:rFonts w:ascii="Arial" w:cs="Arial" w:eastAsia="Arial" w:hAnsi="Arial"/>
                <w:sz w:val="14"/>
                <w:szCs w:val="14"/>
                <w:color w:val="auto"/>
              </w:rPr>
              <w:t>(590)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29.16</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720" w:type="dxa"/>
            <w:vAlign w:val="bottom"/>
          </w:tcPr>
          <w:p>
            <w:pPr>
              <w:ind w:left="380"/>
              <w:spacing w:after="0"/>
              <w:rPr>
                <w:sz w:val="20"/>
                <w:szCs w:val="20"/>
                <w:color w:val="auto"/>
              </w:rPr>
            </w:pPr>
            <w:r>
              <w:rPr>
                <w:rFonts w:ascii="Arial" w:cs="Arial" w:eastAsia="Arial" w:hAnsi="Arial"/>
                <w:sz w:val="14"/>
                <w:szCs w:val="14"/>
                <w:color w:val="auto"/>
              </w:rPr>
              <w:t>Forfeited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31.82</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720" w:type="dxa"/>
            <w:vAlign w:val="bottom"/>
          </w:tcPr>
          <w:p>
            <w:pPr>
              <w:ind w:left="180"/>
              <w:spacing w:after="0" w:line="182" w:lineRule="exact"/>
              <w:rPr>
                <w:sz w:val="20"/>
                <w:szCs w:val="20"/>
                <w:color w:val="auto"/>
              </w:rPr>
            </w:pPr>
            <w:r>
              <w:rPr>
                <w:rFonts w:ascii="Arial" w:cs="Arial" w:eastAsia="Arial" w:hAnsi="Arial"/>
                <w:sz w:val="14"/>
                <w:szCs w:val="14"/>
                <w:color w:val="auto"/>
              </w:rPr>
              <w:t xml:space="preserve">Outstanding and expected to vest at December 31, 2021 </w:t>
            </w:r>
            <w:r>
              <w:rPr>
                <w:rFonts w:ascii="Arial" w:cs="Arial" w:eastAsia="Arial" w:hAnsi="Arial"/>
                <w:sz w:val="18"/>
                <w:szCs w:val="18"/>
                <w:color w:val="auto"/>
                <w:vertAlign w:val="superscript"/>
              </w:rPr>
              <w:t>(c)</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671</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39.39</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Performance-based and market-based RSUs</w:t>
            </w: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72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720" w:type="dxa"/>
            <w:vAlign w:val="bottom"/>
          </w:tcPr>
          <w:p>
            <w:pPr>
              <w:ind w:left="180"/>
              <w:spacing w:after="0"/>
              <w:rPr>
                <w:sz w:val="20"/>
                <w:szCs w:val="20"/>
                <w:color w:val="auto"/>
              </w:rPr>
            </w:pPr>
            <w:r>
              <w:rPr>
                <w:rFonts w:ascii="Arial" w:cs="Arial" w:eastAsia="Arial" w:hAnsi="Arial"/>
                <w:sz w:val="14"/>
                <w:szCs w:val="14"/>
                <w:color w:val="auto"/>
              </w:rPr>
              <w:t>Outstanding at January 1, 2021</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988</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32.41</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20" w:type="dxa"/>
            <w:vAlign w:val="bottom"/>
          </w:tcPr>
          <w:p>
            <w:pPr>
              <w:ind w:left="380"/>
              <w:spacing w:after="0" w:line="197" w:lineRule="exact"/>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62.27</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20" w:type="dxa"/>
            <w:vAlign w:val="bottom"/>
          </w:tcPr>
          <w:p>
            <w:pPr>
              <w:ind w:left="380"/>
              <w:spacing w:after="0" w:line="197" w:lineRule="exact"/>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(b)</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720" w:type="dxa"/>
            <w:vAlign w:val="bottom"/>
          </w:tcPr>
          <w:p>
            <w:pPr>
              <w:ind w:left="380"/>
              <w:spacing w:after="0"/>
              <w:rPr>
                <w:sz w:val="20"/>
                <w:szCs w:val="20"/>
                <w:color w:val="auto"/>
              </w:rPr>
            </w:pPr>
            <w:r>
              <w:rPr>
                <w:rFonts w:ascii="Arial" w:cs="Arial" w:eastAsia="Arial" w:hAnsi="Arial"/>
                <w:sz w:val="14"/>
                <w:szCs w:val="14"/>
                <w:color w:val="auto"/>
              </w:rPr>
              <w:t>Forfeited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45.39</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720" w:type="dxa"/>
            <w:vAlign w:val="bottom"/>
          </w:tcPr>
          <w:p>
            <w:pPr>
              <w:ind w:left="180"/>
              <w:spacing w:after="0"/>
              <w:rPr>
                <w:sz w:val="20"/>
                <w:szCs w:val="20"/>
                <w:color w:val="auto"/>
              </w:rPr>
            </w:pPr>
            <w:r>
              <w:rPr>
                <w:rFonts w:ascii="Arial" w:cs="Arial" w:eastAsia="Arial" w:hAnsi="Arial"/>
                <w:sz w:val="14"/>
                <w:szCs w:val="14"/>
                <w:color w:val="auto"/>
              </w:rPr>
              <w:t>Outstanding at December 31, 2021</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886</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35.40</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180"/>
              <w:spacing w:after="0"/>
              <w:rPr>
                <w:sz w:val="20"/>
                <w:szCs w:val="20"/>
                <w:color w:val="auto"/>
              </w:rPr>
            </w:pPr>
            <w:r>
              <w:rPr>
                <w:rFonts w:ascii="Arial" w:cs="Arial" w:eastAsia="Arial" w:hAnsi="Arial"/>
                <w:sz w:val="14"/>
                <w:szCs w:val="14"/>
                <w:color w:val="auto"/>
              </w:rPr>
              <w:t xml:space="preserve">Outstanding and expected to vest at December 31, 2021 </w:t>
            </w:r>
            <w:r>
              <w:rPr>
                <w:rFonts w:ascii="Arial" w:cs="Arial" w:eastAsia="Arial" w:hAnsi="Arial"/>
                <w:sz w:val="18"/>
                <w:szCs w:val="18"/>
                <w:color w:val="auto"/>
                <w:vertAlign w:val="superscript"/>
              </w:rPr>
              <w:t>(c)</w:t>
            </w: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720" w:type="dxa"/>
            <w:vAlign w:val="bottom"/>
            <w:vMerge w:val="continue"/>
          </w:tcPr>
          <w:p>
            <w:pPr>
              <w:spacing w:after="0"/>
              <w:rPr>
                <w:sz w:val="21"/>
                <w:szCs w:val="21"/>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886</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35.40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1" w:lineRule="exact"/>
        <w:rPr>
          <w:sz w:val="20"/>
          <w:szCs w:val="20"/>
          <w:color w:val="auto"/>
        </w:rPr>
      </w:pPr>
    </w:p>
    <w:p>
      <w:pPr>
        <w:jc w:val="both"/>
        <w:ind w:left="820" w:hanging="326"/>
        <w:spacing w:after="0" w:line="241" w:lineRule="auto"/>
        <w:tabs>
          <w:tab w:leader="none" w:pos="813" w:val="left"/>
        </w:tabs>
        <w:numPr>
          <w:ilvl w:val="0"/>
          <w:numId w:val="58"/>
        </w:numPr>
        <w:rPr>
          <w:rFonts w:ascii="Arial" w:cs="Arial" w:eastAsia="Arial" w:hAnsi="Arial"/>
          <w:sz w:val="9"/>
          <w:szCs w:val="9"/>
          <w:color w:val="auto"/>
        </w:rPr>
      </w:pPr>
      <w:r>
        <w:rPr>
          <w:rFonts w:ascii="Arial" w:cs="Arial" w:eastAsia="Arial" w:hAnsi="Arial"/>
          <w:sz w:val="14"/>
          <w:szCs w:val="14"/>
          <w:color w:val="auto"/>
        </w:rPr>
        <w:t>Reflects the maximum number of stock units assuming achievement of all performance-, market- and time-vesting criteria and does not include those for non-employee directors, which are discussed separately below. The weighted-average fair value of time-based RSUs, and performance-based and market-based RSUs granted in 2020 was $23.14 and $21.06, respectively, and the weighted-average fair value of time-based RSUs and performance-based RSUs granted in 2019 was $34.14 and $34.56, respectively.</w:t>
      </w:r>
    </w:p>
    <w:p>
      <w:pPr>
        <w:spacing w:after="0" w:line="1" w:lineRule="exact"/>
        <w:rPr>
          <w:rFonts w:ascii="Arial" w:cs="Arial" w:eastAsia="Arial" w:hAnsi="Arial"/>
          <w:sz w:val="9"/>
          <w:szCs w:val="9"/>
          <w:color w:val="auto"/>
        </w:rPr>
      </w:pPr>
    </w:p>
    <w:p>
      <w:pPr>
        <w:ind w:left="820" w:hanging="326"/>
        <w:spacing w:after="0"/>
        <w:tabs>
          <w:tab w:leader="none" w:pos="820" w:val="left"/>
        </w:tabs>
        <w:numPr>
          <w:ilvl w:val="0"/>
          <w:numId w:val="58"/>
        </w:numPr>
        <w:rPr>
          <w:rFonts w:ascii="Arial" w:cs="Arial" w:eastAsia="Arial" w:hAnsi="Arial"/>
          <w:sz w:val="9"/>
          <w:szCs w:val="9"/>
          <w:color w:val="auto"/>
        </w:rPr>
      </w:pPr>
      <w:r>
        <w:rPr>
          <w:rFonts w:ascii="Arial" w:cs="Arial" w:eastAsia="Arial" w:hAnsi="Arial"/>
          <w:sz w:val="14"/>
          <w:szCs w:val="14"/>
          <w:color w:val="auto"/>
        </w:rPr>
        <w:t>The total fair value of RSUs vested during 2021, 2020 and 2019 was $17 million, $19 million and $18 million, respectively.</w:t>
      </w:r>
    </w:p>
    <w:p>
      <w:pPr>
        <w:spacing w:after="0" w:line="1" w:lineRule="exact"/>
        <w:rPr>
          <w:rFonts w:ascii="Arial" w:cs="Arial" w:eastAsia="Arial" w:hAnsi="Arial"/>
          <w:sz w:val="9"/>
          <w:szCs w:val="9"/>
          <w:color w:val="auto"/>
        </w:rPr>
      </w:pPr>
    </w:p>
    <w:p>
      <w:pPr>
        <w:ind w:left="820" w:hanging="326"/>
        <w:spacing w:after="0" w:line="258" w:lineRule="auto"/>
        <w:tabs>
          <w:tab w:leader="none" w:pos="807" w:val="left"/>
        </w:tabs>
        <w:numPr>
          <w:ilvl w:val="0"/>
          <w:numId w:val="58"/>
        </w:numPr>
        <w:rPr>
          <w:rFonts w:ascii="Arial" w:cs="Arial" w:eastAsia="Arial" w:hAnsi="Arial"/>
          <w:sz w:val="9"/>
          <w:szCs w:val="9"/>
          <w:color w:val="auto"/>
        </w:rPr>
      </w:pPr>
      <w:r>
        <w:rPr>
          <w:rFonts w:ascii="Arial" w:cs="Arial" w:eastAsia="Arial" w:hAnsi="Arial"/>
          <w:sz w:val="14"/>
          <w:szCs w:val="14"/>
          <w:color w:val="auto"/>
        </w:rPr>
        <w:t>Aggregate unrecognized compensation expense related to time-based RSUs and performance-based and market-based RSUs amounted to $31 million and will be recognized over a weighted average vesting period of 1.1 years.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Non-employee Directors Deferred Compensation Plan</w:t>
      </w:r>
    </w:p>
    <w:p>
      <w:pPr>
        <w:spacing w:after="0" w:line="234"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We grant stock awards on an annual basis to non-employee directors representing between 50% and 100% of a director’s annual compensation and such awards could be deferred under the Non-employee Directors Deferred Compensation Plan. During 2021, 2020 and 2019, we granted 8,800, 34,000 and 40,000 awards, respectively, to non-employee directors.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Stock-Compensation Expense</w:t>
      </w:r>
    </w:p>
    <w:p>
      <w:pPr>
        <w:spacing w:after="0" w:line="234"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color w:val="auto"/>
        </w:rPr>
        <w:t>During 2021, 2020 and 2019, we recorded stock-based compensation expense of $30 million ($21 million, net of tax), $9 million ($7 million, net of tax) and $22 million ($17 million, net of tax), respectively.</w:t>
      </w:r>
    </w:p>
    <w:p>
      <w:pPr>
        <w:spacing w:after="0" w:line="203"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Defined Contribution Savings Plans</w:t>
      </w:r>
    </w:p>
    <w:p>
      <w:pPr>
        <w:spacing w:after="0" w:line="193"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We sponsor several defined contribution savings plans in the United States and certain foreign subsidiaries that provide certain of our eligible employees an opportunity to accumulate funds for retirement. We match portions of the contributions of participating employees on the basis specified by the plans. Our contributions to these plans were $22 million, $23 million and $32 million during 2021, 2020 and 2019, respectively.</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193"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We sponsor defined benefit pension plans in the United States and in certain foreign subsidiaries with some plans offering participation in the plans at the employees’ option. Under these plans, benefits are based on an employee’s years of credited service and a percentage of final average compensation. However, the majority of the plans are closed to new employees and participants are no longer accruing benefits.</w:t>
      </w:r>
    </w:p>
    <w:p>
      <w:pPr>
        <w:spacing w:after="0" w:line="150"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The funded status of the defined benefit pension plans is recognized on the Consolidated Balance Sheets and the gains or losses and prior service costs or credits that arise during the period, but are not recognized as components of net periodic benefit cost, are recognized as a component of accumulated other comprehensive loss, net of tax.</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net periodic (benefit) cost consisted of the following:</w:t>
      </w:r>
    </w:p>
    <w:p>
      <w:pPr>
        <w:spacing w:after="0" w:line="190"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57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57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25"/>
        </w:trPr>
        <w:tc>
          <w:tcPr>
            <w:tcW w:w="5760" w:type="dxa"/>
            <w:vAlign w:val="bottom"/>
          </w:tcPr>
          <w:p>
            <w:pPr>
              <w:spacing w:after="0" w:line="225" w:lineRule="exact"/>
              <w:rPr>
                <w:sz w:val="20"/>
                <w:szCs w:val="20"/>
                <w:color w:val="auto"/>
              </w:rPr>
            </w:pPr>
            <w:r>
              <w:rPr>
                <w:rFonts w:ascii="Arial" w:cs="Arial" w:eastAsia="Arial" w:hAnsi="Arial"/>
                <w:sz w:val="18"/>
                <w:szCs w:val="18"/>
                <w:color w:val="auto"/>
              </w:rPr>
              <w:t xml:space="preserve">Service cost </w:t>
            </w:r>
            <w:r>
              <w:rPr>
                <w:rFonts w:ascii="Arial" w:cs="Arial" w:eastAsia="Arial" w:hAnsi="Arial"/>
                <w:sz w:val="23"/>
                <w:szCs w:val="23"/>
                <w:color w:val="auto"/>
                <w:vertAlign w:val="superscript"/>
              </w:rPr>
              <w:t>(a)</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760" w:type="dxa"/>
            <w:vAlign w:val="bottom"/>
          </w:tcPr>
          <w:p>
            <w:pPr>
              <w:spacing w:after="0" w:line="230" w:lineRule="exact"/>
              <w:rPr>
                <w:sz w:val="20"/>
                <w:szCs w:val="20"/>
                <w:color w:val="auto"/>
              </w:rPr>
            </w:pPr>
            <w:r>
              <w:rPr>
                <w:rFonts w:ascii="Arial" w:cs="Arial" w:eastAsia="Arial" w:hAnsi="Arial"/>
                <w:sz w:val="18"/>
                <w:szCs w:val="18"/>
                <w:color w:val="auto"/>
              </w:rPr>
              <w:t xml:space="preserve">Interest cost </w:t>
            </w:r>
            <w:r>
              <w:rPr>
                <w:rFonts w:ascii="Arial" w:cs="Arial" w:eastAsia="Arial" w:hAnsi="Arial"/>
                <w:sz w:val="23"/>
                <w:szCs w:val="23"/>
                <w:color w:val="auto"/>
                <w:vertAlign w:val="superscript"/>
              </w:rPr>
              <w:t>(b)</w:t>
            </w: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5760" w:type="dxa"/>
            <w:vAlign w:val="bottom"/>
          </w:tcPr>
          <w:p>
            <w:pPr>
              <w:spacing w:after="0" w:line="230" w:lineRule="exact"/>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23"/>
                <w:szCs w:val="23"/>
                <w:color w:val="auto"/>
                <w:vertAlign w:val="superscript"/>
              </w:rPr>
              <w:t>(b)</w:t>
            </w: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7"/>
        </w:trPr>
        <w:tc>
          <w:tcPr>
            <w:tcW w:w="5760" w:type="dxa"/>
            <w:vAlign w:val="bottom"/>
          </w:tcPr>
          <w:p>
            <w:pPr>
              <w:spacing w:after="0" w:line="228" w:lineRule="exact"/>
              <w:rPr>
                <w:sz w:val="20"/>
                <w:szCs w:val="20"/>
                <w:color w:val="auto"/>
              </w:rPr>
            </w:pPr>
            <w:r>
              <w:rPr>
                <w:rFonts w:ascii="Arial" w:cs="Arial" w:eastAsia="Arial" w:hAnsi="Arial"/>
                <w:sz w:val="18"/>
                <w:szCs w:val="18"/>
                <w:color w:val="auto"/>
              </w:rPr>
              <w:t xml:space="preserve">Amortization of unrecognized amounts </w:t>
            </w:r>
            <w:r>
              <w:rPr>
                <w:rFonts w:ascii="Arial" w:cs="Arial" w:eastAsia="Arial" w:hAnsi="Arial"/>
                <w:sz w:val="23"/>
                <w:szCs w:val="23"/>
                <w:color w:val="auto"/>
                <w:vertAlign w:val="superscript"/>
              </w:rPr>
              <w:t>(b)</w:t>
            </w: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8" w:lineRule="exact"/>
        <w:rPr>
          <w:sz w:val="20"/>
          <w:szCs w:val="20"/>
          <w:color w:val="auto"/>
        </w:rPr>
      </w:pPr>
    </w:p>
    <w:p>
      <w:pPr>
        <w:jc w:val="both"/>
        <w:ind w:left="820" w:hanging="326"/>
        <w:spacing w:after="0" w:line="215" w:lineRule="auto"/>
        <w:tabs>
          <w:tab w:leader="none" w:pos="813" w:val="left"/>
        </w:tabs>
        <w:numPr>
          <w:ilvl w:val="0"/>
          <w:numId w:val="60"/>
        </w:numPr>
        <w:rPr>
          <w:rFonts w:ascii="Arial" w:cs="Arial" w:eastAsia="Arial" w:hAnsi="Arial"/>
          <w:sz w:val="19"/>
          <w:szCs w:val="19"/>
          <w:color w:val="auto"/>
          <w:vertAlign w:val="superscript"/>
        </w:rPr>
      </w:pPr>
      <w:r>
        <w:rPr>
          <w:rFonts w:ascii="Arial" w:cs="Arial" w:eastAsia="Arial" w:hAnsi="Arial"/>
          <w:sz w:val="14"/>
          <w:szCs w:val="14"/>
          <w:color w:val="auto"/>
        </w:rPr>
        <w:t>For the year ended December 31, 2021, $4 million and $2 million were included in operating expenses and selling, general and administrative expenses, respectively. For the year ended December 31, 2020 and 2019, $4 million and $1 million were included in operating expenses and selling, general and administrative expenses, in each period.</w:t>
      </w:r>
    </w:p>
    <w:p>
      <w:pPr>
        <w:spacing w:after="0" w:line="1" w:lineRule="exact"/>
        <w:rPr>
          <w:rFonts w:ascii="Arial" w:cs="Arial" w:eastAsia="Arial" w:hAnsi="Arial"/>
          <w:sz w:val="19"/>
          <w:szCs w:val="19"/>
          <w:color w:val="auto"/>
          <w:vertAlign w:val="superscript"/>
        </w:rPr>
      </w:pPr>
    </w:p>
    <w:p>
      <w:pPr>
        <w:ind w:left="820" w:hanging="326"/>
        <w:spacing w:after="0" w:line="189" w:lineRule="auto"/>
        <w:tabs>
          <w:tab w:leader="none" w:pos="820" w:val="left"/>
        </w:tabs>
        <w:numPr>
          <w:ilvl w:val="0"/>
          <w:numId w:val="60"/>
        </w:numPr>
        <w:rPr>
          <w:rFonts w:ascii="Arial" w:cs="Arial" w:eastAsia="Arial" w:hAnsi="Arial"/>
          <w:sz w:val="19"/>
          <w:szCs w:val="19"/>
          <w:color w:val="auto"/>
          <w:vertAlign w:val="superscript"/>
        </w:rPr>
      </w:pPr>
      <w:r>
        <w:rPr>
          <w:rFonts w:ascii="Arial" w:cs="Arial" w:eastAsia="Arial" w:hAnsi="Arial"/>
          <w:sz w:val="14"/>
          <w:szCs w:val="14"/>
          <w:color w:val="auto"/>
        </w:rPr>
        <w:t>Included in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use a measurement date of December 31 for our pension plans. The funded status of the pension plans were as follows:</w:t>
      </w:r>
    </w:p>
    <w:p>
      <w:pPr>
        <w:spacing w:after="0" w:line="28"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gridSpan w:val="4"/>
          </w:tcPr>
          <w:p>
            <w:pPr>
              <w:spacing w:after="0" w:line="182" w:lineRule="exact"/>
              <w:rPr>
                <w:sz w:val="20"/>
                <w:szCs w:val="20"/>
                <w:color w:val="auto"/>
              </w:rPr>
            </w:pPr>
            <w:r>
              <w:rPr>
                <w:rFonts w:ascii="Arial" w:cs="Arial" w:eastAsia="Arial" w:hAnsi="Arial"/>
                <w:sz w:val="18"/>
                <w:szCs w:val="18"/>
                <w:b w:val="1"/>
                <w:bCs w:val="1"/>
                <w:color w:val="auto"/>
              </w:rPr>
              <w:t>Change in Benefit Obligation</w:t>
            </w:r>
          </w:p>
        </w:tc>
        <w:tc>
          <w:tcPr>
            <w:tcW w:w="300" w:type="dxa"/>
            <w:vAlign w:val="bottom"/>
          </w:tcPr>
          <w:p>
            <w:pPr>
              <w:spacing w:after="0"/>
              <w:rPr>
                <w:sz w:val="15"/>
                <w:szCs w:val="15"/>
                <w:color w:val="auto"/>
              </w:rPr>
            </w:pPr>
          </w:p>
        </w:tc>
        <w:tc>
          <w:tcPr>
            <w:tcW w:w="1080" w:type="dxa"/>
            <w:vAlign w:val="bottom"/>
          </w:tcPr>
          <w:p>
            <w:pPr>
              <w:jc w:val="right"/>
              <w:ind w:right="41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7280" w:type="dxa"/>
            <w:vAlign w:val="bottom"/>
            <w:gridSpan w:val="4"/>
            <w:vMerge w:val="restart"/>
          </w:tcPr>
          <w:p>
            <w:pPr>
              <w:spacing w:after="0"/>
              <w:rPr>
                <w:sz w:val="20"/>
                <w:szCs w:val="20"/>
                <w:color w:val="auto"/>
              </w:rPr>
            </w:pPr>
            <w:r>
              <w:rPr>
                <w:rFonts w:ascii="Arial" w:cs="Arial" w:eastAsia="Arial" w:hAnsi="Arial"/>
                <w:sz w:val="18"/>
                <w:szCs w:val="18"/>
                <w:color w:val="auto"/>
              </w:rPr>
              <w:t>Benefit obligation at end of prior year</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gridSpan w:val="4"/>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4"/>
          </w:tcPr>
          <w:p>
            <w:pPr>
              <w:spacing w:after="0"/>
              <w:rPr>
                <w:sz w:val="20"/>
                <w:szCs w:val="20"/>
                <w:color w:val="auto"/>
              </w:rPr>
            </w:pPr>
            <w:r>
              <w:rPr>
                <w:rFonts w:ascii="Arial" w:cs="Arial" w:eastAsia="Arial" w:hAnsi="Arial"/>
                <w:sz w:val="18"/>
                <w:szCs w:val="18"/>
                <w:color w:val="auto"/>
              </w:rPr>
              <w:t>Service cost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4"/>
          </w:tcPr>
          <w:p>
            <w:pPr>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gridSpan w:val="4"/>
          </w:tcPr>
          <w:p>
            <w:pPr>
              <w:spacing w:after="0"/>
              <w:rPr>
                <w:sz w:val="20"/>
                <w:szCs w:val="20"/>
                <w:color w:val="auto"/>
              </w:rPr>
            </w:pPr>
            <w:r>
              <w:rPr>
                <w:rFonts w:ascii="Arial" w:cs="Arial" w:eastAsia="Arial" w:hAnsi="Arial"/>
                <w:sz w:val="18"/>
                <w:szCs w:val="18"/>
                <w:color w:val="auto"/>
              </w:rPr>
              <w:t>Actuarial (gain) loss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4"/>
          </w:tcPr>
          <w:p>
            <w:pPr>
              <w:spacing w:after="0"/>
              <w:rPr>
                <w:sz w:val="20"/>
                <w:szCs w:val="20"/>
                <w:color w:val="auto"/>
              </w:rPr>
            </w:pPr>
            <w:r>
              <w:rPr>
                <w:rFonts w:ascii="Arial" w:cs="Arial" w:eastAsia="Arial" w:hAnsi="Arial"/>
                <w:sz w:val="18"/>
                <w:szCs w:val="18"/>
                <w:color w:val="auto"/>
              </w:rPr>
              <w:t>Plan amendments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gridSpan w:val="4"/>
          </w:tcPr>
          <w:p>
            <w:pPr>
              <w:spacing w:after="0"/>
              <w:rPr>
                <w:sz w:val="20"/>
                <w:szCs w:val="20"/>
                <w:color w:val="auto"/>
              </w:rPr>
            </w:pPr>
            <w:r>
              <w:rPr>
                <w:rFonts w:ascii="Arial" w:cs="Arial" w:eastAsia="Arial" w:hAnsi="Arial"/>
                <w:sz w:val="18"/>
                <w:szCs w:val="18"/>
                <w:color w:val="auto"/>
              </w:rPr>
              <w:t>Currency translation adjustment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4"/>
          </w:tcPr>
          <w:p>
            <w:pPr>
              <w:spacing w:after="0"/>
              <w:rPr>
                <w:sz w:val="20"/>
                <w:szCs w:val="20"/>
                <w:color w:val="auto"/>
              </w:rPr>
            </w:pPr>
            <w:r>
              <w:rPr>
                <w:rFonts w:ascii="Arial" w:cs="Arial" w:eastAsia="Arial" w:hAnsi="Arial"/>
                <w:sz w:val="18"/>
                <w:szCs w:val="18"/>
                <w:color w:val="auto"/>
              </w:rPr>
              <w:t>Net benefits paid</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gridSpan w:val="4"/>
          </w:tcPr>
          <w:p>
            <w:pPr>
              <w:spacing w:after="0"/>
              <w:rPr>
                <w:sz w:val="20"/>
                <w:szCs w:val="20"/>
                <w:color w:val="auto"/>
              </w:rPr>
            </w:pPr>
            <w:r>
              <w:rPr>
                <w:rFonts w:ascii="Arial" w:cs="Arial" w:eastAsia="Arial" w:hAnsi="Arial"/>
                <w:sz w:val="18"/>
                <w:szCs w:val="18"/>
                <w:color w:val="auto"/>
              </w:rPr>
              <w:t>Benefit obligation at end of current year</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Change in Plan Assets</w:t>
            </w:r>
          </w:p>
        </w:tc>
        <w:tc>
          <w:tcPr>
            <w:tcW w:w="534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80" w:type="dxa"/>
            <w:vAlign w:val="bottom"/>
            <w:gridSpan w:val="4"/>
          </w:tcPr>
          <w:p>
            <w:pPr>
              <w:spacing w:after="0"/>
              <w:rPr>
                <w:sz w:val="20"/>
                <w:szCs w:val="20"/>
                <w:color w:val="auto"/>
              </w:rPr>
            </w:pPr>
            <w:r>
              <w:rPr>
                <w:rFonts w:ascii="Arial" w:cs="Arial" w:eastAsia="Arial" w:hAnsi="Arial"/>
                <w:sz w:val="18"/>
                <w:szCs w:val="18"/>
                <w:color w:val="auto"/>
              </w:rPr>
              <w:t>Fair value of assets at end of prior year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4"/>
          </w:tcPr>
          <w:p>
            <w:pPr>
              <w:spacing w:after="0"/>
              <w:rPr>
                <w:sz w:val="20"/>
                <w:szCs w:val="20"/>
                <w:color w:val="auto"/>
              </w:rPr>
            </w:pPr>
            <w:r>
              <w:rPr>
                <w:rFonts w:ascii="Arial" w:cs="Arial" w:eastAsia="Arial" w:hAnsi="Arial"/>
                <w:sz w:val="18"/>
                <w:szCs w:val="18"/>
                <w:color w:val="auto"/>
              </w:rPr>
              <w:t>Actual return on plan assets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4"/>
          </w:tcPr>
          <w:p>
            <w:pPr>
              <w:spacing w:after="0"/>
              <w:rPr>
                <w:sz w:val="20"/>
                <w:szCs w:val="20"/>
                <w:color w:val="auto"/>
              </w:rPr>
            </w:pPr>
            <w:r>
              <w:rPr>
                <w:rFonts w:ascii="Arial" w:cs="Arial" w:eastAsia="Arial" w:hAnsi="Arial"/>
                <w:sz w:val="18"/>
                <w:szCs w:val="18"/>
                <w:color w:val="auto"/>
              </w:rPr>
              <w:t>Employer contributions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gridSpan w:val="4"/>
          </w:tcPr>
          <w:p>
            <w:pPr>
              <w:spacing w:after="0"/>
              <w:rPr>
                <w:sz w:val="20"/>
                <w:szCs w:val="20"/>
                <w:color w:val="auto"/>
              </w:rPr>
            </w:pPr>
            <w:r>
              <w:rPr>
                <w:rFonts w:ascii="Arial" w:cs="Arial" w:eastAsia="Arial" w:hAnsi="Arial"/>
                <w:sz w:val="18"/>
                <w:szCs w:val="18"/>
                <w:color w:val="auto"/>
              </w:rPr>
              <w:t>Currency translation adjustment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4"/>
          </w:tcPr>
          <w:p>
            <w:pPr>
              <w:spacing w:after="0"/>
              <w:rPr>
                <w:sz w:val="20"/>
                <w:szCs w:val="20"/>
                <w:color w:val="auto"/>
              </w:rPr>
            </w:pPr>
            <w:r>
              <w:rPr>
                <w:rFonts w:ascii="Arial" w:cs="Arial" w:eastAsia="Arial" w:hAnsi="Arial"/>
                <w:sz w:val="18"/>
                <w:szCs w:val="18"/>
                <w:color w:val="auto"/>
              </w:rPr>
              <w:t>Net benefits paid</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gridSpan w:val="4"/>
          </w:tcPr>
          <w:p>
            <w:pPr>
              <w:spacing w:after="0"/>
              <w:rPr>
                <w:sz w:val="20"/>
                <w:szCs w:val="20"/>
                <w:color w:val="auto"/>
              </w:rPr>
            </w:pPr>
            <w:r>
              <w:rPr>
                <w:rFonts w:ascii="Arial" w:cs="Arial" w:eastAsia="Arial" w:hAnsi="Arial"/>
                <w:sz w:val="18"/>
                <w:szCs w:val="18"/>
                <w:color w:val="auto"/>
              </w:rPr>
              <w:t>Fair value of assets at end of current year</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466"/>
        </w:trPr>
        <w:tc>
          <w:tcPr>
            <w:tcW w:w="7300" w:type="dxa"/>
            <w:vAlign w:val="bottom"/>
            <w:gridSpan w:val="5"/>
          </w:tcPr>
          <w:p>
            <w:pPr>
              <w:spacing w:after="0"/>
              <w:rPr>
                <w:sz w:val="20"/>
                <w:szCs w:val="20"/>
                <w:color w:val="auto"/>
              </w:rPr>
            </w:pPr>
            <w:r>
              <w:rPr>
                <w:rFonts w:ascii="Arial" w:cs="Arial" w:eastAsia="Arial" w:hAnsi="Arial"/>
                <w:sz w:val="18"/>
                <w:szCs w:val="18"/>
                <w:color w:val="auto"/>
              </w:rPr>
              <w:t>Amounts recognized in the statement of financial position consist of the following:</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2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Funded Status</w:t>
            </w:r>
          </w:p>
        </w:tc>
        <w:tc>
          <w:tcPr>
            <w:tcW w:w="3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8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410"/>
              <w:spacing w:after="0" w:line="15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390"/>
              <w:spacing w:after="0" w:line="156"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tcPr>
          <w:p>
            <w:pPr>
              <w:spacing w:after="0"/>
              <w:rPr>
                <w:sz w:val="2"/>
                <w:szCs w:val="2"/>
                <w:color w:val="auto"/>
              </w:rPr>
            </w:pPr>
          </w:p>
        </w:tc>
        <w:tc>
          <w:tcPr>
            <w:tcW w:w="7280" w:type="dxa"/>
            <w:vAlign w:val="bottom"/>
            <w:gridSpan w:val="4"/>
            <w:vMerge w:val="restart"/>
          </w:tcPr>
          <w:p>
            <w:pPr>
              <w:spacing w:after="0"/>
              <w:rPr>
                <w:sz w:val="20"/>
                <w:szCs w:val="20"/>
                <w:color w:val="auto"/>
              </w:rPr>
            </w:pPr>
            <w:r>
              <w:rPr>
                <w:rFonts w:ascii="Arial" w:cs="Arial" w:eastAsia="Arial" w:hAnsi="Arial"/>
                <w:sz w:val="18"/>
                <w:szCs w:val="18"/>
                <w:color w:val="auto"/>
              </w:rPr>
              <w:t>Classification of net balance sheet assets (liabilities):</w:t>
            </w: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gridSpan w:val="4"/>
            <w:vMerge w:val="continue"/>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gridSpan w:val="4"/>
          </w:tcPr>
          <w:p>
            <w:pPr>
              <w:spacing w:after="0"/>
              <w:rPr>
                <w:sz w:val="20"/>
                <w:szCs w:val="20"/>
                <w:color w:val="auto"/>
              </w:rPr>
            </w:pPr>
            <w:r>
              <w:rPr>
                <w:rFonts w:ascii="Arial" w:cs="Arial" w:eastAsia="Arial" w:hAnsi="Arial"/>
                <w:sz w:val="18"/>
                <w:szCs w:val="18"/>
                <w:color w:val="auto"/>
              </w:rPr>
              <w:t>Non-current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gridSpan w:val="4"/>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4"/>
          </w:tcPr>
          <w:p>
            <w:pPr>
              <w:spacing w:after="0"/>
              <w:rPr>
                <w:sz w:val="20"/>
                <w:szCs w:val="20"/>
                <w:color w:val="auto"/>
              </w:rPr>
            </w:pPr>
            <w:r>
              <w:rPr>
                <w:rFonts w:ascii="Arial" w:cs="Arial" w:eastAsia="Arial" w:hAnsi="Arial"/>
                <w:sz w:val="18"/>
                <w:szCs w:val="18"/>
                <w:color w:val="auto"/>
              </w:rPr>
              <w:t>Non-current liabilities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gridSpan w:val="4"/>
          </w:tcPr>
          <w:p>
            <w:pPr>
              <w:spacing w:after="0"/>
              <w:rPr>
                <w:sz w:val="20"/>
                <w:szCs w:val="20"/>
                <w:color w:val="auto"/>
              </w:rPr>
            </w:pPr>
            <w:r>
              <w:rPr>
                <w:rFonts w:ascii="Arial" w:cs="Arial" w:eastAsia="Arial" w:hAnsi="Arial"/>
                <w:sz w:val="18"/>
                <w:szCs w:val="18"/>
                <w:color w:val="auto"/>
              </w:rPr>
              <w:t>Net funded status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00" w:right="840"/>
        <w:spacing w:after="0" w:line="261" w:lineRule="auto"/>
        <w:rPr>
          <w:sz w:val="20"/>
          <w:szCs w:val="20"/>
          <w:color w:val="auto"/>
        </w:rPr>
      </w:pPr>
      <w:r>
        <w:rPr>
          <w:rFonts w:ascii="Arial" w:cs="Arial" w:eastAsia="Arial" w:hAnsi="Arial"/>
          <w:sz w:val="18"/>
          <w:szCs w:val="18"/>
          <w:color w:val="auto"/>
        </w:rPr>
        <w:t>The following assumptions were used to determine pension obligations and pension costs for the principal plans in which our employees participated:</w:t>
      </w:r>
    </w:p>
    <w:tbl>
      <w:tblPr>
        <w:tblLayout w:type="fixed"/>
        <w:tblInd w:w="520" w:type="dxa"/>
        <w:tblCellMar>
          <w:top w:w="0" w:type="dxa"/>
          <w:left w:w="0" w:type="dxa"/>
          <w:bottom w:w="0" w:type="dxa"/>
          <w:right w:w="0" w:type="dxa"/>
        </w:tblCellMar>
      </w:tblPr>
      <w:tr>
        <w:trPr>
          <w:trHeight w:val="239"/>
        </w:trPr>
        <w:tc>
          <w:tcPr>
            <w:tcW w:w="5340" w:type="dxa"/>
            <w:vAlign w:val="bottom"/>
          </w:tcPr>
          <w:p>
            <w:pPr>
              <w:spacing w:after="0"/>
              <w:rPr>
                <w:sz w:val="20"/>
                <w:szCs w:val="20"/>
                <w:color w:val="auto"/>
              </w:rPr>
            </w:pPr>
          </w:p>
        </w:tc>
        <w:tc>
          <w:tcPr>
            <w:tcW w:w="384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b w:val="1"/>
                <w:bCs w:val="1"/>
                <w:color w:val="auto"/>
                <w:w w:val="98"/>
              </w:rPr>
              <w:t>For the 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b w:val="1"/>
                <w:bCs w:val="1"/>
                <w:color w:val="auto"/>
              </w:rPr>
              <w:t>U.S. Pension Benefit Plans</w:t>
            </w: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2019</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Discount rate: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5340" w:type="dxa"/>
            <w:vAlign w:val="bottom"/>
          </w:tcPr>
          <w:p>
            <w:pPr>
              <w:ind w:left="180"/>
              <w:spacing w:after="0"/>
              <w:rPr>
                <w:sz w:val="20"/>
                <w:szCs w:val="20"/>
                <w:color w:val="auto"/>
              </w:rPr>
            </w:pPr>
            <w:r>
              <w:rPr>
                <w:rFonts w:ascii="Arial" w:cs="Arial" w:eastAsia="Arial" w:hAnsi="Arial"/>
                <w:sz w:val="18"/>
                <w:szCs w:val="18"/>
                <w:color w:val="auto"/>
              </w:rPr>
              <w:t>Net periodic benefit cost</w:t>
            </w:r>
          </w:p>
        </w:tc>
        <w:tc>
          <w:tcPr>
            <w:tcW w:w="1540" w:type="dxa"/>
            <w:vAlign w:val="bottom"/>
          </w:tcPr>
          <w:p>
            <w:pPr>
              <w:jc w:val="right"/>
              <w:spacing w:after="0"/>
              <w:rPr>
                <w:sz w:val="20"/>
                <w:szCs w:val="20"/>
                <w:color w:val="auto"/>
              </w:rPr>
            </w:pPr>
            <w:r>
              <w:rPr>
                <w:rFonts w:ascii="Arial" w:cs="Arial" w:eastAsia="Arial" w:hAnsi="Arial"/>
                <w:sz w:val="18"/>
                <w:szCs w:val="18"/>
                <w:color w:val="auto"/>
              </w:rPr>
              <w:t>2.25 %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3.10 %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4.15 %</w:t>
            </w:r>
          </w:p>
        </w:tc>
      </w:tr>
      <w:tr>
        <w:trPr>
          <w:trHeight w:val="230"/>
        </w:trPr>
        <w:tc>
          <w:tcPr>
            <w:tcW w:w="5340" w:type="dxa"/>
            <w:vAlign w:val="bottom"/>
          </w:tcPr>
          <w:p>
            <w:pPr>
              <w:ind w:left="180"/>
              <w:spacing w:after="0"/>
              <w:rPr>
                <w:sz w:val="20"/>
                <w:szCs w:val="20"/>
                <w:color w:val="auto"/>
              </w:rPr>
            </w:pPr>
            <w:r>
              <w:rPr>
                <w:rFonts w:ascii="Arial" w:cs="Arial" w:eastAsia="Arial" w:hAnsi="Arial"/>
                <w:sz w:val="18"/>
                <w:szCs w:val="18"/>
                <w:color w:val="auto"/>
              </w:rPr>
              <w:t>Benefit obligation</w:t>
            </w:r>
          </w:p>
        </w:tc>
        <w:tc>
          <w:tcPr>
            <w:tcW w:w="1540" w:type="dxa"/>
            <w:vAlign w:val="bottom"/>
          </w:tcPr>
          <w:p>
            <w:pPr>
              <w:jc w:val="right"/>
              <w:spacing w:after="0"/>
              <w:rPr>
                <w:sz w:val="20"/>
                <w:szCs w:val="20"/>
                <w:color w:val="auto"/>
              </w:rPr>
            </w:pPr>
            <w:r>
              <w:rPr>
                <w:rFonts w:ascii="Arial" w:cs="Arial" w:eastAsia="Arial" w:hAnsi="Arial"/>
                <w:sz w:val="18"/>
                <w:szCs w:val="18"/>
                <w:color w:val="auto"/>
              </w:rPr>
              <w:t>2.67 %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2.25 %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3.10 %</w:t>
            </w: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Long-term rate of return on plan assets</w:t>
            </w:r>
          </w:p>
        </w:tc>
        <w:tc>
          <w:tcPr>
            <w:tcW w:w="1540" w:type="dxa"/>
            <w:vAlign w:val="bottom"/>
          </w:tcPr>
          <w:p>
            <w:pPr>
              <w:jc w:val="right"/>
              <w:spacing w:after="0"/>
              <w:rPr>
                <w:sz w:val="20"/>
                <w:szCs w:val="20"/>
                <w:color w:val="auto"/>
              </w:rPr>
            </w:pPr>
            <w:r>
              <w:rPr>
                <w:rFonts w:ascii="Arial" w:cs="Arial" w:eastAsia="Arial" w:hAnsi="Arial"/>
                <w:sz w:val="18"/>
                <w:szCs w:val="18"/>
                <w:color w:val="auto"/>
              </w:rPr>
              <w:t>6.75 %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7.00 %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7.00 %</w:t>
            </w:r>
          </w:p>
        </w:tc>
      </w:tr>
      <w:tr>
        <w:trPr>
          <w:trHeight w:val="445"/>
        </w:trPr>
        <w:tc>
          <w:tcPr>
            <w:tcW w:w="5340" w:type="dxa"/>
            <w:vAlign w:val="bottom"/>
          </w:tcPr>
          <w:p>
            <w:pPr>
              <w:spacing w:after="0"/>
              <w:rPr>
                <w:sz w:val="20"/>
                <w:szCs w:val="20"/>
                <w:color w:val="auto"/>
              </w:rPr>
            </w:pPr>
            <w:r>
              <w:rPr>
                <w:rFonts w:ascii="Arial" w:cs="Arial" w:eastAsia="Arial" w:hAnsi="Arial"/>
                <w:sz w:val="18"/>
                <w:szCs w:val="18"/>
                <w:b w:val="1"/>
                <w:bCs w:val="1"/>
                <w:color w:val="auto"/>
              </w:rPr>
              <w:t>Non-U.S. Pension Benefit Plans</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Discount rate:</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340" w:type="dxa"/>
            <w:vAlign w:val="bottom"/>
          </w:tcPr>
          <w:p>
            <w:pPr>
              <w:ind w:left="180"/>
              <w:spacing w:after="0"/>
              <w:rPr>
                <w:sz w:val="20"/>
                <w:szCs w:val="20"/>
                <w:color w:val="auto"/>
              </w:rPr>
            </w:pPr>
            <w:r>
              <w:rPr>
                <w:rFonts w:ascii="Arial" w:cs="Arial" w:eastAsia="Arial" w:hAnsi="Arial"/>
                <w:sz w:val="18"/>
                <w:szCs w:val="18"/>
                <w:color w:val="auto"/>
              </w:rPr>
              <w:t>Net periodic benefit cost</w:t>
            </w:r>
          </w:p>
        </w:tc>
        <w:tc>
          <w:tcPr>
            <w:tcW w:w="1540" w:type="dxa"/>
            <w:vAlign w:val="bottom"/>
          </w:tcPr>
          <w:p>
            <w:pPr>
              <w:jc w:val="right"/>
              <w:spacing w:after="0"/>
              <w:rPr>
                <w:sz w:val="20"/>
                <w:szCs w:val="20"/>
                <w:color w:val="auto"/>
              </w:rPr>
            </w:pPr>
            <w:r>
              <w:rPr>
                <w:rFonts w:ascii="Arial" w:cs="Arial" w:eastAsia="Arial" w:hAnsi="Arial"/>
                <w:sz w:val="18"/>
                <w:szCs w:val="18"/>
                <w:color w:val="auto"/>
              </w:rPr>
              <w:t>1.40 %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1.95 %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2.75 %</w:t>
            </w:r>
          </w:p>
        </w:tc>
      </w:tr>
      <w:tr>
        <w:trPr>
          <w:trHeight w:val="230"/>
        </w:trPr>
        <w:tc>
          <w:tcPr>
            <w:tcW w:w="5340" w:type="dxa"/>
            <w:vAlign w:val="bottom"/>
          </w:tcPr>
          <w:p>
            <w:pPr>
              <w:ind w:left="180"/>
              <w:spacing w:after="0"/>
              <w:rPr>
                <w:sz w:val="20"/>
                <w:szCs w:val="20"/>
                <w:color w:val="auto"/>
              </w:rPr>
            </w:pPr>
            <w:r>
              <w:rPr>
                <w:rFonts w:ascii="Arial" w:cs="Arial" w:eastAsia="Arial" w:hAnsi="Arial"/>
                <w:sz w:val="18"/>
                <w:szCs w:val="18"/>
                <w:color w:val="auto"/>
              </w:rPr>
              <w:t>Benefit obligation</w:t>
            </w:r>
          </w:p>
        </w:tc>
        <w:tc>
          <w:tcPr>
            <w:tcW w:w="1540" w:type="dxa"/>
            <w:vAlign w:val="bottom"/>
          </w:tcPr>
          <w:p>
            <w:pPr>
              <w:jc w:val="right"/>
              <w:spacing w:after="0"/>
              <w:rPr>
                <w:sz w:val="20"/>
                <w:szCs w:val="20"/>
                <w:color w:val="auto"/>
              </w:rPr>
            </w:pPr>
            <w:r>
              <w:rPr>
                <w:rFonts w:ascii="Arial" w:cs="Arial" w:eastAsia="Arial" w:hAnsi="Arial"/>
                <w:sz w:val="18"/>
                <w:szCs w:val="18"/>
                <w:color w:val="auto"/>
              </w:rPr>
              <w:t>1.83 %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1.40 %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1.95 %</w:t>
            </w: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Long-term rate of return on plan assets</w:t>
            </w:r>
          </w:p>
        </w:tc>
        <w:tc>
          <w:tcPr>
            <w:tcW w:w="1540" w:type="dxa"/>
            <w:vAlign w:val="bottom"/>
          </w:tcPr>
          <w:p>
            <w:pPr>
              <w:jc w:val="right"/>
              <w:spacing w:after="0"/>
              <w:rPr>
                <w:sz w:val="20"/>
                <w:szCs w:val="20"/>
                <w:color w:val="auto"/>
              </w:rPr>
            </w:pPr>
            <w:r>
              <w:rPr>
                <w:rFonts w:ascii="Arial" w:cs="Arial" w:eastAsia="Arial" w:hAnsi="Arial"/>
                <w:sz w:val="18"/>
                <w:szCs w:val="18"/>
                <w:color w:val="auto"/>
              </w:rPr>
              <w:t>3.71 %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3.80 %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4.50 %</w:t>
            </w:r>
          </w:p>
        </w:tc>
      </w:tr>
    </w:tbl>
    <w:p>
      <w:pPr>
        <w:spacing w:after="0" w:line="256"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color w:val="auto"/>
        </w:rPr>
        <w:t>To select discount rates for our defined benefit pension plans, we use a modeling process that involves matching the expected cash outflows of such plans, to yield curves constructed from portfolios of AA-rated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fixed-income debt instruments. We use the average yields of the hypothetical portfolios as a discount rate benchmark.</w:t>
      </w:r>
    </w:p>
    <w:p>
      <w:pPr>
        <w:spacing w:after="0" w:line="171"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Our expected rate of return on plan assets of 6.75% and 3.71% for the U.S. plans and non-U.S. plans, respectively, used to determine pension obligations and pension costs, are long-term rates based on historic plan asset returns in individual jurisdictions, over varying long-term periods combined with current market expectations and broad asset mix considerations.</w:t>
      </w:r>
    </w:p>
    <w:p>
      <w:pPr>
        <w:spacing w:after="0" w:line="134" w:lineRule="exact"/>
        <w:rPr>
          <w:sz w:val="20"/>
          <w:szCs w:val="20"/>
          <w:color w:val="auto"/>
        </w:rPr>
      </w:pPr>
    </w:p>
    <w:p>
      <w:pPr>
        <w:jc w:val="both"/>
        <w:ind w:left="500"/>
        <w:spacing w:after="0" w:line="224" w:lineRule="auto"/>
        <w:rPr>
          <w:sz w:val="20"/>
          <w:szCs w:val="20"/>
          <w:color w:val="auto"/>
        </w:rPr>
      </w:pPr>
      <w:r>
        <w:rPr>
          <w:rFonts w:ascii="Arial" w:cs="Arial" w:eastAsia="Arial" w:hAnsi="Arial"/>
          <w:sz w:val="18"/>
          <w:szCs w:val="18"/>
          <w:color w:val="auto"/>
        </w:rPr>
        <w:t>As of December 31, 2021 and 2020, plans with projected benefit obligations in excess of plan assets had projected benefit obligations of $453 million and $518 million, respectively, and plan assets of $ 297 million and $307 million, respectively. As of December 31, 2021 and 2020, plans with accumulated benefit obligations in excess of plan assets had accumulated benefit obligations of $453 million and $509 million, respectively, and plan assets of $303 million and $307 million, respectively. The accumulated benefit obligation for all plans was $872 million and $916 million as of December 31, 2021 and 2020, respectively. We expect to contribute approximately $1 million to the U.S. plans and $4 million to the non-U.S. plans in 2022.</w:t>
      </w:r>
    </w:p>
    <w:p>
      <w:pPr>
        <w:spacing w:after="0" w:line="150"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Our defined benefit pension plans’ assets are invested primarily in mutual funds and may change in value due to various risks, such as interest rate and credit risk and overall market volatility. Due to the level of risk associated with investment securities, it is reasonably possible that changes in the values of the pension plans’ investment securities will occur in the near term and that such changes would materially affect the amounts reported in our financial statements.</w:t>
      </w:r>
    </w:p>
    <w:p>
      <w:pPr>
        <w:spacing w:after="0" w:line="150" w:lineRule="exact"/>
        <w:rPr>
          <w:sz w:val="20"/>
          <w:szCs w:val="20"/>
          <w:color w:val="auto"/>
        </w:rPr>
      </w:pPr>
    </w:p>
    <w:p>
      <w:pPr>
        <w:jc w:val="both"/>
        <w:ind w:left="500"/>
        <w:spacing w:after="0" w:line="251" w:lineRule="auto"/>
        <w:rPr>
          <w:sz w:val="20"/>
          <w:szCs w:val="20"/>
          <w:color w:val="auto"/>
        </w:rPr>
      </w:pPr>
      <w:r>
        <w:rPr>
          <w:rFonts w:ascii="Arial" w:cs="Arial" w:eastAsia="Arial" w:hAnsi="Arial"/>
          <w:sz w:val="18"/>
          <w:szCs w:val="18"/>
          <w:color w:val="auto"/>
        </w:rPr>
        <w:t>The defined benefit pension plans’ investment goals and objectives are managed by us or Company-appointed and member-appointed trustees with consultation from independent investment advisors. While the objectives may vary slightly by country and jurisdiction, collectively we seek to produce returns on pension plan investments, which are based on levels of liquidity and investment risk that we believe are prudent and reasonable, given prevailing capital market conditions. The pension plans’ assets are managed in the long-term interests of the participants and the beneficiaries of the plans. A suitable strategic asset allocation benchmark is determined for each plan to maintain a diversified portfolio, taking into account government requirements, if any, regarding unnecessary investment risk and protection of pension plans’ assets. We believe that diversification of the pension plans’ assets is an important investment strategy to provide reasonable assurance that no single security or class of securities will have a disproportionate impact on the pension plans. As such, we allocate assets among traditional equity, fixed income (government issued securities, corporate bonds and short-term cash investments) and other investment strategies.</w:t>
      </w:r>
    </w:p>
    <w:p>
      <w:pPr>
        <w:spacing w:after="0" w:line="157"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The equity component’s purpose is to provide a total return that will help preserve the purchasing power of the assets. The pension plans hold various mutual funds that invest in equity securities and are diversified among funds that invest in large cap, small cap, growth, value and international stocks as well as funds that are intended to “track” an index, such as the S&amp;P 500. The equity investments in the portfolios will represent a greater assumption of market volatility and risk as well as provide higher anticipated total return over the long term. The equity component is expected to approximate 35%-55% of the plans’ assets.</w:t>
      </w:r>
    </w:p>
    <w:p>
      <w:pPr>
        <w:spacing w:after="0" w:line="151"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The purpose of the fixed income component is to provide a deflation hedge, to reduce the overall volatility of the pension plans’ assets in relation to the liability and to produce current income. The pension plans hold mutual funds that invest in securities issued by governments, government agencies and corporations. The fixed income component is expected to approximate 35%-55% of the plans’ assets.</w:t>
      </w:r>
    </w:p>
    <w:p>
      <w:pPr>
        <w:spacing w:after="0" w:line="150"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The purpose of the alternative investment component is to provide diversification and risk reduction through less correlated investment strategies with the goal of enhanced returns and downside protection. Alternative strategies will not be used if they are designed solely to enhance return and/or employ significant leverage. Diversification of asset categories, investment styles and managers is central to managing investment risk. The alternative investment component is expected to approximate 5%-15% of the plans’ assets.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defined benefit pension plans’ assets measured at fair value:</w:t>
      </w:r>
    </w:p>
    <w:p>
      <w:pPr>
        <w:spacing w:after="0" w:line="190"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50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rPr>
              <w:t>As of December 31, 2021</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Asset Class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Cash equivalents and short-term investments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9"/>
                <w:szCs w:val="19"/>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U.S. equities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Non-U.S. equities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Government bonds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ind w:left="22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330</w:t>
            </w: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396</w:t>
            </w:r>
          </w:p>
        </w:tc>
        <w:tc>
          <w:tcPr>
            <w:tcW w:w="40" w:type="dxa"/>
            <w:vAlign w:val="bottom"/>
          </w:tcPr>
          <w:p>
            <w:pPr>
              <w:spacing w:after="0"/>
              <w:rPr>
                <w:sz w:val="19"/>
                <w:szCs w:val="19"/>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08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9"/>
        </w:trPr>
        <w:tc>
          <w:tcPr>
            <w:tcW w:w="50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100" w:type="dxa"/>
            <w:vAlign w:val="bottom"/>
            <w:gridSpan w:val="2"/>
          </w:tcPr>
          <w:p>
            <w:pPr>
              <w:spacing w:after="0"/>
              <w:rPr>
                <w:sz w:val="20"/>
                <w:szCs w:val="20"/>
                <w:color w:val="auto"/>
              </w:rPr>
            </w:pPr>
            <w:r>
              <w:rPr>
                <w:rFonts w:ascii="Arial" w:cs="Arial" w:eastAsia="Arial" w:hAnsi="Arial"/>
                <w:sz w:val="14"/>
                <w:szCs w:val="14"/>
                <w:color w:val="auto"/>
              </w:rPr>
              <w:t>During 2021, we purchased and classified $46 million of investments as Level 3.</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3"/>
        </w:trPr>
        <w:tc>
          <w:tcPr>
            <w:tcW w:w="5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10"/>
          </w:tcPr>
          <w:p>
            <w:pPr>
              <w:jc w:val="right"/>
              <w:ind w:right="20"/>
              <w:spacing w:after="0"/>
              <w:rPr>
                <w:sz w:val="20"/>
                <w:szCs w:val="20"/>
                <w:color w:val="auto"/>
              </w:rPr>
            </w:pPr>
            <w:r>
              <w:rPr>
                <w:rFonts w:ascii="Arial" w:cs="Arial" w:eastAsia="Arial" w:hAnsi="Arial"/>
                <w:sz w:val="18"/>
                <w:szCs w:val="18"/>
                <w:b w:val="1"/>
                <w:bCs w:val="1"/>
                <w:color w:val="auto"/>
              </w:rPr>
              <w:t>As of December 31, 2020</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 Class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7"/>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Cash equivalents and short-term investments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9"/>
                <w:szCs w:val="19"/>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U.S. equities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Non-U.S. equities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Government bonds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ind w:left="22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307</w:t>
            </w:r>
          </w:p>
        </w:tc>
        <w:tc>
          <w:tcPr>
            <w:tcW w:w="40" w:type="dxa"/>
            <w:vAlign w:val="bottom"/>
          </w:tcPr>
          <w:p>
            <w:pPr>
              <w:spacing w:after="0"/>
              <w:rPr>
                <w:sz w:val="19"/>
                <w:szCs w:val="19"/>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415</w:t>
            </w:r>
          </w:p>
        </w:tc>
        <w:tc>
          <w:tcPr>
            <w:tcW w:w="20" w:type="dxa"/>
            <w:vAlign w:val="bottom"/>
          </w:tcPr>
          <w:p>
            <w:pPr>
              <w:spacing w:after="0"/>
              <w:rPr>
                <w:sz w:val="19"/>
                <w:szCs w:val="19"/>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color w:val="auto"/>
        </w:rPr>
        <w:t>We estimate that future benefit payments from plan assets will be $31 million, $31 million, $32 million, $33 million, $35 million and $188 million for 2022, 2023, 2024, 2025, 2026 and 2027 to 2031, respectively.</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Multiemployer Plans</w:t>
      </w:r>
    </w:p>
    <w:p>
      <w:pPr>
        <w:spacing w:after="0" w:line="193" w:lineRule="exact"/>
        <w:rPr>
          <w:sz w:val="20"/>
          <w:szCs w:val="20"/>
          <w:color w:val="auto"/>
        </w:rPr>
      </w:pPr>
    </w:p>
    <w:p>
      <w:pPr>
        <w:jc w:val="both"/>
        <w:ind w:left="500"/>
        <w:spacing w:after="0" w:line="250" w:lineRule="auto"/>
        <w:rPr>
          <w:sz w:val="20"/>
          <w:szCs w:val="20"/>
          <w:color w:val="auto"/>
        </w:rPr>
      </w:pPr>
      <w:r>
        <w:rPr>
          <w:rFonts w:ascii="Arial" w:cs="Arial" w:eastAsia="Arial" w:hAnsi="Arial"/>
          <w:sz w:val="18"/>
          <w:szCs w:val="18"/>
          <w:color w:val="auto"/>
        </w:rPr>
        <w:t>We contribute to a number of multiemployer plans under the terms of collective-bargaining agreements that cover a portion of our employees. The risks of participating in these multiemployer plans are different from single-employer plans in the following aspects:</w:t>
      </w:r>
    </w:p>
    <w:p>
      <w:pPr>
        <w:spacing w:after="0" w:line="1" w:lineRule="exact"/>
        <w:rPr>
          <w:sz w:val="20"/>
          <w:szCs w:val="20"/>
          <w:color w:val="auto"/>
        </w:rPr>
      </w:pPr>
    </w:p>
    <w:p>
      <w:pPr>
        <w:jc w:val="both"/>
        <w:ind w:left="500" w:hanging="6"/>
        <w:spacing w:after="0" w:line="252" w:lineRule="auto"/>
        <w:tabs>
          <w:tab w:leader="none" w:pos="721" w:val="left"/>
        </w:tabs>
        <w:numPr>
          <w:ilvl w:val="1"/>
          <w:numId w:val="61"/>
        </w:numPr>
        <w:rPr>
          <w:rFonts w:ascii="Arial" w:cs="Arial" w:eastAsia="Arial" w:hAnsi="Arial"/>
          <w:sz w:val="18"/>
          <w:szCs w:val="18"/>
          <w:color w:val="auto"/>
        </w:rPr>
      </w:pPr>
      <w:r>
        <w:rPr>
          <w:rFonts w:ascii="Arial" w:cs="Arial" w:eastAsia="Arial" w:hAnsi="Arial"/>
          <w:sz w:val="18"/>
          <w:szCs w:val="18"/>
          <w:color w:val="auto"/>
        </w:rPr>
        <w:t>assets contributed to the multiemployer plan by one employer may be used to provide benefits to employees of other participating employers; (ii) if a participating employer stops contributing to the plan, the unfunded obligations of the plan may be borne by the remaining participating employers; (iii) if we elect to stop participating in a multiemployer plan, we may be required to contribute to such plan an amount based on the under-funded status of the plan; and (iv) we have no involvement in the management of the multiemployer plans’ investments. For the years ended December 31, 2021 and 2020, we contributed a total of $7 million in each of the periods and for the year ended December 31, 2019 we contributed a total of $9 million to multiemployer plans.</w:t>
      </w:r>
    </w:p>
    <w:p>
      <w:pPr>
        <w:spacing w:after="0" w:line="212"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Risk Management</w:t>
      </w:r>
    </w:p>
    <w:p>
      <w:pPr>
        <w:spacing w:after="0" w:line="175"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i w:val="1"/>
          <w:iCs w:val="1"/>
          <w:color w:val="auto"/>
        </w:rPr>
        <w:t>Currency Risk</w:t>
      </w:r>
      <w:r>
        <w:rPr>
          <w:rFonts w:ascii="Arial" w:cs="Arial" w:eastAsia="Arial" w:hAnsi="Arial"/>
          <w:sz w:val="18"/>
          <w:szCs w:val="18"/>
          <w:color w:val="auto"/>
        </w:rPr>
        <w:t>. We use currency exchange contracts to manage our exposure to changes in currency exchange rates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our non-U.S.-dollar denominated receivables and forecasted royalties, forecasted earnings of non-U.S. subsidiaries and forecasted non-U.S.-dollar denominated acquisitions. We primarily hedge a portion of our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We have designated our euro-denominated notes as a hedge of our investment in euro-denominated foreign operations.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color w:val="auto"/>
        </w:rPr>
        <w:t>The estimated net amount of existing gains or losses we expect to reclassify from accumulated other comprehensive income (loss) to earnings for cash flow and net investment hedges over the next 12 months is not material.</w:t>
      </w:r>
    </w:p>
    <w:p>
      <w:pPr>
        <w:spacing w:after="0" w:line="126" w:lineRule="exact"/>
        <w:rPr>
          <w:sz w:val="20"/>
          <w:szCs w:val="20"/>
          <w:color w:val="auto"/>
        </w:rPr>
      </w:pPr>
    </w:p>
    <w:p>
      <w:pPr>
        <w:jc w:val="both"/>
        <w:ind w:left="500"/>
        <w:spacing w:after="0" w:line="266"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We use various hedging strategies including interest rate swaps and interest rate caps to create an appropriate mix</w:t>
      </w:r>
      <w:r>
        <w:rPr>
          <w:rFonts w:ascii="Arial" w:cs="Arial" w:eastAsia="Arial" w:hAnsi="Arial"/>
          <w:sz w:val="18"/>
          <w:szCs w:val="18"/>
          <w:i w:val="1"/>
          <w:iCs w:val="1"/>
          <w:color w:val="auto"/>
        </w:rPr>
        <w:t xml:space="preserve"> </w:t>
      </w:r>
      <w:r>
        <w:rPr>
          <w:rFonts w:ascii="Arial" w:cs="Arial" w:eastAsia="Arial" w:hAnsi="Arial"/>
          <w:sz w:val="18"/>
          <w:szCs w:val="18"/>
          <w:color w:val="auto"/>
        </w:rPr>
        <w:t>of fixed and floating rate assets and liabilities. We estimate that $18 million of losses currently recorded in accumulated other comprehensive income (loss) will be recognized in earnings over the next 12 months.</w:t>
      </w:r>
    </w:p>
    <w:p>
      <w:pPr>
        <w:spacing w:after="0" w:line="122" w:lineRule="exact"/>
        <w:rPr>
          <w:sz w:val="20"/>
          <w:szCs w:val="20"/>
          <w:color w:val="auto"/>
        </w:rPr>
      </w:pPr>
    </w:p>
    <w:p>
      <w:pPr>
        <w:jc w:val="both"/>
        <w:ind w:left="500"/>
        <w:spacing w:after="0" w:line="266" w:lineRule="auto"/>
        <w:rPr>
          <w:sz w:val="20"/>
          <w:szCs w:val="20"/>
          <w:color w:val="auto"/>
        </w:rPr>
      </w:pPr>
      <w:r>
        <w:rPr>
          <w:rFonts w:ascii="Arial" w:cs="Arial" w:eastAsia="Arial" w:hAnsi="Arial"/>
          <w:sz w:val="18"/>
          <w:szCs w:val="18"/>
          <w:i w:val="1"/>
          <w:iCs w:val="1"/>
          <w:color w:val="auto"/>
        </w:rPr>
        <w:t xml:space="preserve">Commodity Risk. </w:t>
      </w:r>
      <w:r>
        <w:rPr>
          <w:rFonts w:ascii="Arial" w:cs="Arial" w:eastAsia="Arial" w:hAnsi="Arial"/>
          <w:sz w:val="18"/>
          <w:szCs w:val="18"/>
          <w:color w:val="auto"/>
        </w:rPr>
        <w:t>We periodically enter into derivative commodity contracts to manage our exposure to changes in the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gasoline. These instruments were designated as freestanding derivatives and the changes in fair value are recorded in our consolidated results of operations.</w:t>
      </w:r>
    </w:p>
    <w:p>
      <w:pPr>
        <w:spacing w:after="0" w:line="122" w:lineRule="exact"/>
        <w:rPr>
          <w:sz w:val="20"/>
          <w:szCs w:val="20"/>
          <w:color w:val="auto"/>
        </w:rPr>
      </w:pPr>
    </w:p>
    <w:p>
      <w:pPr>
        <w:jc w:val="both"/>
        <w:ind w:left="500"/>
        <w:spacing w:after="0" w:line="258" w:lineRule="auto"/>
        <w:rPr>
          <w:sz w:val="20"/>
          <w:szCs w:val="20"/>
          <w:color w:val="auto"/>
        </w:rPr>
      </w:pPr>
      <w:r>
        <w:rPr>
          <w:rFonts w:ascii="Arial" w:cs="Arial" w:eastAsia="Arial" w:hAnsi="Arial"/>
          <w:sz w:val="18"/>
          <w:szCs w:val="18"/>
          <w:i w:val="1"/>
          <w:iCs w:val="1"/>
          <w:color w:val="auto"/>
        </w:rPr>
        <w:t>Credit Risk and Exposure</w:t>
      </w:r>
      <w:r>
        <w:rPr>
          <w:rFonts w:ascii="Arial" w:cs="Arial" w:eastAsia="Arial" w:hAnsi="Arial"/>
          <w:sz w:val="18"/>
          <w:szCs w:val="18"/>
          <w:color w:val="auto"/>
        </w:rPr>
        <w:t>. We are exposed to counterparty credit risks in the event of nonperformance by counterparties to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and sales transactions. We manage such risk by evaluating the financial position and creditworthiness of such counterparties and by requiring collateral in certain instances in which financing is provided. We mitigate counterparty credit risk associated with our derivative contracts by monitoring the amount for which we are at risk with each counterparty, periodically evaluating counterparty creditworthiness and financial position, and where possible, dispersing our risk among multiple counterparties.</w:t>
      </w:r>
    </w:p>
    <w:p>
      <w:pPr>
        <w:spacing w:after="0" w:line="147"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There were no significant concentrations of credit risk with any individual counterparty or groups of counterparties at December 31, 2021 or 2020, other than (i) risks related to our repurchase and guaranteed depreciation agreements with domestic and foreign car manufacturers, and primarily with respect to receivables for program cars that were disposed but for which we have not yet received payment from the manufacturers (see Note 2-Summary of Significant Accounting Policies), (ii) receivables from Realogy and Wyndham related to certain contingent, income tax and other corporate liabilities assumed by Realogy and Wyndham in connection with their disposition and (iii) risks related to leases which have been assumed by Realogy but of which we are a guarantor. Concentrations of credit risk associated with trade receivables are considered minimal due to our diverse customer base. We do not normally require collateral or other security to support credit sales.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Fair Value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93" w:lineRule="exact"/>
        <w:rPr>
          <w:sz w:val="20"/>
          <w:szCs w:val="20"/>
          <w:color w:val="auto"/>
        </w:rPr>
      </w:pPr>
    </w:p>
    <w:p>
      <w:pPr>
        <w:jc w:val="both"/>
        <w:ind w:left="500" w:right="20"/>
        <w:spacing w:after="0" w:line="261" w:lineRule="auto"/>
        <w:rPr>
          <w:sz w:val="20"/>
          <w:szCs w:val="20"/>
          <w:color w:val="auto"/>
        </w:rPr>
      </w:pPr>
      <w:r>
        <w:rPr>
          <w:rFonts w:ascii="Arial" w:cs="Arial" w:eastAsia="Arial" w:hAnsi="Arial"/>
          <w:sz w:val="18"/>
          <w:szCs w:val="18"/>
          <w:color w:val="auto"/>
        </w:rPr>
        <w:t>As described above, derivative assets and liabilities consist principally of currency exchange contracts, interest rate swaps, interest rate caps and commodity contracts. We held derivative instruments with absolute notional values as follows:</w:t>
      </w:r>
    </w:p>
    <w:p>
      <w:pPr>
        <w:spacing w:after="0" w:line="162"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7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1,386</w:t>
            </w: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 xml:space="preserve">Interest rate caps </w:t>
            </w:r>
            <w:r>
              <w:rPr>
                <w:rFonts w:ascii="Arial" w:cs="Arial" w:eastAsia="Arial" w:hAnsi="Arial"/>
                <w:sz w:val="10"/>
                <w:szCs w:val="10"/>
                <w:color w:val="auto"/>
              </w:rPr>
              <w:t>(a)</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8,871</w:t>
            </w: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Interest rate swaps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1,950</w:t>
            </w: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jc w:val="both"/>
        <w:ind w:left="820" w:hanging="326"/>
        <w:spacing w:after="0" w:line="220" w:lineRule="auto"/>
        <w:tabs>
          <w:tab w:leader="none" w:pos="813" w:val="left"/>
        </w:tabs>
        <w:numPr>
          <w:ilvl w:val="0"/>
          <w:numId w:val="63"/>
        </w:numPr>
        <w:rPr>
          <w:rFonts w:ascii="Arial" w:cs="Arial" w:eastAsia="Arial" w:hAnsi="Arial"/>
          <w:sz w:val="19"/>
          <w:szCs w:val="19"/>
          <w:color w:val="auto"/>
          <w:vertAlign w:val="superscript"/>
        </w:rPr>
      </w:pPr>
      <w:r>
        <w:rPr>
          <w:rFonts w:ascii="Arial" w:cs="Arial" w:eastAsia="Arial" w:hAnsi="Arial"/>
          <w:sz w:val="14"/>
          <w:szCs w:val="14"/>
          <w:color w:val="auto"/>
        </w:rPr>
        <w:t>Represents $7.2 billion of interest rate caps sold, partially offset by approximately $4.7 billion of interest rate caps purchased at December 31, 2021 and $6.0 billion of interest rate caps sold, partially offset by approximately $2.9 billion of interest rate caps purchased at December 31, 2020. These amounts exclude $3.0 billion and $3.1 billion of interest rate caps purchased by our Avis Budget Rental Car Funding subsidiary at December 31, 2021 and 2020, respectively.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Fair values (Level 2) of derivative instruments are as follows:</w:t>
      </w:r>
    </w:p>
    <w:p>
      <w:pPr>
        <w:spacing w:after="0" w:line="194" w:lineRule="exact"/>
        <w:rPr>
          <w:sz w:val="20"/>
          <w:szCs w:val="20"/>
          <w:color w:val="auto"/>
        </w:rPr>
      </w:pPr>
    </w:p>
    <w:tbl>
      <w:tblPr>
        <w:tblLayout w:type="fixed"/>
        <w:tblInd w:w="520" w:type="dxa"/>
        <w:tblCellMar>
          <w:top w:w="0" w:type="dxa"/>
          <w:left w:w="0" w:type="dxa"/>
          <w:bottom w:w="0" w:type="dxa"/>
          <w:right w:w="0" w:type="dxa"/>
        </w:tblCellMar>
      </w:tblPr>
      <w:tr>
        <w:trPr>
          <w:trHeight w:val="218"/>
        </w:trPr>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gridSpan w:val="5"/>
          </w:tcPr>
          <w:p>
            <w:pPr>
              <w:ind w:left="220"/>
              <w:spacing w:after="0"/>
              <w:rPr>
                <w:sz w:val="20"/>
                <w:szCs w:val="20"/>
                <w:color w:val="auto"/>
              </w:rPr>
            </w:pPr>
            <w:r>
              <w:rPr>
                <w:rFonts w:ascii="Arial" w:cs="Arial" w:eastAsia="Arial" w:hAnsi="Arial"/>
                <w:sz w:val="16"/>
                <w:szCs w:val="16"/>
                <w:b w:val="1"/>
                <w:bCs w:val="1"/>
                <w:color w:val="auto"/>
              </w:rPr>
              <w:t>As of December 31, 2021</w:t>
            </w:r>
          </w:p>
        </w:tc>
        <w:tc>
          <w:tcPr>
            <w:tcW w:w="160" w:type="dxa"/>
            <w:vAlign w:val="bottom"/>
          </w:tcPr>
          <w:p>
            <w:pPr>
              <w:spacing w:after="0"/>
              <w:rPr>
                <w:sz w:val="18"/>
                <w:szCs w:val="18"/>
                <w:color w:val="auto"/>
              </w:rPr>
            </w:pPr>
          </w:p>
        </w:tc>
        <w:tc>
          <w:tcPr>
            <w:tcW w:w="2520" w:type="dxa"/>
            <w:vAlign w:val="bottom"/>
            <w:gridSpan w:val="4"/>
          </w:tcPr>
          <w:p>
            <w:pPr>
              <w:ind w:left="220"/>
              <w:spacing w:after="0"/>
              <w:rPr>
                <w:sz w:val="20"/>
                <w:szCs w:val="20"/>
                <w:color w:val="auto"/>
              </w:rPr>
            </w:pPr>
            <w:r>
              <w:rPr>
                <w:rFonts w:ascii="Arial" w:cs="Arial" w:eastAsia="Arial" w:hAnsi="Arial"/>
                <w:sz w:val="16"/>
                <w:szCs w:val="16"/>
                <w:b w:val="1"/>
                <w:bCs w:val="1"/>
                <w:color w:val="auto"/>
              </w:rPr>
              <w:t>As of December 31, 2020</w:t>
            </w:r>
          </w:p>
        </w:tc>
      </w:tr>
      <w:tr>
        <w:trPr>
          <w:trHeight w:val="158"/>
        </w:trPr>
        <w:tc>
          <w:tcPr>
            <w:tcW w:w="46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79"/>
              <w:spacing w:after="0" w:line="158" w:lineRule="exact"/>
              <w:rPr>
                <w:sz w:val="20"/>
                <w:szCs w:val="20"/>
                <w:color w:val="auto"/>
              </w:rPr>
            </w:pPr>
            <w:r>
              <w:rPr>
                <w:rFonts w:ascii="Arial" w:cs="Arial" w:eastAsia="Arial" w:hAnsi="Arial"/>
                <w:sz w:val="16"/>
                <w:szCs w:val="16"/>
                <w:b w:val="1"/>
                <w:bCs w:val="1"/>
                <w:color w:val="auto"/>
                <w:w w:val="98"/>
              </w:rPr>
              <w:t>Fair Value,</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79"/>
              <w:spacing w:after="0" w:line="158" w:lineRule="exact"/>
              <w:rPr>
                <w:sz w:val="20"/>
                <w:szCs w:val="20"/>
                <w:color w:val="auto"/>
              </w:rPr>
            </w:pPr>
            <w:r>
              <w:rPr>
                <w:rFonts w:ascii="Arial" w:cs="Arial" w:eastAsia="Arial" w:hAnsi="Arial"/>
                <w:sz w:val="16"/>
                <w:szCs w:val="16"/>
                <w:b w:val="1"/>
                <w:bCs w:val="1"/>
                <w:color w:val="auto"/>
                <w:w w:val="98"/>
              </w:rPr>
              <w:t>Fair Value,</w:t>
            </w:r>
          </w:p>
        </w:tc>
      </w:tr>
      <w:tr>
        <w:trPr>
          <w:trHeight w:val="162"/>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240"/>
              <w:spacing w:after="0" w:line="162" w:lineRule="exact"/>
              <w:rPr>
                <w:sz w:val="20"/>
                <w:szCs w:val="20"/>
                <w:color w:val="auto"/>
              </w:rPr>
            </w:pPr>
            <w:r>
              <w:rPr>
                <w:rFonts w:ascii="Arial" w:cs="Arial" w:eastAsia="Arial" w:hAnsi="Arial"/>
                <w:sz w:val="16"/>
                <w:szCs w:val="16"/>
                <w:b w:val="1"/>
                <w:bCs w:val="1"/>
                <w:color w:val="auto"/>
              </w:rPr>
              <w:t>Asset</w:t>
            </w:r>
          </w:p>
        </w:tc>
        <w:tc>
          <w:tcPr>
            <w:tcW w:w="160" w:type="dxa"/>
            <w:vAlign w:val="bottom"/>
          </w:tcPr>
          <w:p>
            <w:pPr>
              <w:spacing w:after="0"/>
              <w:rPr>
                <w:sz w:val="14"/>
                <w:szCs w:val="14"/>
                <w:color w:val="auto"/>
              </w:rPr>
            </w:pPr>
          </w:p>
        </w:tc>
        <w:tc>
          <w:tcPr>
            <w:tcW w:w="12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Liability</w:t>
            </w:r>
          </w:p>
        </w:tc>
        <w:tc>
          <w:tcPr>
            <w:tcW w:w="160" w:type="dxa"/>
            <w:vAlign w:val="bottom"/>
          </w:tcPr>
          <w:p>
            <w:pPr>
              <w:spacing w:after="0"/>
              <w:rPr>
                <w:sz w:val="14"/>
                <w:szCs w:val="14"/>
                <w:color w:val="auto"/>
              </w:rPr>
            </w:pPr>
          </w:p>
        </w:tc>
        <w:tc>
          <w:tcPr>
            <w:tcW w:w="1240" w:type="dxa"/>
            <w:vAlign w:val="bottom"/>
            <w:gridSpan w:val="2"/>
          </w:tcPr>
          <w:p>
            <w:pPr>
              <w:ind w:left="240"/>
              <w:spacing w:after="0" w:line="162" w:lineRule="exact"/>
              <w:rPr>
                <w:sz w:val="20"/>
                <w:szCs w:val="20"/>
                <w:color w:val="auto"/>
              </w:rPr>
            </w:pPr>
            <w:r>
              <w:rPr>
                <w:rFonts w:ascii="Arial" w:cs="Arial" w:eastAsia="Arial" w:hAnsi="Arial"/>
                <w:sz w:val="16"/>
                <w:szCs w:val="16"/>
                <w:b w:val="1"/>
                <w:bCs w:val="1"/>
                <w:color w:val="auto"/>
              </w:rPr>
              <w:t>Asset</w:t>
            </w:r>
          </w:p>
        </w:tc>
        <w:tc>
          <w:tcPr>
            <w:tcW w:w="160" w:type="dxa"/>
            <w:vAlign w:val="bottom"/>
          </w:tcPr>
          <w:p>
            <w:pPr>
              <w:spacing w:after="0"/>
              <w:rPr>
                <w:sz w:val="14"/>
                <w:szCs w:val="14"/>
                <w:color w:val="auto"/>
              </w:rPr>
            </w:pPr>
          </w:p>
        </w:tc>
        <w:tc>
          <w:tcPr>
            <w:tcW w:w="112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Liability</w:t>
            </w:r>
          </w:p>
        </w:tc>
      </w:tr>
      <w:tr>
        <w:trPr>
          <w:trHeight w:val="215"/>
        </w:trPr>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Derivatives</w:t>
            </w: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Derivatives</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Derivatives</w:t>
            </w:r>
          </w:p>
        </w:tc>
        <w:tc>
          <w:tcPr>
            <w:tcW w:w="160" w:type="dxa"/>
            <w:vAlign w:val="bottom"/>
          </w:tcPr>
          <w:p>
            <w:pPr>
              <w:spacing w:after="0"/>
              <w:rPr>
                <w:sz w:val="18"/>
                <w:szCs w:val="18"/>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rPr>
              <w:t>Derivatives</w:t>
            </w:r>
          </w:p>
        </w:tc>
      </w:tr>
      <w:tr>
        <w:trPr>
          <w:trHeight w:val="195"/>
        </w:trPr>
        <w:tc>
          <w:tcPr>
            <w:tcW w:w="4680" w:type="dxa"/>
            <w:vAlign w:val="bottom"/>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14"/>
        </w:trPr>
        <w:tc>
          <w:tcPr>
            <w:tcW w:w="4680" w:type="dxa"/>
            <w:vAlign w:val="bottom"/>
          </w:tcPr>
          <w:p>
            <w:pPr>
              <w:ind w:left="200"/>
              <w:spacing w:after="0" w:line="214"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5"/>
        </w:trPr>
        <w:tc>
          <w:tcPr>
            <w:tcW w:w="468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5"/>
        </w:trPr>
        <w:tc>
          <w:tcPr>
            <w:tcW w:w="4680" w:type="dxa"/>
            <w:vAlign w:val="bottom"/>
          </w:tcPr>
          <w:p>
            <w:pPr>
              <w:ind w:left="200"/>
              <w:spacing w:after="0" w:line="235"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(c)</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03"/>
        </w:trPr>
        <w:tc>
          <w:tcPr>
            <w:tcW w:w="4680" w:type="dxa"/>
            <w:vAlign w:val="bottom"/>
          </w:tcPr>
          <w:p>
            <w:pPr>
              <w:ind w:left="200"/>
              <w:spacing w:after="0" w:line="204"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(b)</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680" w:type="dxa"/>
            <w:vAlign w:val="bottom"/>
          </w:tcPr>
          <w:p>
            <w:pPr>
              <w:ind w:left="20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4"/>
        </w:trPr>
        <w:tc>
          <w:tcPr>
            <w:tcW w:w="4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ind w:left="500" w:right="20"/>
        <w:spacing w:after="0" w:line="235" w:lineRule="auto"/>
        <w:rPr>
          <w:sz w:val="20"/>
          <w:szCs w:val="20"/>
          <w:color w:val="auto"/>
        </w:rPr>
      </w:pPr>
      <w:r>
        <w:rPr>
          <w:rFonts w:ascii="Arial" w:cs="Arial" w:eastAsia="Arial" w:hAnsi="Arial"/>
          <w:sz w:val="14"/>
          <w:szCs w:val="14"/>
          <w:color w:val="auto"/>
        </w:rPr>
        <w:t>Amounts in this table exclude derivatives issued by Avis Budget Rental Car Funding, as it is not consolidated by us; however, certain amounts related to the derivatives held by Avis Budget Rental Car Funding are included within accumulated other comprehensive income (loss), as discussed in Note 16-Stockholders’ Equity.</w:t>
      </w:r>
    </w:p>
    <w:p>
      <w:pPr>
        <w:ind w:left="820" w:hanging="326"/>
        <w:spacing w:after="0" w:line="187" w:lineRule="auto"/>
        <w:tabs>
          <w:tab w:leader="none" w:pos="820" w:val="left"/>
        </w:tabs>
        <w:numPr>
          <w:ilvl w:val="0"/>
          <w:numId w:val="64"/>
        </w:numPr>
        <w:rPr>
          <w:rFonts w:ascii="Arial" w:cs="Arial" w:eastAsia="Arial" w:hAnsi="Arial"/>
          <w:sz w:val="19"/>
          <w:szCs w:val="19"/>
          <w:color w:val="auto"/>
          <w:vertAlign w:val="superscript"/>
        </w:rPr>
      </w:pPr>
      <w:r>
        <w:rPr>
          <w:rFonts w:ascii="Arial" w:cs="Arial" w:eastAsia="Arial" w:hAnsi="Arial"/>
          <w:sz w:val="14"/>
          <w:szCs w:val="14"/>
          <w:color w:val="auto"/>
        </w:rPr>
        <w:t>Included in other non-current assets or other non-current liabilities.</w:t>
      </w:r>
    </w:p>
    <w:p>
      <w:pPr>
        <w:ind w:left="820" w:hanging="326"/>
        <w:spacing w:after="0" w:line="187" w:lineRule="auto"/>
        <w:tabs>
          <w:tab w:leader="none" w:pos="820" w:val="left"/>
        </w:tabs>
        <w:numPr>
          <w:ilvl w:val="0"/>
          <w:numId w:val="64"/>
        </w:numPr>
        <w:rPr>
          <w:rFonts w:ascii="Arial" w:cs="Arial" w:eastAsia="Arial" w:hAnsi="Arial"/>
          <w:sz w:val="18"/>
          <w:szCs w:val="18"/>
          <w:color w:val="auto"/>
          <w:vertAlign w:val="superscript"/>
        </w:rPr>
      </w:pPr>
      <w:r>
        <w:rPr>
          <w:rFonts w:ascii="Arial" w:cs="Arial" w:eastAsia="Arial" w:hAnsi="Arial"/>
          <w:sz w:val="14"/>
          <w:szCs w:val="14"/>
          <w:color w:val="auto"/>
        </w:rPr>
        <w:t>Included in assets under vehicle programs or liabilities under vehicle programs.</w:t>
      </w:r>
    </w:p>
    <w:p>
      <w:pPr>
        <w:ind w:left="800" w:hanging="306"/>
        <w:spacing w:after="0" w:line="189" w:lineRule="auto"/>
        <w:tabs>
          <w:tab w:leader="none" w:pos="800" w:val="left"/>
        </w:tabs>
        <w:numPr>
          <w:ilvl w:val="0"/>
          <w:numId w:val="64"/>
        </w:numPr>
        <w:rPr>
          <w:rFonts w:ascii="Arial" w:cs="Arial" w:eastAsia="Arial" w:hAnsi="Arial"/>
          <w:sz w:val="19"/>
          <w:szCs w:val="19"/>
          <w:color w:val="auto"/>
          <w:vertAlign w:val="superscript"/>
        </w:rPr>
      </w:pPr>
      <w:r>
        <w:rPr>
          <w:rFonts w:ascii="Arial" w:cs="Arial" w:eastAsia="Arial" w:hAnsi="Arial"/>
          <w:sz w:val="14"/>
          <w:szCs w:val="14"/>
          <w:color w:val="auto"/>
        </w:rPr>
        <w:t>Included in other current assets or other current liabilities.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derivatives recognized in our Consolidated Financial Statements are as follows:</w:t>
      </w:r>
    </w:p>
    <w:p>
      <w:pPr>
        <w:spacing w:after="0" w:line="32" w:lineRule="exact"/>
        <w:rPr>
          <w:sz w:val="20"/>
          <w:szCs w:val="20"/>
          <w:color w:val="auto"/>
        </w:rPr>
      </w:pPr>
    </w:p>
    <w:tbl>
      <w:tblPr>
        <w:tblLayout w:type="fixed"/>
        <w:tblInd w:w="520" w:type="dxa"/>
        <w:tblCellMar>
          <w:top w:w="0" w:type="dxa"/>
          <w:left w:w="0" w:type="dxa"/>
          <w:bottom w:w="0" w:type="dxa"/>
          <w:right w:w="0" w:type="dxa"/>
        </w:tblCellMar>
      </w:tblPr>
      <w:tr>
        <w:trPr>
          <w:trHeight w:val="218"/>
        </w:trPr>
        <w:tc>
          <w:tcPr>
            <w:tcW w:w="63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208"/>
        </w:trPr>
        <w:tc>
          <w:tcPr>
            <w:tcW w:w="63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r>
      <w:tr>
        <w:trPr>
          <w:trHeight w:val="200"/>
        </w:trPr>
        <w:tc>
          <w:tcPr>
            <w:tcW w:w="6320" w:type="dxa"/>
            <w:vAlign w:val="bottom"/>
          </w:tcPr>
          <w:p>
            <w:pPr>
              <w:spacing w:after="0" w:line="200" w:lineRule="exact"/>
              <w:rPr>
                <w:sz w:val="20"/>
                <w:szCs w:val="20"/>
                <w:color w:val="auto"/>
              </w:rPr>
            </w:pPr>
            <w:r>
              <w:rPr>
                <w:rFonts w:ascii="Arial" w:cs="Arial" w:eastAsia="Arial" w:hAnsi="Arial"/>
                <w:sz w:val="16"/>
                <w:szCs w:val="16"/>
                <w:b w:val="1"/>
                <w:bCs w:val="1"/>
                <w:color w:val="auto"/>
              </w:rPr>
              <w:t xml:space="preserve">Financial instruments designated as hedging instruments </w:t>
            </w:r>
            <w:r>
              <w:rPr>
                <w:rFonts w:ascii="Arial" w:cs="Arial" w:eastAsia="Arial" w:hAnsi="Arial"/>
                <w:sz w:val="21"/>
                <w:szCs w:val="21"/>
                <w:color w:val="auto"/>
                <w:vertAlign w:val="superscript"/>
              </w:rPr>
              <w:t>(a)</w:t>
            </w: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632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(b)</w:t>
            </w: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2"/>
        </w:trPr>
        <w:tc>
          <w:tcPr>
            <w:tcW w:w="6320" w:type="dxa"/>
            <w:vAlign w:val="bottom"/>
          </w:tcPr>
          <w:p>
            <w:pPr>
              <w:ind w:left="200"/>
              <w:spacing w:after="0" w:line="212" w:lineRule="exact"/>
              <w:rPr>
                <w:sz w:val="20"/>
                <w:szCs w:val="20"/>
                <w:color w:val="auto"/>
              </w:rPr>
            </w:pPr>
            <w:r>
              <w:rPr>
                <w:rFonts w:ascii="Arial" w:cs="Arial" w:eastAsia="Arial" w:hAnsi="Arial"/>
                <w:sz w:val="16"/>
                <w:szCs w:val="16"/>
                <w:color w:val="auto"/>
              </w:rPr>
              <w:t xml:space="preserve">Euro-denominated notes </w:t>
            </w:r>
            <w:r>
              <w:rPr>
                <w:rFonts w:ascii="Arial" w:cs="Arial" w:eastAsia="Arial" w:hAnsi="Arial"/>
                <w:sz w:val="21"/>
                <w:szCs w:val="21"/>
                <w:color w:val="auto"/>
                <w:vertAlign w:val="superscript"/>
              </w:rPr>
              <w:t>(c)</w:t>
            </w:r>
          </w:p>
        </w:tc>
        <w:tc>
          <w:tcPr>
            <w:tcW w:w="8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20"/>
        </w:trPr>
        <w:tc>
          <w:tcPr>
            <w:tcW w:w="6320" w:type="dxa"/>
            <w:vAlign w:val="bottom"/>
          </w:tcPr>
          <w:p>
            <w:pPr>
              <w:spacing w:after="0" w:line="220" w:lineRule="exact"/>
              <w:rPr>
                <w:sz w:val="20"/>
                <w:szCs w:val="20"/>
                <w:color w:val="auto"/>
              </w:rPr>
            </w:pPr>
            <w:r>
              <w:rPr>
                <w:rFonts w:ascii="Arial" w:cs="Arial" w:eastAsia="Arial" w:hAnsi="Arial"/>
                <w:sz w:val="16"/>
                <w:szCs w:val="16"/>
                <w:b w:val="1"/>
                <w:bCs w:val="1"/>
                <w:color w:val="auto"/>
              </w:rPr>
              <w:t xml:space="preserve">Financial instruments not designated as hedging instruments </w:t>
            </w:r>
            <w:r>
              <w:rPr>
                <w:rFonts w:ascii="Arial" w:cs="Arial" w:eastAsia="Arial" w:hAnsi="Arial"/>
                <w:sz w:val="21"/>
                <w:szCs w:val="21"/>
                <w:color w:val="auto"/>
                <w:vertAlign w:val="superscript"/>
              </w:rPr>
              <w:t>(d)</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6"/>
        </w:trPr>
        <w:tc>
          <w:tcPr>
            <w:tcW w:w="632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(e)</w:t>
            </w:r>
          </w:p>
        </w:tc>
        <w:tc>
          <w:tcPr>
            <w:tcW w:w="8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632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(f)</w:t>
            </w:r>
          </w:p>
        </w:tc>
        <w:tc>
          <w:tcPr>
            <w:tcW w:w="8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6320" w:type="dxa"/>
            <w:vAlign w:val="bottom"/>
          </w:tcPr>
          <w:p>
            <w:pPr>
              <w:ind w:left="200"/>
              <w:spacing w:after="0" w:line="217"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(g)</w:t>
            </w:r>
          </w:p>
        </w:tc>
        <w:tc>
          <w:tcPr>
            <w:tcW w:w="84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6"/>
        </w:trPr>
        <w:tc>
          <w:tcPr>
            <w:tcW w:w="6320" w:type="dxa"/>
            <w:vAlign w:val="bottom"/>
          </w:tcPr>
          <w:p>
            <w:pPr>
              <w:spacing w:after="0"/>
              <w:rPr>
                <w:sz w:val="20"/>
                <w:szCs w:val="20"/>
                <w:color w:val="auto"/>
              </w:rPr>
            </w:pPr>
            <w:r>
              <w:rPr>
                <w:rFonts w:ascii="Arial" w:cs="Arial" w:eastAsia="Arial" w:hAnsi="Arial"/>
                <w:sz w:val="16"/>
                <w:szCs w:val="16"/>
                <w:color w:val="auto"/>
              </w:rPr>
              <w:t>Total</w:t>
            </w: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4"/>
        </w:trPr>
        <w:tc>
          <w:tcPr>
            <w:tcW w:w="63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ind w:left="820" w:hanging="326"/>
        <w:spacing w:after="0"/>
        <w:tabs>
          <w:tab w:leader="none" w:pos="820" w:val="left"/>
        </w:tabs>
        <w:numPr>
          <w:ilvl w:val="0"/>
          <w:numId w:val="65"/>
        </w:numPr>
        <w:rPr>
          <w:rFonts w:ascii="Arial" w:cs="Arial" w:eastAsia="Arial" w:hAnsi="Arial"/>
          <w:sz w:val="9"/>
          <w:szCs w:val="9"/>
          <w:color w:val="auto"/>
        </w:rPr>
      </w:pPr>
      <w:r>
        <w:rPr>
          <w:rFonts w:ascii="Arial" w:cs="Arial" w:eastAsia="Arial" w:hAnsi="Arial"/>
          <w:sz w:val="14"/>
          <w:szCs w:val="14"/>
          <w:color w:val="auto"/>
        </w:rPr>
        <w:t>Recognized, net of tax, as a component of accumulated other comprehensive income (loss) within stockholders’ equity.</w:t>
      </w:r>
    </w:p>
    <w:p>
      <w:pPr>
        <w:spacing w:after="0" w:line="1" w:lineRule="exact"/>
        <w:rPr>
          <w:rFonts w:ascii="Arial" w:cs="Arial" w:eastAsia="Arial" w:hAnsi="Arial"/>
          <w:sz w:val="9"/>
          <w:szCs w:val="9"/>
          <w:color w:val="auto"/>
        </w:rPr>
      </w:pPr>
    </w:p>
    <w:p>
      <w:pPr>
        <w:ind w:left="820" w:hanging="326"/>
        <w:spacing w:after="0" w:line="241" w:lineRule="auto"/>
        <w:tabs>
          <w:tab w:leader="none" w:pos="813" w:val="left"/>
        </w:tabs>
        <w:numPr>
          <w:ilvl w:val="0"/>
          <w:numId w:val="65"/>
        </w:numPr>
        <w:rPr>
          <w:rFonts w:ascii="Arial" w:cs="Arial" w:eastAsia="Arial" w:hAnsi="Arial"/>
          <w:sz w:val="9"/>
          <w:szCs w:val="9"/>
          <w:color w:val="auto"/>
        </w:rPr>
      </w:pPr>
      <w:r>
        <w:rPr>
          <w:rFonts w:ascii="Arial" w:cs="Arial" w:eastAsia="Arial" w:hAnsi="Arial"/>
          <w:sz w:val="14"/>
          <w:szCs w:val="14"/>
          <w:color w:val="auto"/>
        </w:rPr>
        <w:t>Classified as a net unrealized gain (loss) on cash flow hedges in accumulated other comprehensive income (loss). Refer to Note 16-Stockholders’ Equity for amounts reclassified from accumulated other comprehensive income (loss) into earnings.</w:t>
      </w:r>
    </w:p>
    <w:p>
      <w:pPr>
        <w:ind w:left="800" w:hanging="306"/>
        <w:spacing w:after="0"/>
        <w:tabs>
          <w:tab w:leader="none" w:pos="800" w:val="left"/>
        </w:tabs>
        <w:numPr>
          <w:ilvl w:val="0"/>
          <w:numId w:val="65"/>
        </w:numPr>
        <w:rPr>
          <w:rFonts w:ascii="Arial" w:cs="Arial" w:eastAsia="Arial" w:hAnsi="Arial"/>
          <w:sz w:val="9"/>
          <w:szCs w:val="9"/>
          <w:color w:val="auto"/>
        </w:rPr>
      </w:pPr>
      <w:r>
        <w:rPr>
          <w:rFonts w:ascii="Arial" w:cs="Arial" w:eastAsia="Arial" w:hAnsi="Arial"/>
          <w:sz w:val="14"/>
          <w:szCs w:val="14"/>
          <w:color w:val="auto"/>
        </w:rPr>
        <w:t>Classified as a net investment hedge within currency translation adjustment in accumulated other comprehensive income (loss).</w:t>
      </w:r>
    </w:p>
    <w:p>
      <w:pPr>
        <w:spacing w:after="0" w:line="1" w:lineRule="exact"/>
        <w:rPr>
          <w:rFonts w:ascii="Arial" w:cs="Arial" w:eastAsia="Arial" w:hAnsi="Arial"/>
          <w:sz w:val="9"/>
          <w:szCs w:val="9"/>
          <w:color w:val="auto"/>
        </w:rPr>
      </w:pPr>
    </w:p>
    <w:p>
      <w:pPr>
        <w:ind w:left="820" w:hanging="326"/>
        <w:spacing w:after="0"/>
        <w:tabs>
          <w:tab w:leader="none" w:pos="820" w:val="left"/>
        </w:tabs>
        <w:numPr>
          <w:ilvl w:val="0"/>
          <w:numId w:val="65"/>
        </w:numPr>
        <w:rPr>
          <w:rFonts w:ascii="Arial" w:cs="Arial" w:eastAsia="Arial" w:hAnsi="Arial"/>
          <w:sz w:val="9"/>
          <w:szCs w:val="9"/>
          <w:color w:val="auto"/>
        </w:rPr>
      </w:pPr>
      <w:r>
        <w:rPr>
          <w:rFonts w:ascii="Arial" w:cs="Arial" w:eastAsia="Arial" w:hAnsi="Arial"/>
          <w:sz w:val="14"/>
          <w:szCs w:val="14"/>
          <w:color w:val="auto"/>
        </w:rPr>
        <w:t>Gains (losses) related to derivative instruments are expected to be largely offset by (losses) gains on the underlying exposures being hedged.</w:t>
      </w:r>
    </w:p>
    <w:p>
      <w:pPr>
        <w:spacing w:after="0" w:line="1" w:lineRule="exact"/>
        <w:rPr>
          <w:rFonts w:ascii="Arial" w:cs="Arial" w:eastAsia="Arial" w:hAnsi="Arial"/>
          <w:sz w:val="9"/>
          <w:szCs w:val="9"/>
          <w:color w:val="auto"/>
        </w:rPr>
      </w:pPr>
    </w:p>
    <w:p>
      <w:pPr>
        <w:jc w:val="both"/>
        <w:ind w:left="820" w:hanging="326"/>
        <w:spacing w:after="0" w:line="241" w:lineRule="auto"/>
        <w:tabs>
          <w:tab w:leader="none" w:pos="813" w:val="left"/>
        </w:tabs>
        <w:numPr>
          <w:ilvl w:val="0"/>
          <w:numId w:val="65"/>
        </w:numPr>
        <w:rPr>
          <w:rFonts w:ascii="Arial" w:cs="Arial" w:eastAsia="Arial" w:hAnsi="Arial"/>
          <w:sz w:val="9"/>
          <w:szCs w:val="9"/>
          <w:color w:val="auto"/>
        </w:rPr>
      </w:pPr>
      <w:r>
        <w:rPr>
          <w:rFonts w:ascii="Arial" w:cs="Arial" w:eastAsia="Arial" w:hAnsi="Arial"/>
          <w:sz w:val="14"/>
          <w:szCs w:val="14"/>
          <w:color w:val="auto"/>
        </w:rPr>
        <w:t>For the year ended December 31, 2021, included a $2 million loss in interest expense and a $1 million loss included in operating expenses. For the year ended December 31, 2020, included an $3 million loss included in interest expense and a $2 million loss included in operating expenses. For the year ended December 31, 2019, included a $11 million loss in interest expense and a $4 million gain included in operating expenses.</w:t>
      </w:r>
    </w:p>
    <w:p>
      <w:pPr>
        <w:spacing w:after="0" w:line="1" w:lineRule="exact"/>
        <w:rPr>
          <w:rFonts w:ascii="Arial" w:cs="Arial" w:eastAsia="Arial" w:hAnsi="Arial"/>
          <w:sz w:val="9"/>
          <w:szCs w:val="9"/>
          <w:color w:val="auto"/>
        </w:rPr>
      </w:pPr>
    </w:p>
    <w:p>
      <w:pPr>
        <w:ind w:left="820" w:hanging="326"/>
        <w:spacing w:after="0"/>
        <w:tabs>
          <w:tab w:leader="none" w:pos="820" w:val="left"/>
        </w:tabs>
        <w:numPr>
          <w:ilvl w:val="0"/>
          <w:numId w:val="65"/>
        </w:numPr>
        <w:rPr>
          <w:rFonts w:ascii="Arial" w:cs="Arial" w:eastAsia="Arial" w:hAnsi="Arial"/>
          <w:sz w:val="9"/>
          <w:szCs w:val="9"/>
          <w:color w:val="auto"/>
        </w:rPr>
      </w:pPr>
      <w:r>
        <w:rPr>
          <w:rFonts w:ascii="Arial" w:cs="Arial" w:eastAsia="Arial" w:hAnsi="Arial"/>
          <w:sz w:val="14"/>
          <w:szCs w:val="14"/>
          <w:color w:val="auto"/>
        </w:rPr>
        <w:t>Primarily included in vehicle interest, net.</w:t>
      </w:r>
    </w:p>
    <w:p>
      <w:pPr>
        <w:spacing w:after="0" w:line="1" w:lineRule="exact"/>
        <w:rPr>
          <w:rFonts w:ascii="Arial" w:cs="Arial" w:eastAsia="Arial" w:hAnsi="Arial"/>
          <w:sz w:val="9"/>
          <w:szCs w:val="9"/>
          <w:color w:val="auto"/>
        </w:rPr>
      </w:pPr>
    </w:p>
    <w:p>
      <w:pPr>
        <w:ind w:left="820" w:hanging="326"/>
        <w:spacing w:after="0"/>
        <w:tabs>
          <w:tab w:leader="none" w:pos="820" w:val="left"/>
        </w:tabs>
        <w:numPr>
          <w:ilvl w:val="0"/>
          <w:numId w:val="65"/>
        </w:numPr>
        <w:rPr>
          <w:rFonts w:ascii="Arial" w:cs="Arial" w:eastAsia="Arial" w:hAnsi="Arial"/>
          <w:sz w:val="9"/>
          <w:szCs w:val="9"/>
          <w:color w:val="auto"/>
        </w:rPr>
      </w:pPr>
      <w:r>
        <w:rPr>
          <w:rFonts w:ascii="Arial" w:cs="Arial" w:eastAsia="Arial" w:hAnsi="Arial"/>
          <w:sz w:val="14"/>
          <w:szCs w:val="14"/>
          <w:color w:val="auto"/>
        </w:rPr>
        <w:t>Included in operating expenses.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Instruments</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are as follows:</w:t>
      </w:r>
    </w:p>
    <w:p>
      <w:pPr>
        <w:spacing w:after="0" w:line="32" w:lineRule="exact"/>
        <w:rPr>
          <w:sz w:val="20"/>
          <w:szCs w:val="20"/>
          <w:color w:val="auto"/>
        </w:rPr>
      </w:pPr>
    </w:p>
    <w:tbl>
      <w:tblPr>
        <w:tblLayout w:type="fixed"/>
        <w:tblInd w:w="520" w:type="dxa"/>
        <w:tblCellMar>
          <w:top w:w="0" w:type="dxa"/>
          <w:left w:w="0" w:type="dxa"/>
          <w:bottom w:w="0" w:type="dxa"/>
          <w:right w:w="0" w:type="dxa"/>
        </w:tblCellMar>
      </w:tblPr>
      <w:tr>
        <w:trPr>
          <w:trHeight w:val="218"/>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5"/>
          </w:tcPr>
          <w:p>
            <w:pPr>
              <w:ind w:left="200"/>
              <w:spacing w:after="0"/>
              <w:rPr>
                <w:sz w:val="20"/>
                <w:szCs w:val="20"/>
                <w:color w:val="auto"/>
              </w:rPr>
            </w:pPr>
            <w:r>
              <w:rPr>
                <w:rFonts w:ascii="Arial" w:cs="Arial" w:eastAsia="Arial" w:hAnsi="Arial"/>
                <w:sz w:val="16"/>
                <w:szCs w:val="16"/>
                <w:b w:val="1"/>
                <w:bCs w:val="1"/>
                <w:color w:val="auto"/>
              </w:rPr>
              <w:t>As of December 31, 2021</w:t>
            </w:r>
          </w:p>
        </w:tc>
        <w:tc>
          <w:tcPr>
            <w:tcW w:w="220" w:type="dxa"/>
            <w:vAlign w:val="bottom"/>
          </w:tcPr>
          <w:p>
            <w:pPr>
              <w:spacing w:after="0"/>
              <w:rPr>
                <w:sz w:val="18"/>
                <w:szCs w:val="18"/>
                <w:color w:val="auto"/>
              </w:rPr>
            </w:pPr>
          </w:p>
        </w:tc>
        <w:tc>
          <w:tcPr>
            <w:tcW w:w="248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As of December 31, 2020</w:t>
            </w:r>
          </w:p>
        </w:tc>
      </w:tr>
      <w:tr>
        <w:trPr>
          <w:trHeight w:val="159"/>
        </w:trPr>
        <w:tc>
          <w:tcPr>
            <w:tcW w:w="46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rPr>
              <w:t>Carrying</w:t>
            </w: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179"/>
              <w:spacing w:after="0" w:line="158" w:lineRule="exact"/>
              <w:rPr>
                <w:sz w:val="20"/>
                <w:szCs w:val="20"/>
                <w:color w:val="auto"/>
              </w:rPr>
            </w:pPr>
            <w:r>
              <w:rPr>
                <w:rFonts w:ascii="Arial" w:cs="Arial" w:eastAsia="Arial" w:hAnsi="Arial"/>
                <w:sz w:val="16"/>
                <w:szCs w:val="16"/>
                <w:b w:val="1"/>
                <w:bCs w:val="1"/>
                <w:color w:val="auto"/>
              </w:rPr>
              <w:t>Estimated</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179"/>
              <w:spacing w:after="0" w:line="158" w:lineRule="exact"/>
              <w:rPr>
                <w:sz w:val="20"/>
                <w:szCs w:val="20"/>
                <w:color w:val="auto"/>
              </w:rPr>
            </w:pPr>
            <w:r>
              <w:rPr>
                <w:rFonts w:ascii="Arial" w:cs="Arial" w:eastAsia="Arial" w:hAnsi="Arial"/>
                <w:sz w:val="16"/>
                <w:szCs w:val="16"/>
                <w:b w:val="1"/>
                <w:bCs w:val="1"/>
                <w:color w:val="auto"/>
              </w:rPr>
              <w:t>Estimated</w:t>
            </w:r>
          </w:p>
        </w:tc>
      </w:tr>
      <w:tr>
        <w:trPr>
          <w:trHeight w:val="215"/>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Fair Value</w:t>
            </w: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8"/>
                <w:szCs w:val="18"/>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rPr>
              <w:t>Fair Value</w:t>
            </w:r>
          </w:p>
        </w:tc>
      </w:tr>
      <w:tr>
        <w:trPr>
          <w:trHeight w:val="195"/>
        </w:trPr>
        <w:tc>
          <w:tcPr>
            <w:tcW w:w="4620" w:type="dxa"/>
            <w:vAlign w:val="bottom"/>
          </w:tcPr>
          <w:p>
            <w:pPr>
              <w:spacing w:after="0"/>
              <w:rPr>
                <w:sz w:val="20"/>
                <w:szCs w:val="20"/>
                <w:color w:val="auto"/>
              </w:rPr>
            </w:pPr>
            <w:r>
              <w:rPr>
                <w:rFonts w:ascii="Arial" w:cs="Arial" w:eastAsia="Arial" w:hAnsi="Arial"/>
                <w:sz w:val="16"/>
                <w:szCs w:val="16"/>
                <w:b w:val="1"/>
                <w:bCs w:val="1"/>
                <w:color w:val="auto"/>
              </w:rPr>
              <w:t>Corporate debt</w:t>
            </w: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213"/>
        </w:trPr>
        <w:tc>
          <w:tcPr>
            <w:tcW w:w="4620" w:type="dxa"/>
            <w:vAlign w:val="bottom"/>
          </w:tcPr>
          <w:p>
            <w:pPr>
              <w:ind w:left="160"/>
              <w:spacing w:after="0"/>
              <w:rPr>
                <w:sz w:val="20"/>
                <w:szCs w:val="20"/>
                <w:color w:val="auto"/>
              </w:rPr>
            </w:pPr>
            <w:r>
              <w:rPr>
                <w:rFonts w:ascii="Arial" w:cs="Arial" w:eastAsia="Arial" w:hAnsi="Arial"/>
                <w:sz w:val="16"/>
                <w:szCs w:val="16"/>
                <w:color w:val="auto"/>
              </w:rPr>
              <w:t>Short-term debt and current portion of long-term debt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4620" w:type="dxa"/>
            <w:vAlign w:val="bottom"/>
          </w:tcPr>
          <w:p>
            <w:pPr>
              <w:ind w:left="160"/>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4,337</w:t>
            </w:r>
          </w:p>
        </w:tc>
      </w:tr>
      <w:tr>
        <w:trPr>
          <w:trHeight w:val="432"/>
        </w:trPr>
        <w:tc>
          <w:tcPr>
            <w:tcW w:w="4620" w:type="dxa"/>
            <w:vAlign w:val="bottom"/>
          </w:tcPr>
          <w:p>
            <w:pPr>
              <w:spacing w:after="0"/>
              <w:rPr>
                <w:sz w:val="20"/>
                <w:szCs w:val="20"/>
                <w:color w:val="auto"/>
              </w:rPr>
            </w:pPr>
            <w:r>
              <w:rPr>
                <w:rFonts w:ascii="Arial" w:cs="Arial" w:eastAsia="Arial" w:hAnsi="Arial"/>
                <w:sz w:val="16"/>
                <w:szCs w:val="16"/>
                <w:b w:val="1"/>
                <w:bCs w:val="1"/>
                <w:color w:val="auto"/>
              </w:rPr>
              <w:t>Debt under vehicle programs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6"/>
                <w:szCs w:val="16"/>
                <w:color w:val="auto"/>
              </w:rPr>
              <w:t>Vehicle-backed debt due to Avis Budget Rental Car Funding</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8,848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9,009</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5,080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5,317</w:t>
            </w:r>
          </w:p>
        </w:tc>
      </w:tr>
      <w:tr>
        <w:trPr>
          <w:trHeight w:val="216"/>
        </w:trPr>
        <w:tc>
          <w:tcPr>
            <w:tcW w:w="4620" w:type="dxa"/>
            <w:vAlign w:val="bottom"/>
          </w:tcPr>
          <w:p>
            <w:pPr>
              <w:ind w:left="160"/>
              <w:spacing w:after="0"/>
              <w:rPr>
                <w:sz w:val="20"/>
                <w:szCs w:val="20"/>
                <w:color w:val="auto"/>
              </w:rPr>
            </w:pPr>
            <w:r>
              <w:rPr>
                <w:rFonts w:ascii="Arial" w:cs="Arial" w:eastAsia="Arial" w:hAnsi="Arial"/>
                <w:sz w:val="16"/>
                <w:szCs w:val="16"/>
                <w:color w:val="auto"/>
              </w:rPr>
              <w:t>Vehicle-backed debt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1,796</w:t>
            </w:r>
          </w:p>
        </w:tc>
      </w:tr>
      <w:tr>
        <w:trPr>
          <w:trHeight w:val="287"/>
        </w:trPr>
        <w:tc>
          <w:tcPr>
            <w:tcW w:w="4620" w:type="dxa"/>
            <w:vAlign w:val="bottom"/>
          </w:tcPr>
          <w:p>
            <w:pPr>
              <w:ind w:left="16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r>
    </w:tbl>
    <w:p>
      <w:pPr>
        <w:spacing w:after="0" w:line="2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___________</w:t>
      </w:r>
    </w:p>
    <w:p>
      <w:pPr>
        <w:ind w:left="820" w:hanging="326"/>
        <w:spacing w:after="0" w:line="198" w:lineRule="auto"/>
        <w:tabs>
          <w:tab w:leader="none" w:pos="820" w:val="left"/>
        </w:tabs>
        <w:numPr>
          <w:ilvl w:val="1"/>
          <w:numId w:val="66"/>
        </w:numPr>
        <w:rPr>
          <w:rFonts w:ascii="Arial" w:cs="Arial" w:eastAsia="Arial" w:hAnsi="Arial"/>
          <w:sz w:val="19"/>
          <w:szCs w:val="19"/>
          <w:color w:val="auto"/>
          <w:vertAlign w:val="superscript"/>
        </w:rPr>
      </w:pPr>
      <w:r>
        <w:rPr>
          <w:rFonts w:ascii="Arial" w:cs="Arial" w:eastAsia="Arial" w:hAnsi="Arial"/>
          <w:sz w:val="14"/>
          <w:szCs w:val="14"/>
          <w:color w:val="auto"/>
        </w:rPr>
        <w:t>Derivatives in liability position.</w:t>
      </w:r>
    </w:p>
    <w:p>
      <w:pPr>
        <w:spacing w:after="0" w:line="205" w:lineRule="exact"/>
        <w:rPr>
          <w:rFonts w:ascii="Arial" w:cs="Arial" w:eastAsia="Arial" w:hAnsi="Arial"/>
          <w:sz w:val="19"/>
          <w:szCs w:val="19"/>
          <w:color w:val="auto"/>
          <w:vertAlign w:val="superscript"/>
        </w:rPr>
      </w:pPr>
    </w:p>
    <w:p>
      <w:pPr>
        <w:ind w:left="460" w:hanging="452"/>
        <w:spacing w:after="0"/>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74"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Our chief operating decision maker assesses performance and allocates resources based upon the separate financial information from our operating segments. In identifying our reportable segments, we consider the nature of services provided, the geographical areas in which the segments operated and other relevant factors. We aggregate certain of our operating segments into our reportable segments.</w:t>
      </w:r>
    </w:p>
    <w:p>
      <w:pPr>
        <w:spacing w:after="0" w:line="150" w:lineRule="exact"/>
        <w:rPr>
          <w:sz w:val="20"/>
          <w:szCs w:val="20"/>
          <w:color w:val="auto"/>
        </w:rPr>
      </w:pPr>
    </w:p>
    <w:p>
      <w:pPr>
        <w:jc w:val="both"/>
        <w:ind w:left="500"/>
        <w:spacing w:after="0" w:line="251" w:lineRule="auto"/>
        <w:rPr>
          <w:sz w:val="20"/>
          <w:szCs w:val="20"/>
          <w:color w:val="auto"/>
        </w:rPr>
      </w:pPr>
      <w:r>
        <w:rPr>
          <w:rFonts w:ascii="Arial" w:cs="Arial" w:eastAsia="Arial" w:hAnsi="Arial"/>
          <w:sz w:val="18"/>
          <w:szCs w:val="18"/>
          <w:color w:val="auto"/>
        </w:rPr>
        <w:t>Management evaluates the operating results of each of our reportable segments based upon revenues and “Adjusted EBITDA,” which we define as income (loss)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and other legal matters, net, which includes amounts recorded in excess of $5 million related to class action lawsuits, non-operational charges related to shareholder activist activity, gain on sale of equity method investment in China, COVID-19 charges and income taxes. Net charges for unprecedented personal-injury and other legal matters and gain on sale of equity method investment in China are recorded within operating expenses in our Consolidated Statement of Comprehensive Income. Non-operational charges related to shareholder activist activity include third party advisory, legal and other professional service fees and are recorded within selling, general and administrative expenses in our Consolidated Statement of Comprehensive Income. COVID-19 charges include unusual, direct and incremental costs due to the COVID-19 pandemic, such as minimum annual guaranteed rent in excess of concession fees for the period, overflow parking for idle vehicles and related shuttling costs, incremental cleaning supplies to sanitize vehicles and facilities and other charges, and losses associated with vehicles damaged in overflow parking lots, net of insurance proceeds, and are primarily recorded within operating expenses in our Consolidated Statement of Comprehensive Income. We have revised our definition of Adjusted EBITDA to exclude amounts recorded in excess of $5 million related to class action lawsuits. We have not revised prior years' Adjusted EBITDA amounts because there were no other charges similar in nature to these. Our presentation of Adjusted EBITDA may not be comparable to similarly-titled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540" w:type="dxa"/>
            <w:vAlign w:val="bottom"/>
            <w:gridSpan w:val="2"/>
          </w:tcPr>
          <w:p>
            <w:pPr>
              <w:ind w:left="500"/>
              <w:spacing w:after="0"/>
              <w:rPr>
                <w:sz w:val="20"/>
                <w:szCs w:val="20"/>
                <w:color w:val="auto"/>
              </w:rPr>
            </w:pPr>
            <w:r>
              <w:rPr>
                <w:rFonts w:ascii="Arial" w:cs="Arial" w:eastAsia="Arial" w:hAnsi="Arial"/>
                <w:sz w:val="18"/>
                <w:szCs w:val="18"/>
                <w:b w:val="1"/>
                <w:bCs w:val="1"/>
                <w:color w:val="auto"/>
              </w:rPr>
              <w:t>Year Ended December 31, 2021</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4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Americas</w:t>
            </w:r>
          </w:p>
        </w:tc>
        <w:tc>
          <w:tcPr>
            <w:tcW w:w="10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9"/>
              </w:rPr>
              <w:t>International</w:t>
            </w:r>
          </w:p>
        </w:tc>
        <w:tc>
          <w:tcPr>
            <w:tcW w:w="1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3"/>
          </w:tcPr>
          <w:p>
            <w:pPr>
              <w:ind w:left="120"/>
              <w:spacing w:after="0" w:line="202" w:lineRule="exact"/>
              <w:rPr>
                <w:sz w:val="20"/>
                <w:szCs w:val="20"/>
                <w:color w:val="auto"/>
              </w:rPr>
            </w:pPr>
            <w:r>
              <w:rPr>
                <w:rFonts w:ascii="Arial" w:cs="Arial" w:eastAsia="Arial" w:hAnsi="Arial"/>
                <w:sz w:val="18"/>
                <w:szCs w:val="18"/>
                <w:b w:val="1"/>
                <w:bCs w:val="1"/>
                <w:color w:val="auto"/>
              </w:rPr>
              <w:t>Corporate</w:t>
            </w:r>
          </w:p>
        </w:tc>
        <w:tc>
          <w:tcPr>
            <w:tcW w:w="11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xml:space="preserve">and Other </w:t>
            </w:r>
            <w:r>
              <w:rPr>
                <w:rFonts w:ascii="Arial" w:cs="Arial" w:eastAsia="Arial" w:hAnsi="Arial"/>
                <w:sz w:val="9"/>
                <w:szCs w:val="9"/>
                <w:b w:val="1"/>
                <w:bCs w:val="1"/>
                <w:color w:val="auto"/>
              </w:rPr>
              <w:t>(a)</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ind w:left="520"/>
              <w:spacing w:after="0"/>
              <w:rPr>
                <w:sz w:val="20"/>
                <w:szCs w:val="20"/>
                <w:color w:val="auto"/>
              </w:rPr>
            </w:pPr>
            <w:r>
              <w:rPr>
                <w:rFonts w:ascii="Arial" w:cs="Arial" w:eastAsia="Arial" w:hAnsi="Arial"/>
                <w:sz w:val="18"/>
                <w:szCs w:val="18"/>
                <w:color w:val="auto"/>
              </w:rPr>
              <w:t>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7,557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1,756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3"/>
          </w:tcPr>
          <w:p>
            <w:pPr>
              <w:ind w:left="102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9,313</w:t>
            </w:r>
          </w:p>
        </w:tc>
        <w:tc>
          <w:tcPr>
            <w:tcW w:w="0" w:type="dxa"/>
            <w:vAlign w:val="bottom"/>
          </w:tcPr>
          <w:p>
            <w:pPr>
              <w:spacing w:after="0"/>
              <w:rPr>
                <w:sz w:val="1"/>
                <w:szCs w:val="1"/>
                <w:color w:val="auto"/>
              </w:rPr>
            </w:pPr>
          </w:p>
        </w:tc>
      </w:tr>
      <w:tr>
        <w:trPr>
          <w:trHeight w:val="229"/>
        </w:trPr>
        <w:tc>
          <w:tcPr>
            <w:tcW w:w="4540" w:type="dxa"/>
            <w:vAlign w:val="bottom"/>
            <w:gridSpan w:val="2"/>
          </w:tcPr>
          <w:p>
            <w:pPr>
              <w:ind w:left="520"/>
              <w:spacing w:after="0"/>
              <w:rPr>
                <w:sz w:val="20"/>
                <w:szCs w:val="20"/>
                <w:color w:val="auto"/>
              </w:rPr>
            </w:pPr>
            <w:r>
              <w:rPr>
                <w:rFonts w:ascii="Arial" w:cs="Arial" w:eastAsia="Arial" w:hAnsi="Arial"/>
                <w:sz w:val="18"/>
                <w:szCs w:val="18"/>
                <w:color w:val="auto"/>
              </w:rPr>
              <w:t>Vehicle depreciation and lease charges,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29"/>
        </w:trPr>
        <w:tc>
          <w:tcPr>
            <w:tcW w:w="4540" w:type="dxa"/>
            <w:vAlign w:val="bottom"/>
            <w:gridSpan w:val="2"/>
          </w:tcPr>
          <w:p>
            <w:pPr>
              <w:ind w:left="520"/>
              <w:spacing w:after="0"/>
              <w:rPr>
                <w:sz w:val="20"/>
                <w:szCs w:val="20"/>
                <w:color w:val="auto"/>
              </w:rPr>
            </w:pPr>
            <w:r>
              <w:rPr>
                <w:rFonts w:ascii="Arial" w:cs="Arial" w:eastAsia="Arial" w:hAnsi="Arial"/>
                <w:sz w:val="18"/>
                <w:szCs w:val="18"/>
                <w:color w:val="auto"/>
              </w:rPr>
              <w:t>Vehicle interest,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0"/>
        </w:trPr>
        <w:tc>
          <w:tcPr>
            <w:tcW w:w="4540" w:type="dxa"/>
            <w:vAlign w:val="bottom"/>
            <w:gridSpan w:val="2"/>
          </w:tcPr>
          <w:p>
            <w:pPr>
              <w:ind w:left="520"/>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229"/>
        </w:trPr>
        <w:tc>
          <w:tcPr>
            <w:tcW w:w="4540" w:type="dxa"/>
            <w:vAlign w:val="bottom"/>
            <w:gridSpan w:val="2"/>
          </w:tcPr>
          <w:p>
            <w:pPr>
              <w:ind w:left="520"/>
              <w:spacing w:after="0"/>
              <w:rPr>
                <w:sz w:val="20"/>
                <w:szCs w:val="20"/>
                <w:color w:val="auto"/>
              </w:rPr>
            </w:pPr>
            <w:r>
              <w:rPr>
                <w:rFonts w:ascii="Arial" w:cs="Arial" w:eastAsia="Arial" w:hAnsi="Arial"/>
                <w:sz w:val="18"/>
                <w:szCs w:val="18"/>
                <w:color w:val="auto"/>
              </w:rPr>
              <w:t>Non-vehicle depreciation and amortization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188"/>
        </w:trPr>
        <w:tc>
          <w:tcPr>
            <w:tcW w:w="4540" w:type="dxa"/>
            <w:vAlign w:val="bottom"/>
            <w:gridSpan w:val="2"/>
          </w:tcPr>
          <w:p>
            <w:pPr>
              <w:ind w:left="520"/>
              <w:spacing w:after="0" w:line="189" w:lineRule="exact"/>
              <w:rPr>
                <w:sz w:val="20"/>
                <w:szCs w:val="20"/>
                <w:color w:val="auto"/>
              </w:rPr>
            </w:pPr>
            <w:r>
              <w:rPr>
                <w:rFonts w:ascii="Arial" w:cs="Arial" w:eastAsia="Arial" w:hAnsi="Arial"/>
                <w:sz w:val="18"/>
                <w:szCs w:val="18"/>
                <w:color w:val="auto"/>
              </w:rPr>
              <w:t>Assets exclusive of assets under vehicle</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540" w:type="dxa"/>
            <w:vAlign w:val="bottom"/>
            <w:gridSpan w:val="2"/>
          </w:tcPr>
          <w:p>
            <w:pPr>
              <w:ind w:left="680"/>
              <w:spacing w:after="0"/>
              <w:rPr>
                <w:sz w:val="20"/>
                <w:szCs w:val="20"/>
                <w:color w:val="auto"/>
              </w:rPr>
            </w:pPr>
            <w:r>
              <w:rPr>
                <w:rFonts w:ascii="Arial" w:cs="Arial" w:eastAsia="Arial" w:hAnsi="Arial"/>
                <w:sz w:val="18"/>
                <w:szCs w:val="18"/>
                <w:color w:val="auto"/>
              </w:rPr>
              <w:t>programs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8,581</w:t>
            </w:r>
          </w:p>
        </w:tc>
        <w:tc>
          <w:tcPr>
            <w:tcW w:w="0" w:type="dxa"/>
            <w:vAlign w:val="bottom"/>
          </w:tcPr>
          <w:p>
            <w:pPr>
              <w:spacing w:after="0"/>
              <w:rPr>
                <w:sz w:val="1"/>
                <w:szCs w:val="1"/>
                <w:color w:val="auto"/>
              </w:rPr>
            </w:pPr>
          </w:p>
        </w:tc>
      </w:tr>
      <w:tr>
        <w:trPr>
          <w:trHeight w:val="229"/>
        </w:trPr>
        <w:tc>
          <w:tcPr>
            <w:tcW w:w="4540" w:type="dxa"/>
            <w:vAlign w:val="bottom"/>
            <w:gridSpan w:val="2"/>
          </w:tcPr>
          <w:p>
            <w:pPr>
              <w:ind w:left="520"/>
              <w:spacing w:after="0"/>
              <w:rPr>
                <w:sz w:val="20"/>
                <w:szCs w:val="20"/>
                <w:color w:val="auto"/>
              </w:rPr>
            </w:pPr>
            <w:r>
              <w:rPr>
                <w:rFonts w:ascii="Arial" w:cs="Arial" w:eastAsia="Arial" w:hAnsi="Arial"/>
                <w:sz w:val="18"/>
                <w:szCs w:val="18"/>
                <w:color w:val="auto"/>
              </w:rPr>
              <w:t>Assets under vehicle programs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14,019</w:t>
            </w:r>
          </w:p>
        </w:tc>
        <w:tc>
          <w:tcPr>
            <w:tcW w:w="0" w:type="dxa"/>
            <w:vAlign w:val="bottom"/>
          </w:tcPr>
          <w:p>
            <w:pPr>
              <w:spacing w:after="0"/>
              <w:rPr>
                <w:sz w:val="1"/>
                <w:szCs w:val="1"/>
                <w:color w:val="auto"/>
              </w:rPr>
            </w:pPr>
          </w:p>
        </w:tc>
      </w:tr>
      <w:tr>
        <w:trPr>
          <w:trHeight w:val="230"/>
        </w:trPr>
        <w:tc>
          <w:tcPr>
            <w:tcW w:w="4540" w:type="dxa"/>
            <w:vAlign w:val="bottom"/>
            <w:gridSpan w:val="2"/>
          </w:tcPr>
          <w:p>
            <w:pPr>
              <w:ind w:left="520"/>
              <w:spacing w:after="0"/>
              <w:rPr>
                <w:sz w:val="20"/>
                <w:szCs w:val="20"/>
                <w:color w:val="auto"/>
              </w:rPr>
            </w:pPr>
            <w:r>
              <w:rPr>
                <w:rFonts w:ascii="Arial" w:cs="Arial" w:eastAsia="Arial" w:hAnsi="Arial"/>
                <w:sz w:val="18"/>
                <w:szCs w:val="18"/>
                <w:color w:val="auto"/>
              </w:rPr>
              <w:t>Capital expenditures (excluding vehicles)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2" w:lineRule="exact"/>
        <w:rPr>
          <w:sz w:val="20"/>
          <w:szCs w:val="20"/>
          <w:color w:val="auto"/>
        </w:rPr>
      </w:pPr>
    </w:p>
    <w:p>
      <w:pPr>
        <w:ind w:left="500"/>
        <w:spacing w:after="0"/>
        <w:tabs>
          <w:tab w:leader="none" w:pos="780" w:val="left"/>
        </w:tabs>
        <w:rPr>
          <w:sz w:val="20"/>
          <w:szCs w:val="20"/>
          <w:color w:val="auto"/>
        </w:rPr>
      </w:pPr>
      <w:r>
        <w:rPr>
          <w:rFonts w:ascii="Arial" w:cs="Arial" w:eastAsia="Arial" w:hAnsi="Arial"/>
          <w:sz w:val="14"/>
          <w:szCs w:val="14"/>
          <w:color w:val="auto"/>
        </w:rPr>
        <w:t>(a)</w:t>
        <w:tab/>
        <w:t>Primarily represents unallocated corporate expenses and receivables from our former subsidiaries</w:t>
      </w:r>
      <w:r>
        <w:rPr>
          <w:rFonts w:ascii="Arial" w:cs="Arial" w:eastAsia="Arial" w:hAnsi="Arial"/>
          <w:sz w:val="16"/>
          <w:szCs w:val="16"/>
          <w:color w:val="auto"/>
        </w:rPr>
        <w:t>.</w:t>
      </w:r>
    </w:p>
    <w:p>
      <w:pPr>
        <w:spacing w:after="0" w:line="142"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4040" w:type="dxa"/>
            <w:vAlign w:val="bottom"/>
          </w:tcPr>
          <w:p>
            <w:pPr>
              <w:spacing w:after="0"/>
              <w:rPr>
                <w:sz w:val="20"/>
                <w:szCs w:val="20"/>
                <w:color w:val="auto"/>
              </w:rPr>
            </w:pPr>
            <w:r>
              <w:rPr>
                <w:rFonts w:ascii="Arial" w:cs="Arial" w:eastAsia="Arial" w:hAnsi="Arial"/>
                <w:sz w:val="18"/>
                <w:szCs w:val="18"/>
                <w:b w:val="1"/>
                <w:bCs w:val="1"/>
                <w:color w:val="auto"/>
              </w:rPr>
              <w:t>Year Ended December 31, 2020</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Americas</w:t>
            </w:r>
          </w:p>
        </w:tc>
        <w:tc>
          <w:tcPr>
            <w:tcW w:w="10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9"/>
              </w:rPr>
              <w:t>International</w:t>
            </w:r>
          </w:p>
        </w:tc>
        <w:tc>
          <w:tcPr>
            <w:tcW w:w="1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3"/>
          </w:tcPr>
          <w:p>
            <w:pPr>
              <w:ind w:left="120"/>
              <w:spacing w:after="0" w:line="202" w:lineRule="exact"/>
              <w:rPr>
                <w:sz w:val="20"/>
                <w:szCs w:val="20"/>
                <w:color w:val="auto"/>
              </w:rPr>
            </w:pPr>
            <w:r>
              <w:rPr>
                <w:rFonts w:ascii="Arial" w:cs="Arial" w:eastAsia="Arial" w:hAnsi="Arial"/>
                <w:sz w:val="18"/>
                <w:szCs w:val="18"/>
                <w:b w:val="1"/>
                <w:bCs w:val="1"/>
                <w:color w:val="auto"/>
              </w:rPr>
              <w:t>Corporate</w:t>
            </w:r>
          </w:p>
        </w:tc>
        <w:tc>
          <w:tcPr>
            <w:tcW w:w="11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xml:space="preserve">and Other </w:t>
            </w:r>
            <w:r>
              <w:rPr>
                <w:rFonts w:ascii="Arial" w:cs="Arial" w:eastAsia="Arial" w:hAnsi="Arial"/>
                <w:sz w:val="9"/>
                <w:szCs w:val="9"/>
                <w:b w:val="1"/>
                <w:bCs w:val="1"/>
                <w:color w:val="auto"/>
              </w:rPr>
              <w:t>(a)</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3,965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3"/>
          </w:tcPr>
          <w:p>
            <w:pPr>
              <w:ind w:left="102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5,402</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Vehicle depreciation and lease charges,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Vehicle interest,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Non-vehicle depreciation and amortization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188"/>
        </w:trPr>
        <w:tc>
          <w:tcPr>
            <w:tcW w:w="4040" w:type="dxa"/>
            <w:vAlign w:val="bottom"/>
          </w:tcPr>
          <w:p>
            <w:pPr>
              <w:ind w:left="20"/>
              <w:spacing w:after="0" w:line="189" w:lineRule="exact"/>
              <w:rPr>
                <w:sz w:val="20"/>
                <w:szCs w:val="20"/>
                <w:color w:val="auto"/>
              </w:rPr>
            </w:pPr>
            <w:r>
              <w:rPr>
                <w:rFonts w:ascii="Arial" w:cs="Arial" w:eastAsia="Arial" w:hAnsi="Arial"/>
                <w:sz w:val="18"/>
                <w:szCs w:val="18"/>
                <w:color w:val="auto"/>
              </w:rPr>
              <w:t>Assets exclusive of assets under vehicle</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40" w:type="dxa"/>
            <w:vAlign w:val="bottom"/>
          </w:tcPr>
          <w:p>
            <w:pPr>
              <w:ind w:left="180"/>
              <w:spacing w:after="0"/>
              <w:rPr>
                <w:sz w:val="20"/>
                <w:szCs w:val="20"/>
                <w:color w:val="auto"/>
              </w:rPr>
            </w:pPr>
            <w:r>
              <w:rPr>
                <w:rFonts w:ascii="Arial" w:cs="Arial" w:eastAsia="Arial" w:hAnsi="Arial"/>
                <w:sz w:val="18"/>
                <w:szCs w:val="18"/>
                <w:color w:val="auto"/>
              </w:rPr>
              <w:t>programs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8,365</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Assets under vehicle programs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9,173</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Capital expenditures (excluding vehicles)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ind w:left="820" w:hanging="326"/>
        <w:spacing w:after="0"/>
        <w:tabs>
          <w:tab w:leader="none" w:pos="820" w:val="left"/>
        </w:tabs>
        <w:numPr>
          <w:ilvl w:val="0"/>
          <w:numId w:val="68"/>
        </w:numPr>
        <w:rPr>
          <w:rFonts w:ascii="Arial" w:cs="Arial" w:eastAsia="Arial" w:hAnsi="Arial"/>
          <w:sz w:val="9"/>
          <w:szCs w:val="9"/>
          <w:color w:val="auto"/>
        </w:rPr>
      </w:pPr>
      <w:r>
        <w:rPr>
          <w:rFonts w:ascii="Arial" w:cs="Arial" w:eastAsia="Arial" w:hAnsi="Arial"/>
          <w:sz w:val="14"/>
          <w:szCs w:val="14"/>
          <w:color w:val="auto"/>
        </w:rPr>
        <w:t>Primarily represents unallocated corporate expenses and receivables from our former subsidiaries.</w:t>
      </w:r>
    </w:p>
    <w:p>
      <w:pPr>
        <w:spacing w:after="0" w:line="216"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4040" w:type="dxa"/>
            <w:vAlign w:val="bottom"/>
          </w:tcPr>
          <w:p>
            <w:pPr>
              <w:spacing w:after="0"/>
              <w:rPr>
                <w:sz w:val="20"/>
                <w:szCs w:val="20"/>
                <w:color w:val="auto"/>
              </w:rPr>
            </w:pPr>
            <w:r>
              <w:rPr>
                <w:rFonts w:ascii="Arial" w:cs="Arial" w:eastAsia="Arial" w:hAnsi="Arial"/>
                <w:sz w:val="18"/>
                <w:szCs w:val="18"/>
                <w:b w:val="1"/>
                <w:bCs w:val="1"/>
                <w:color w:val="auto"/>
              </w:rPr>
              <w:t>Year Ended December 31, 2019</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Americas</w:t>
            </w:r>
          </w:p>
        </w:tc>
        <w:tc>
          <w:tcPr>
            <w:tcW w:w="10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9"/>
              </w:rPr>
              <w:t>International</w:t>
            </w:r>
          </w:p>
        </w:tc>
        <w:tc>
          <w:tcPr>
            <w:tcW w:w="1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3"/>
          </w:tcPr>
          <w:p>
            <w:pPr>
              <w:ind w:left="120"/>
              <w:spacing w:after="0" w:line="202" w:lineRule="exact"/>
              <w:rPr>
                <w:sz w:val="20"/>
                <w:szCs w:val="20"/>
                <w:color w:val="auto"/>
              </w:rPr>
            </w:pPr>
            <w:r>
              <w:rPr>
                <w:rFonts w:ascii="Arial" w:cs="Arial" w:eastAsia="Arial" w:hAnsi="Arial"/>
                <w:sz w:val="18"/>
                <w:szCs w:val="18"/>
                <w:b w:val="1"/>
                <w:bCs w:val="1"/>
                <w:color w:val="auto"/>
              </w:rPr>
              <w:t>Corporate</w:t>
            </w:r>
          </w:p>
        </w:tc>
        <w:tc>
          <w:tcPr>
            <w:tcW w:w="11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xml:space="preserve">and Other </w:t>
            </w:r>
            <w:r>
              <w:rPr>
                <w:rFonts w:ascii="Arial" w:cs="Arial" w:eastAsia="Arial" w:hAnsi="Arial"/>
                <w:sz w:val="9"/>
                <w:szCs w:val="9"/>
                <w:b w:val="1"/>
                <w:bCs w:val="1"/>
                <w:color w:val="auto"/>
              </w:rPr>
              <w:t>(a)</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6,352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2,820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3"/>
          </w:tcPr>
          <w:p>
            <w:pPr>
              <w:ind w:left="102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9,172</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Vehicle depreciation and lease charges,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Vehicle interest,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Non-vehicle depreciation and amortization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188"/>
        </w:trPr>
        <w:tc>
          <w:tcPr>
            <w:tcW w:w="4040" w:type="dxa"/>
            <w:vAlign w:val="bottom"/>
          </w:tcPr>
          <w:p>
            <w:pPr>
              <w:ind w:left="20"/>
              <w:spacing w:after="0" w:line="189" w:lineRule="exact"/>
              <w:rPr>
                <w:sz w:val="20"/>
                <w:szCs w:val="20"/>
                <w:color w:val="auto"/>
              </w:rPr>
            </w:pPr>
            <w:r>
              <w:rPr>
                <w:rFonts w:ascii="Arial" w:cs="Arial" w:eastAsia="Arial" w:hAnsi="Arial"/>
                <w:sz w:val="18"/>
                <w:szCs w:val="18"/>
                <w:color w:val="auto"/>
              </w:rPr>
              <w:t>Assets exclusive of assets under vehicle</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40" w:type="dxa"/>
            <w:vAlign w:val="bottom"/>
          </w:tcPr>
          <w:p>
            <w:pPr>
              <w:ind w:left="180"/>
              <w:spacing w:after="0"/>
              <w:rPr>
                <w:sz w:val="20"/>
                <w:szCs w:val="20"/>
                <w:color w:val="auto"/>
              </w:rPr>
            </w:pPr>
            <w:r>
              <w:rPr>
                <w:rFonts w:ascii="Arial" w:cs="Arial" w:eastAsia="Arial" w:hAnsi="Arial"/>
                <w:sz w:val="18"/>
                <w:szCs w:val="18"/>
                <w:color w:val="auto"/>
              </w:rPr>
              <w:t>programs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9,311</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Assets under vehicle programs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13,815</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Capital expenditures (excluding vehicles)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05" w:lineRule="auto"/>
        <w:tabs>
          <w:tab w:leader="none" w:pos="820" w:val="left"/>
        </w:tabs>
        <w:numPr>
          <w:ilvl w:val="0"/>
          <w:numId w:val="69"/>
        </w:numPr>
        <w:rPr>
          <w:rFonts w:ascii="Arial" w:cs="Arial" w:eastAsia="Arial" w:hAnsi="Arial"/>
          <w:sz w:val="19"/>
          <w:szCs w:val="19"/>
          <w:color w:val="auto"/>
          <w:vertAlign w:val="superscript"/>
        </w:rPr>
      </w:pPr>
      <w:r>
        <w:rPr>
          <w:rFonts w:ascii="Arial" w:cs="Arial" w:eastAsia="Arial" w:hAnsi="Arial"/>
          <w:sz w:val="14"/>
          <w:szCs w:val="14"/>
          <w:color w:val="auto"/>
        </w:rPr>
        <w:t>Primarily represents unallocated corporate expenses and receivables from our former subsidiaries.</w:t>
      </w:r>
    </w:p>
    <w:p>
      <w:pPr>
        <w:spacing w:after="0" w:line="200" w:lineRule="exact"/>
        <w:rPr>
          <w:sz w:val="20"/>
          <w:szCs w:val="20"/>
          <w:color w:val="auto"/>
        </w:rPr>
      </w:pPr>
    </w:p>
    <w:p>
      <w:pPr>
        <w:spacing w:after="0" w:line="37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08" w:right="95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Provided below is a reconciliation of Adjusted EBITDA to income (loss) before income taxes.</w:t>
      </w:r>
    </w:p>
    <w:p>
      <w:pPr>
        <w:spacing w:after="0" w:line="28"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5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7"/>
          </w:tcPr>
          <w:p>
            <w:pPr>
              <w:jc w:val="right"/>
              <w:ind w:right="710"/>
              <w:spacing w:after="0"/>
              <w:rPr>
                <w:sz w:val="20"/>
                <w:szCs w:val="20"/>
                <w:color w:val="auto"/>
              </w:rPr>
            </w:pPr>
            <w:r>
              <w:rPr>
                <w:rFonts w:ascii="Arial" w:cs="Arial" w:eastAsia="Arial" w:hAnsi="Arial"/>
                <w:sz w:val="18"/>
                <w:szCs w:val="18"/>
                <w:b w:val="1"/>
                <w:bCs w:val="1"/>
                <w:color w:val="auto"/>
              </w:rPr>
              <w:t>For the Year Ended December 31,</w:t>
            </w:r>
          </w:p>
        </w:tc>
      </w:tr>
      <w:tr>
        <w:trPr>
          <w:trHeight w:val="223"/>
        </w:trPr>
        <w:tc>
          <w:tcPr>
            <w:tcW w:w="57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23"/>
        </w:trPr>
        <w:tc>
          <w:tcPr>
            <w:tcW w:w="572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2,411</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788</w:t>
            </w:r>
          </w:p>
        </w:tc>
      </w:tr>
      <w:tr>
        <w:trPr>
          <w:trHeight w:val="229"/>
        </w:trPr>
        <w:tc>
          <w:tcPr>
            <w:tcW w:w="5720" w:type="dxa"/>
            <w:vAlign w:val="bottom"/>
          </w:tcPr>
          <w:p>
            <w:pPr>
              <w:spacing w:after="0"/>
              <w:rPr>
                <w:sz w:val="20"/>
                <w:szCs w:val="20"/>
                <w:color w:val="auto"/>
              </w:rPr>
            </w:pPr>
            <w:r>
              <w:rPr>
                <w:rFonts w:ascii="Arial" w:cs="Arial" w:eastAsia="Arial" w:hAnsi="Arial"/>
                <w:sz w:val="18"/>
                <w:szCs w:val="18"/>
                <w:color w:val="auto"/>
              </w:rPr>
              <w:t>Less: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720" w:type="dxa"/>
            <w:vAlign w:val="bottom"/>
          </w:tcPr>
          <w:p>
            <w:pPr>
              <w:ind w:left="200"/>
              <w:spacing w:after="0"/>
              <w:rPr>
                <w:sz w:val="20"/>
                <w:szCs w:val="20"/>
                <w:color w:val="auto"/>
              </w:rPr>
            </w:pPr>
            <w:r>
              <w:rPr>
                <w:rFonts w:ascii="Arial" w:cs="Arial" w:eastAsia="Arial" w:hAnsi="Arial"/>
                <w:sz w:val="18"/>
                <w:szCs w:val="18"/>
                <w:color w:val="auto"/>
              </w:rPr>
              <w:t xml:space="preserve">Non-vehicle related depreciation and amortization </w:t>
            </w:r>
            <w:r>
              <w:rPr>
                <w:rFonts w:ascii="Arial" w:cs="Arial" w:eastAsia="Arial" w:hAnsi="Arial"/>
                <w:sz w:val="9"/>
                <w:szCs w:val="9"/>
                <w:color w:val="auto"/>
              </w:rPr>
              <w:t>(a)</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29"/>
        </w:trPr>
        <w:tc>
          <w:tcPr>
            <w:tcW w:w="5720" w:type="dxa"/>
            <w:vAlign w:val="bottom"/>
          </w:tcPr>
          <w:p>
            <w:pPr>
              <w:ind w:left="200"/>
              <w:spacing w:after="0"/>
              <w:rPr>
                <w:sz w:val="20"/>
                <w:szCs w:val="20"/>
                <w:color w:val="auto"/>
              </w:rPr>
            </w:pPr>
            <w:r>
              <w:rPr>
                <w:rFonts w:ascii="Arial" w:cs="Arial" w:eastAsia="Arial" w:hAnsi="Arial"/>
                <w:sz w:val="18"/>
                <w:szCs w:val="18"/>
                <w:color w:val="auto"/>
              </w:rPr>
              <w:t>Interest expense related to corporate debt, net</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7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572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5720" w:type="dxa"/>
            <w:vAlign w:val="bottom"/>
          </w:tcPr>
          <w:p>
            <w:pPr>
              <w:ind w:left="200"/>
              <w:spacing w:after="0"/>
              <w:rPr>
                <w:sz w:val="20"/>
                <w:szCs w:val="20"/>
                <w:color w:val="auto"/>
              </w:rPr>
            </w:pPr>
            <w:r>
              <w:rPr>
                <w:rFonts w:ascii="Arial" w:cs="Arial" w:eastAsia="Arial" w:hAnsi="Arial"/>
                <w:sz w:val="18"/>
                <w:szCs w:val="18"/>
                <w:color w:val="auto"/>
              </w:rPr>
              <w:t xml:space="preserve">COVID-19 charges </w:t>
            </w:r>
            <w:r>
              <w:rPr>
                <w:rFonts w:ascii="Arial" w:cs="Arial" w:eastAsia="Arial" w:hAnsi="Arial"/>
                <w:sz w:val="9"/>
                <w:szCs w:val="9"/>
                <w:color w:val="auto"/>
              </w:rPr>
              <w:t>(b)</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20" w:type="dxa"/>
            <w:vAlign w:val="bottom"/>
          </w:tcPr>
          <w:p>
            <w:pPr>
              <w:ind w:left="200"/>
              <w:spacing w:after="0"/>
              <w:rPr>
                <w:sz w:val="20"/>
                <w:szCs w:val="20"/>
                <w:color w:val="auto"/>
              </w:rPr>
            </w:pPr>
            <w:r>
              <w:rPr>
                <w:rFonts w:ascii="Arial" w:cs="Arial" w:eastAsia="Arial" w:hAnsi="Arial"/>
                <w:sz w:val="18"/>
                <w:szCs w:val="18"/>
                <w:color w:val="auto"/>
              </w:rPr>
              <w:t>Restructuring and other related charges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5720" w:type="dxa"/>
            <w:vAlign w:val="bottom"/>
          </w:tcPr>
          <w:p>
            <w:pPr>
              <w:ind w:left="200"/>
              <w:spacing w:after="0"/>
              <w:rPr>
                <w:sz w:val="20"/>
                <w:szCs w:val="20"/>
                <w:color w:val="auto"/>
              </w:rPr>
            </w:pPr>
            <w:r>
              <w:rPr>
                <w:rFonts w:ascii="Arial" w:cs="Arial" w:eastAsia="Arial" w:hAnsi="Arial"/>
                <w:sz w:val="18"/>
                <w:szCs w:val="18"/>
                <w:color w:val="auto"/>
              </w:rPr>
              <w:t xml:space="preserve">Unprecedented personal-injury and other legal matters, net </w:t>
            </w:r>
            <w:r>
              <w:rPr>
                <w:rFonts w:ascii="Arial" w:cs="Arial" w:eastAsia="Arial" w:hAnsi="Arial"/>
                <w:sz w:val="9"/>
                <w:szCs w:val="9"/>
                <w:color w:val="auto"/>
              </w:rPr>
              <w:t>(c)</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20" w:type="dxa"/>
            <w:vAlign w:val="bottom"/>
          </w:tcPr>
          <w:p>
            <w:pPr>
              <w:ind w:left="200"/>
              <w:spacing w:after="0"/>
              <w:rPr>
                <w:sz w:val="20"/>
                <w:szCs w:val="20"/>
                <w:color w:val="auto"/>
              </w:rPr>
            </w:pPr>
            <w:r>
              <w:rPr>
                <w:rFonts w:ascii="Arial" w:cs="Arial" w:eastAsia="Arial" w:hAnsi="Arial"/>
                <w:sz w:val="18"/>
                <w:szCs w:val="18"/>
                <w:color w:val="auto"/>
              </w:rPr>
              <w:t xml:space="preserve">Non-operational charges related to shareholder activist activity </w:t>
            </w:r>
            <w:r>
              <w:rPr>
                <w:rFonts w:ascii="Arial" w:cs="Arial" w:eastAsia="Arial" w:hAnsi="Arial"/>
                <w:sz w:val="9"/>
                <w:szCs w:val="9"/>
                <w:color w:val="auto"/>
              </w:rPr>
              <w:t>(d)</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720" w:type="dxa"/>
            <w:vAlign w:val="bottom"/>
          </w:tcPr>
          <w:p>
            <w:pPr>
              <w:ind w:left="200"/>
              <w:spacing w:after="0"/>
              <w:rPr>
                <w:sz w:val="20"/>
                <w:szCs w:val="20"/>
                <w:color w:val="auto"/>
              </w:rPr>
            </w:pPr>
            <w:r>
              <w:rPr>
                <w:rFonts w:ascii="Arial" w:cs="Arial" w:eastAsia="Arial" w:hAnsi="Arial"/>
                <w:sz w:val="18"/>
                <w:szCs w:val="18"/>
                <w:color w:val="auto"/>
              </w:rPr>
              <w:t>Transaction-related costs,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5720" w:type="dxa"/>
            <w:vAlign w:val="bottom"/>
          </w:tcPr>
          <w:p>
            <w:pPr>
              <w:ind w:left="200"/>
              <w:spacing w:after="0"/>
              <w:rPr>
                <w:sz w:val="20"/>
                <w:szCs w:val="20"/>
                <w:color w:val="auto"/>
              </w:rPr>
            </w:pPr>
            <w:r>
              <w:rPr>
                <w:rFonts w:ascii="Arial" w:cs="Arial" w:eastAsia="Arial" w:hAnsi="Arial"/>
                <w:sz w:val="18"/>
                <w:szCs w:val="18"/>
                <w:color w:val="auto"/>
              </w:rPr>
              <w:t xml:space="preserve">Gain on sale of equity method investment in China </w:t>
            </w:r>
            <w:r>
              <w:rPr>
                <w:rFonts w:ascii="Arial" w:cs="Arial" w:eastAsia="Arial" w:hAnsi="Arial"/>
                <w:sz w:val="9"/>
                <w:szCs w:val="9"/>
                <w:color w:val="auto"/>
              </w:rPr>
              <w:t>(c)</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572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w:t>
            </w:r>
          </w:p>
        </w:tc>
      </w:tr>
      <w:tr>
        <w:trPr>
          <w:trHeight w:val="21"/>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55" w:lineRule="exact"/>
        <w:rPr>
          <w:sz w:val="20"/>
          <w:szCs w:val="20"/>
          <w:color w:val="auto"/>
        </w:rPr>
      </w:pPr>
    </w:p>
    <w:p>
      <w:pPr>
        <w:ind w:left="820" w:hanging="326"/>
        <w:spacing w:after="0" w:line="194" w:lineRule="auto"/>
        <w:tabs>
          <w:tab w:leader="none" w:pos="727" w:val="left"/>
        </w:tabs>
        <w:numPr>
          <w:ilvl w:val="0"/>
          <w:numId w:val="70"/>
        </w:numPr>
        <w:rPr>
          <w:rFonts w:ascii="Arial" w:cs="Arial" w:eastAsia="Arial" w:hAnsi="Arial"/>
          <w:sz w:val="19"/>
          <w:szCs w:val="19"/>
          <w:color w:val="auto"/>
          <w:vertAlign w:val="superscript"/>
        </w:rPr>
      </w:pPr>
      <w:r>
        <w:rPr>
          <w:rFonts w:ascii="Arial" w:cs="Arial" w:eastAsia="Arial" w:hAnsi="Arial"/>
          <w:sz w:val="14"/>
          <w:szCs w:val="14"/>
          <w:color w:val="auto"/>
        </w:rPr>
        <w:t>Includes amortization of intangible assets recognized in purchase accounting of $66 million in 2021, $66 million in 2020 and $56 million in 2019. Includes operating expenses in our Consolidated Statement of Operations related to cloud computing costs of $7 million in 2021.</w:t>
      </w:r>
    </w:p>
    <w:p>
      <w:pPr>
        <w:sectPr>
          <w:pgSz w:w="11900" w:h="16838" w:orient="portrait"/>
          <w:cols w:equalWidth="0" w:num="1">
            <w:col w:w="11240"/>
          </w:cols>
          <w:pgMar w:left="320" w:top="140" w:right="339" w:bottom="1440" w:gutter="0" w:footer="0" w:header="0"/>
        </w:sectPr>
      </w:pPr>
    </w:p>
    <w:p>
      <w:pPr>
        <w:ind w:left="760" w:hanging="266"/>
        <w:spacing w:after="0" w:line="208" w:lineRule="auto"/>
        <w:tabs>
          <w:tab w:leader="none" w:pos="760" w:val="left"/>
        </w:tabs>
        <w:numPr>
          <w:ilvl w:val="0"/>
          <w:numId w:val="71"/>
        </w:numPr>
        <w:rPr>
          <w:rFonts w:ascii="Arial" w:cs="Arial" w:eastAsia="Arial" w:hAnsi="Arial"/>
          <w:sz w:val="19"/>
          <w:szCs w:val="19"/>
          <w:color w:val="auto"/>
          <w:vertAlign w:val="superscript"/>
        </w:rPr>
      </w:pPr>
      <w:r>
        <w:rPr>
          <w:rFonts w:ascii="Arial" w:cs="Arial" w:eastAsia="Arial" w:hAnsi="Arial"/>
          <w:sz w:val="14"/>
          <w:szCs w:val="14"/>
          <w:color w:val="auto"/>
        </w:rPr>
        <w:t>The following table presents the unusual, direct and incremental costs due to the COVID-19 pandemic:</w:t>
      </w:r>
    </w:p>
    <w:p>
      <w:pPr>
        <w:spacing w:after="0" w:line="16" w:lineRule="exact"/>
        <w:rPr>
          <w:rFonts w:ascii="Arial" w:cs="Arial" w:eastAsia="Arial" w:hAnsi="Arial"/>
          <w:sz w:val="19"/>
          <w:szCs w:val="19"/>
          <w:color w:val="auto"/>
          <w:vertAlign w:val="superscript"/>
        </w:rPr>
      </w:pPr>
    </w:p>
    <w:p>
      <w:pPr>
        <w:ind w:left="6660"/>
        <w:spacing w:after="0"/>
        <w:rPr>
          <w:rFonts w:ascii="Arial" w:cs="Arial" w:eastAsia="Arial" w:hAnsi="Arial"/>
          <w:sz w:val="19"/>
          <w:szCs w:val="19"/>
          <w:color w:val="auto"/>
          <w:vertAlign w:val="superscript"/>
        </w:rPr>
      </w:pPr>
      <w:r>
        <w:rPr>
          <w:rFonts w:ascii="Arial" w:cs="Arial" w:eastAsia="Arial" w:hAnsi="Arial"/>
          <w:sz w:val="14"/>
          <w:szCs w:val="14"/>
          <w:b w:val="1"/>
          <w:bCs w:val="1"/>
          <w:color w:val="auto"/>
        </w:rPr>
        <w:t>2021</w:t>
      </w:r>
    </w:p>
    <w:p>
      <w:pPr>
        <w:spacing w:after="0" w:line="10" w:lineRule="exact"/>
        <w:rPr>
          <w:sz w:val="20"/>
          <w:szCs w:val="20"/>
          <w:color w:val="auto"/>
        </w:rPr>
      </w:pPr>
    </w:p>
    <w:tbl>
      <w:tblPr>
        <w:tblLayout w:type="fixed"/>
        <w:tblInd w:w="840" w:type="dxa"/>
        <w:tblCellMar>
          <w:top w:w="0" w:type="dxa"/>
          <w:left w:w="0" w:type="dxa"/>
          <w:bottom w:w="0" w:type="dxa"/>
          <w:right w:w="0" w:type="dxa"/>
        </w:tblCellMar>
      </w:tblPr>
      <w:tr>
        <w:trPr>
          <w:trHeight w:val="184"/>
        </w:trPr>
        <w:tc>
          <w:tcPr>
            <w:tcW w:w="5280" w:type="dxa"/>
            <w:vAlign w:val="bottom"/>
          </w:tcPr>
          <w:p>
            <w:pPr>
              <w:ind w:left="160"/>
              <w:spacing w:after="0"/>
              <w:rPr>
                <w:sz w:val="20"/>
                <w:szCs w:val="20"/>
                <w:color w:val="auto"/>
              </w:rPr>
            </w:pPr>
            <w:r>
              <w:rPr>
                <w:rFonts w:ascii="Arial" w:cs="Arial" w:eastAsia="Arial" w:hAnsi="Arial"/>
                <w:sz w:val="14"/>
                <w:szCs w:val="14"/>
                <w:color w:val="auto"/>
              </w:rPr>
              <w:t>Minimum annual guaranteed rent in excess of concession fees, net</w:t>
            </w:r>
          </w:p>
        </w:tc>
        <w:tc>
          <w:tcPr>
            <w:tcW w:w="64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5280" w:type="dxa"/>
            <w:vAlign w:val="bottom"/>
          </w:tcPr>
          <w:p>
            <w:pPr>
              <w:ind w:left="160"/>
              <w:spacing w:after="0"/>
              <w:rPr>
                <w:sz w:val="20"/>
                <w:szCs w:val="20"/>
                <w:color w:val="auto"/>
              </w:rPr>
            </w:pPr>
            <w:r>
              <w:rPr>
                <w:rFonts w:ascii="Arial" w:cs="Arial" w:eastAsia="Arial" w:hAnsi="Arial"/>
                <w:sz w:val="14"/>
                <w:szCs w:val="14"/>
                <w:color w:val="auto"/>
              </w:rPr>
              <w:t>Vehicles damaged in overflow parking lots, net of insurance proceeds</w:t>
            </w:r>
          </w:p>
        </w:tc>
        <w:tc>
          <w:tcPr>
            <w:tcW w:w="6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52"/>
        </w:trPr>
        <w:tc>
          <w:tcPr>
            <w:tcW w:w="5280" w:type="dxa"/>
            <w:vAlign w:val="bottom"/>
          </w:tcPr>
          <w:p>
            <w:pPr>
              <w:ind w:left="160"/>
              <w:spacing w:after="0" w:line="152" w:lineRule="exact"/>
              <w:rPr>
                <w:sz w:val="20"/>
                <w:szCs w:val="20"/>
                <w:color w:val="auto"/>
              </w:rPr>
            </w:pPr>
            <w:r>
              <w:rPr>
                <w:rFonts w:ascii="Arial" w:cs="Arial" w:eastAsia="Arial" w:hAnsi="Arial"/>
                <w:sz w:val="14"/>
                <w:szCs w:val="14"/>
                <w:color w:val="auto"/>
              </w:rPr>
              <w:t>Incremental cleaning supplies to sanitize vehicles and facilities, and over flow</w:t>
            </w:r>
          </w:p>
        </w:tc>
        <w:tc>
          <w:tcPr>
            <w:tcW w:w="6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5280" w:type="dxa"/>
            <w:vAlign w:val="bottom"/>
          </w:tcPr>
          <w:p>
            <w:pPr>
              <w:ind w:left="320"/>
              <w:spacing w:after="0"/>
              <w:rPr>
                <w:sz w:val="20"/>
                <w:szCs w:val="20"/>
                <w:color w:val="auto"/>
              </w:rPr>
            </w:pPr>
            <w:r>
              <w:rPr>
                <w:rFonts w:ascii="Arial" w:cs="Arial" w:eastAsia="Arial" w:hAnsi="Arial"/>
                <w:sz w:val="14"/>
                <w:szCs w:val="14"/>
                <w:color w:val="auto"/>
              </w:rPr>
              <w:t>parking for idle vehicles</w:t>
            </w:r>
          </w:p>
        </w:tc>
        <w:tc>
          <w:tcPr>
            <w:tcW w:w="6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280" w:type="dxa"/>
            <w:vAlign w:val="bottom"/>
          </w:tcPr>
          <w:p>
            <w:pPr>
              <w:ind w:left="160"/>
              <w:spacing w:after="0"/>
              <w:rPr>
                <w:sz w:val="20"/>
                <w:szCs w:val="20"/>
                <w:color w:val="auto"/>
              </w:rPr>
            </w:pPr>
            <w:r>
              <w:rPr>
                <w:rFonts w:ascii="Arial" w:cs="Arial" w:eastAsia="Arial" w:hAnsi="Arial"/>
                <w:sz w:val="14"/>
                <w:szCs w:val="14"/>
                <w:color w:val="auto"/>
              </w:rPr>
              <w:t>Other charges</w:t>
            </w:r>
          </w:p>
        </w:tc>
        <w:tc>
          <w:tcPr>
            <w:tcW w:w="6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4"/>
        </w:trPr>
        <w:tc>
          <w:tcPr>
            <w:tcW w:w="5280" w:type="dxa"/>
            <w:vAlign w:val="bottom"/>
          </w:tcPr>
          <w:p>
            <w:pPr>
              <w:spacing w:after="0"/>
              <w:rPr>
                <w:sz w:val="20"/>
                <w:szCs w:val="20"/>
                <w:color w:val="auto"/>
              </w:rPr>
            </w:pPr>
            <w:r>
              <w:rPr>
                <w:rFonts w:ascii="Arial" w:cs="Arial" w:eastAsia="Arial" w:hAnsi="Arial"/>
                <w:sz w:val="14"/>
                <w:szCs w:val="14"/>
                <w:color w:val="auto"/>
              </w:rPr>
              <w:t>Operating expenses</w:t>
            </w: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5280" w:type="dxa"/>
            <w:vAlign w:val="bottom"/>
          </w:tcPr>
          <w:p>
            <w:pPr>
              <w:spacing w:after="0"/>
              <w:rPr>
                <w:sz w:val="20"/>
                <w:szCs w:val="20"/>
                <w:color w:val="auto"/>
              </w:rPr>
            </w:pPr>
            <w:r>
              <w:rPr>
                <w:rFonts w:ascii="Arial" w:cs="Arial" w:eastAsia="Arial" w:hAnsi="Arial"/>
                <w:sz w:val="14"/>
                <w:szCs w:val="14"/>
                <w:color w:val="auto"/>
              </w:rPr>
              <w:t>Vehicle depreciation and lease charges</w:t>
            </w:r>
          </w:p>
        </w:tc>
        <w:tc>
          <w:tcPr>
            <w:tcW w:w="6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5280" w:type="dxa"/>
            <w:vAlign w:val="bottom"/>
          </w:tcPr>
          <w:p>
            <w:pPr>
              <w:spacing w:after="0"/>
              <w:rPr>
                <w:sz w:val="20"/>
                <w:szCs w:val="20"/>
                <w:color w:val="auto"/>
              </w:rPr>
            </w:pPr>
            <w:r>
              <w:rPr>
                <w:rFonts w:ascii="Arial" w:cs="Arial" w:eastAsia="Arial" w:hAnsi="Arial"/>
                <w:sz w:val="14"/>
                <w:szCs w:val="14"/>
                <w:color w:val="auto"/>
              </w:rPr>
              <w:t>Selling, general and administrative expenses</w:t>
            </w:r>
          </w:p>
        </w:tc>
        <w:tc>
          <w:tcPr>
            <w:tcW w:w="6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5280" w:type="dxa"/>
            <w:vAlign w:val="bottom"/>
          </w:tcPr>
          <w:p>
            <w:pPr>
              <w:spacing w:after="0"/>
              <w:rPr>
                <w:sz w:val="20"/>
                <w:szCs w:val="20"/>
                <w:color w:val="auto"/>
              </w:rPr>
            </w:pPr>
            <w:r>
              <w:rPr>
                <w:rFonts w:ascii="Arial" w:cs="Arial" w:eastAsia="Arial" w:hAnsi="Arial"/>
                <w:sz w:val="14"/>
                <w:szCs w:val="14"/>
                <w:color w:val="auto"/>
              </w:rPr>
              <w:t>COVID-19 charges, net</w:t>
            </w: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594"/>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9861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40" w:lineRule="exact"/>
        <w:rPr>
          <w:sz w:val="20"/>
          <w:szCs w:val="20"/>
          <w:color w:val="auto"/>
        </w:rPr>
      </w:pPr>
    </w:p>
    <w:p>
      <w:pPr>
        <w:ind w:left="1314" w:hanging="1314"/>
        <w:spacing w:after="0"/>
        <w:tabs>
          <w:tab w:leader="none" w:pos="1314" w:val="left"/>
        </w:tabs>
        <w:numPr>
          <w:ilvl w:val="0"/>
          <w:numId w:val="72"/>
        </w:numPr>
        <w:rPr>
          <w:rFonts w:ascii="Arial" w:cs="Arial" w:eastAsia="Arial" w:hAnsi="Arial"/>
          <w:sz w:val="14"/>
          <w:szCs w:val="14"/>
          <w:color w:val="auto"/>
        </w:rPr>
      </w:pPr>
      <w:r>
        <w:rPr>
          <w:rFonts w:ascii="Arial" w:cs="Arial" w:eastAsia="Arial" w:hAnsi="Arial"/>
          <w:sz w:val="14"/>
          <w:szCs w:val="14"/>
          <w:color w:val="auto"/>
        </w:rPr>
        <w:t>60</w:t>
      </w:r>
    </w:p>
    <w:p>
      <w:pPr>
        <w:spacing w:after="0" w:line="28" w:lineRule="exact"/>
        <w:rPr>
          <w:rFonts w:ascii="Arial" w:cs="Arial" w:eastAsia="Arial" w:hAnsi="Arial"/>
          <w:sz w:val="14"/>
          <w:szCs w:val="14"/>
          <w:color w:val="auto"/>
        </w:rPr>
      </w:pPr>
    </w:p>
    <w:p>
      <w:pPr>
        <w:ind w:left="1314"/>
        <w:spacing w:after="0"/>
        <w:rPr>
          <w:rFonts w:ascii="Arial" w:cs="Arial" w:eastAsia="Arial" w:hAnsi="Arial"/>
          <w:sz w:val="14"/>
          <w:szCs w:val="14"/>
          <w:color w:val="auto"/>
        </w:rPr>
      </w:pPr>
      <w:r>
        <w:rPr>
          <w:rFonts w:ascii="Arial" w:cs="Arial" w:eastAsia="Arial" w:hAnsi="Arial"/>
          <w:sz w:val="14"/>
          <w:szCs w:val="14"/>
          <w:color w:val="auto"/>
        </w:rPr>
        <w:t>14</w:t>
      </w:r>
    </w:p>
    <w:p>
      <w:pPr>
        <w:spacing w:after="0" w:line="163" w:lineRule="exact"/>
        <w:rPr>
          <w:rFonts w:ascii="Arial" w:cs="Arial" w:eastAsia="Arial" w:hAnsi="Arial"/>
          <w:sz w:val="14"/>
          <w:szCs w:val="14"/>
          <w:color w:val="auto"/>
        </w:rPr>
      </w:pPr>
    </w:p>
    <w:p>
      <w:pPr>
        <w:ind w:left="1314"/>
        <w:spacing w:after="0"/>
        <w:rPr>
          <w:rFonts w:ascii="Arial" w:cs="Arial" w:eastAsia="Arial" w:hAnsi="Arial"/>
          <w:sz w:val="14"/>
          <w:szCs w:val="14"/>
          <w:color w:val="auto"/>
        </w:rPr>
      </w:pPr>
      <w:r>
        <w:rPr>
          <w:rFonts w:ascii="Arial" w:cs="Arial" w:eastAsia="Arial" w:hAnsi="Arial"/>
          <w:sz w:val="14"/>
          <w:szCs w:val="14"/>
          <w:color w:val="auto"/>
        </w:rPr>
        <w:t>48</w:t>
      </w:r>
    </w:p>
    <w:p>
      <w:pPr>
        <w:spacing w:after="0" w:line="28" w:lineRule="exact"/>
        <w:rPr>
          <w:rFonts w:ascii="Arial" w:cs="Arial" w:eastAsia="Arial" w:hAnsi="Arial"/>
          <w:sz w:val="14"/>
          <w:szCs w:val="14"/>
          <w:color w:val="auto"/>
        </w:rPr>
      </w:pPr>
    </w:p>
    <w:p>
      <w:pPr>
        <w:ind w:left="1334"/>
        <w:spacing w:after="0"/>
        <w:rPr>
          <w:rFonts w:ascii="Arial" w:cs="Arial" w:eastAsia="Arial" w:hAnsi="Arial"/>
          <w:sz w:val="14"/>
          <w:szCs w:val="14"/>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9861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2" w:lineRule="exact"/>
        <w:rPr>
          <w:sz w:val="20"/>
          <w:szCs w:val="20"/>
          <w:color w:val="auto"/>
        </w:rPr>
      </w:pPr>
    </w:p>
    <w:p>
      <w:pPr>
        <w:ind w:left="1234" w:hanging="1234"/>
        <w:spacing w:after="0"/>
        <w:tabs>
          <w:tab w:leader="none" w:pos="1234" w:val="left"/>
        </w:tabs>
        <w:numPr>
          <w:ilvl w:val="0"/>
          <w:numId w:val="73"/>
        </w:numPr>
        <w:rPr>
          <w:rFonts w:ascii="Arial" w:cs="Arial" w:eastAsia="Arial" w:hAnsi="Arial"/>
          <w:sz w:val="14"/>
          <w:szCs w:val="14"/>
          <w:color w:val="auto"/>
        </w:rPr>
      </w:pPr>
      <w:r>
        <w:rPr>
          <w:rFonts w:ascii="Arial" w:cs="Arial" w:eastAsia="Arial" w:hAnsi="Arial"/>
          <w:sz w:val="14"/>
          <w:szCs w:val="14"/>
          <w:color w:val="auto"/>
        </w:rPr>
        <w:t>116</w:t>
      </w:r>
    </w:p>
    <w:p>
      <w:pPr>
        <w:spacing w:after="0" w:line="28" w:lineRule="exact"/>
        <w:rPr>
          <w:rFonts w:ascii="Arial" w:cs="Arial" w:eastAsia="Arial" w:hAnsi="Arial"/>
          <w:sz w:val="14"/>
          <w:szCs w:val="14"/>
          <w:color w:val="auto"/>
        </w:rPr>
      </w:pPr>
    </w:p>
    <w:p>
      <w:pPr>
        <w:ind w:left="1394"/>
        <w:spacing w:after="0"/>
        <w:rPr>
          <w:rFonts w:ascii="Arial" w:cs="Arial" w:eastAsia="Arial" w:hAnsi="Arial"/>
          <w:sz w:val="14"/>
          <w:szCs w:val="14"/>
          <w:color w:val="auto"/>
        </w:rPr>
      </w:pPr>
      <w:r>
        <w:rPr>
          <w:rFonts w:ascii="Arial" w:cs="Arial" w:eastAsia="Arial" w:hAnsi="Arial"/>
          <w:sz w:val="14"/>
          <w:szCs w:val="14"/>
          <w:color w:val="auto"/>
        </w:rPr>
        <w:t>1</w:t>
      </w:r>
    </w:p>
    <w:p>
      <w:pPr>
        <w:spacing w:after="0" w:line="28" w:lineRule="exact"/>
        <w:rPr>
          <w:rFonts w:ascii="Arial" w:cs="Arial" w:eastAsia="Arial" w:hAnsi="Arial"/>
          <w:sz w:val="14"/>
          <w:szCs w:val="14"/>
          <w:color w:val="auto"/>
        </w:rPr>
      </w:pPr>
    </w:p>
    <w:p>
      <w:pPr>
        <w:ind w:left="1394"/>
        <w:spacing w:after="0"/>
        <w:rPr>
          <w:rFonts w:ascii="Arial" w:cs="Arial" w:eastAsia="Arial" w:hAnsi="Arial"/>
          <w:sz w:val="14"/>
          <w:szCs w:val="14"/>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9861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2" w:lineRule="exact"/>
        <w:rPr>
          <w:sz w:val="20"/>
          <w:szCs w:val="20"/>
          <w:color w:val="auto"/>
        </w:rPr>
      </w:pPr>
    </w:p>
    <w:p>
      <w:pPr>
        <w:ind w:left="1234" w:hanging="1234"/>
        <w:spacing w:after="0"/>
        <w:tabs>
          <w:tab w:leader="none" w:pos="1234" w:val="left"/>
        </w:tabs>
        <w:numPr>
          <w:ilvl w:val="0"/>
          <w:numId w:val="74"/>
        </w:numPr>
        <w:rPr>
          <w:rFonts w:ascii="Arial" w:cs="Arial" w:eastAsia="Arial" w:hAnsi="Arial"/>
          <w:sz w:val="14"/>
          <w:szCs w:val="14"/>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98615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31750</wp:posOffset>
            </wp:positionV>
            <wp:extent cx="9861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7500" w:space="126"/>
            <w:col w:w="3614"/>
          </w:cols>
          <w:pgMar w:left="320" w:top="140" w:right="339" w:bottom="1440" w:gutter="0" w:footer="0" w:header="0"/>
          <w:type w:val="continuous"/>
        </w:sectPr>
      </w:pPr>
    </w:p>
    <w:p>
      <w:pPr>
        <w:ind w:left="760" w:hanging="266"/>
        <w:spacing w:after="0"/>
        <w:tabs>
          <w:tab w:leader="none" w:pos="760" w:val="left"/>
        </w:tabs>
        <w:numPr>
          <w:ilvl w:val="0"/>
          <w:numId w:val="75"/>
        </w:numPr>
        <w:rPr>
          <w:rFonts w:ascii="Arial" w:cs="Arial" w:eastAsia="Arial" w:hAnsi="Arial"/>
          <w:sz w:val="9"/>
          <w:szCs w:val="9"/>
          <w:color w:val="auto"/>
        </w:rPr>
      </w:pPr>
      <w:r>
        <w:rPr>
          <w:rFonts w:ascii="Arial" w:cs="Arial" w:eastAsia="Arial" w:hAnsi="Arial"/>
          <w:sz w:val="14"/>
          <w:szCs w:val="14"/>
          <w:color w:val="auto"/>
        </w:rPr>
        <w:t>Reported within operating expenses in our Consolidated Statements of Operations.</w:t>
      </w:r>
    </w:p>
    <w:p>
      <w:pPr>
        <w:spacing w:after="0" w:line="25" w:lineRule="exact"/>
        <w:rPr>
          <w:rFonts w:ascii="Arial" w:cs="Arial" w:eastAsia="Arial" w:hAnsi="Arial"/>
          <w:sz w:val="9"/>
          <w:szCs w:val="9"/>
          <w:color w:val="auto"/>
        </w:rPr>
      </w:pPr>
    </w:p>
    <w:p>
      <w:pPr>
        <w:ind w:left="760" w:hanging="266"/>
        <w:spacing w:after="0"/>
        <w:tabs>
          <w:tab w:leader="none" w:pos="760" w:val="left"/>
        </w:tabs>
        <w:numPr>
          <w:ilvl w:val="0"/>
          <w:numId w:val="75"/>
        </w:numPr>
        <w:rPr>
          <w:rFonts w:ascii="Arial" w:cs="Arial" w:eastAsia="Arial" w:hAnsi="Arial"/>
          <w:sz w:val="9"/>
          <w:szCs w:val="9"/>
          <w:color w:val="auto"/>
        </w:rPr>
      </w:pPr>
      <w:r>
        <w:rPr>
          <w:rFonts w:ascii="Arial" w:cs="Arial" w:eastAsia="Arial" w:hAnsi="Arial"/>
          <w:sz w:val="14"/>
          <w:szCs w:val="14"/>
          <w:color w:val="auto"/>
        </w:rPr>
        <w:t>Reported within selling, general and administrative expenses in our Consolidated Statements of Operations</w:t>
      </w:r>
      <w:r>
        <w:rPr>
          <w:rFonts w:ascii="Arial" w:cs="Arial" w:eastAsia="Arial" w:hAnsi="Arial"/>
          <w:sz w:val="16"/>
          <w:szCs w:val="16"/>
          <w:color w:val="auto"/>
        </w:rPr>
        <w:t>.</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geographic segment information provided below is classified based on the geographic location of our subsidiaries.</w:t>
      </w:r>
    </w:p>
    <w:p>
      <w:pPr>
        <w:spacing w:after="0" w:line="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United States</w:t>
            </w:r>
          </w:p>
        </w:tc>
        <w:tc>
          <w:tcPr>
            <w:tcW w:w="240" w:type="dxa"/>
            <w:vAlign w:val="bottom"/>
          </w:tcPr>
          <w:p>
            <w:pPr>
              <w:spacing w:after="0"/>
              <w:rPr>
                <w:sz w:val="17"/>
                <w:szCs w:val="17"/>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All Other</w:t>
            </w:r>
          </w:p>
        </w:tc>
        <w:tc>
          <w:tcPr>
            <w:tcW w:w="360" w:type="dxa"/>
            <w:vAlign w:val="bottom"/>
          </w:tcPr>
          <w:p>
            <w:pPr>
              <w:spacing w:after="0"/>
              <w:rPr>
                <w:sz w:val="17"/>
                <w:szCs w:val="17"/>
                <w:color w:val="auto"/>
              </w:rPr>
            </w:pPr>
          </w:p>
        </w:tc>
        <w:tc>
          <w:tcPr>
            <w:tcW w:w="126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120" w:type="dxa"/>
            <w:vAlign w:val="bottom"/>
            <w:vMerge w:val="restart"/>
          </w:tcPr>
          <w:p>
            <w:pPr>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Countries</w:t>
            </w:r>
          </w:p>
        </w:tc>
        <w:tc>
          <w:tcPr>
            <w:tcW w:w="3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7,254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9,313</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Assets exclusive of assets under vehicle programs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8,581</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10,915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14,019</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Net long-lived assets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446"/>
        </w:trPr>
        <w:tc>
          <w:tcPr>
            <w:tcW w:w="512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3,758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5,402</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Assets exclusive of assets under vehicle programs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8,365</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9,173</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Net long-lived assets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445"/>
        </w:trPr>
        <w:tc>
          <w:tcPr>
            <w:tcW w:w="512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5,867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3,305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9,172</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Assets exclusive of assets under vehicle programs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9,311</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13,815</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Net long-lived assets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Subsequent Event</w:t>
      </w:r>
    </w:p>
    <w:p>
      <w:pPr>
        <w:spacing w:after="0" w:line="274"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color w:val="auto"/>
        </w:rPr>
        <w:t>From January 1, 2022 through February 10, 2022, we repurchased approximately 2.1 million shares of our common stock at a cost of approximately $400 million under our Stock Repurchase Program.</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Balance at</w:t>
            </w:r>
          </w:p>
        </w:tc>
        <w:tc>
          <w:tcPr>
            <w:tcW w:w="200" w:type="dxa"/>
            <w:vAlign w:val="bottom"/>
          </w:tcPr>
          <w:p>
            <w:pPr>
              <w:spacing w:after="0"/>
              <w:rPr>
                <w:sz w:val="17"/>
                <w:szCs w:val="1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Expense</w:t>
            </w:r>
          </w:p>
        </w:tc>
        <w:tc>
          <w:tcPr>
            <w:tcW w:w="180" w:type="dxa"/>
            <w:vAlign w:val="bottom"/>
          </w:tcPr>
          <w:p>
            <w:pPr>
              <w:spacing w:after="0"/>
              <w:rPr>
                <w:sz w:val="17"/>
                <w:szCs w:val="17"/>
                <w:color w:val="auto"/>
              </w:rPr>
            </w:pPr>
          </w:p>
        </w:tc>
        <w:tc>
          <w:tcPr>
            <w:tcW w:w="160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Balance at End</w:t>
            </w:r>
          </w:p>
        </w:tc>
        <w:tc>
          <w:tcPr>
            <w:tcW w:w="0" w:type="dxa"/>
            <w:vAlign w:val="bottom"/>
          </w:tcPr>
          <w:p>
            <w:pPr>
              <w:spacing w:after="0"/>
              <w:rPr>
                <w:sz w:val="1"/>
                <w:szCs w:val="1"/>
                <w:color w:val="auto"/>
              </w:rPr>
            </w:pPr>
          </w:p>
        </w:tc>
      </w:tr>
      <w:tr>
        <w:trPr>
          <w:trHeight w:val="175"/>
        </w:trPr>
        <w:tc>
          <w:tcPr>
            <w:tcW w:w="37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Beginning</w:t>
            </w: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Deductions</w:t>
            </w:r>
          </w:p>
        </w:tc>
        <w:tc>
          <w:tcPr>
            <w:tcW w:w="1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of Period</w:t>
            </w:r>
          </w:p>
        </w:tc>
        <w:tc>
          <w:tcPr>
            <w:tcW w:w="20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(Benefit)</w:t>
            </w:r>
          </w:p>
        </w:tc>
        <w:tc>
          <w:tcPr>
            <w:tcW w:w="180" w:type="dxa"/>
            <w:vAlign w:val="bottom"/>
          </w:tcPr>
          <w:p>
            <w:pPr>
              <w:spacing w:after="0"/>
              <w:rPr>
                <w:sz w:val="19"/>
                <w:szCs w:val="19"/>
                <w:color w:val="auto"/>
              </w:rPr>
            </w:pPr>
          </w:p>
        </w:tc>
        <w:tc>
          <w:tcPr>
            <w:tcW w:w="1600" w:type="dxa"/>
            <w:vAlign w:val="bottom"/>
            <w:gridSpan w:val="2"/>
          </w:tcPr>
          <w:p>
            <w:pPr>
              <w:jc w:val="center"/>
              <w:ind w:right="280"/>
              <w:spacing w:after="0" w:line="230" w:lineRule="exact"/>
              <w:rPr>
                <w:sz w:val="20"/>
                <w:szCs w:val="20"/>
                <w:color w:val="auto"/>
              </w:rPr>
            </w:pPr>
            <w:r>
              <w:rPr>
                <w:rFonts w:ascii="Arial" w:cs="Arial" w:eastAsia="Arial" w:hAnsi="Arial"/>
                <w:sz w:val="18"/>
                <w:szCs w:val="18"/>
                <w:b w:val="1"/>
                <w:bCs w:val="1"/>
                <w:color w:val="auto"/>
                <w:w w:val="97"/>
              </w:rPr>
              <w:t>Adjustments</w:t>
            </w:r>
            <w:r>
              <w:rPr>
                <w:rFonts w:ascii="Arial" w:cs="Arial" w:eastAsia="Arial" w:hAnsi="Arial"/>
                <w:sz w:val="23"/>
                <w:szCs w:val="23"/>
                <w:b w:val="1"/>
                <w:bCs w:val="1"/>
                <w:color w:val="auto"/>
                <w:w w:val="97"/>
                <w:vertAlign w:val="superscript"/>
              </w:rPr>
              <w:t>(a)</w:t>
            </w:r>
          </w:p>
        </w:tc>
        <w:tc>
          <w:tcPr>
            <w:tcW w:w="16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of Period</w:t>
            </w:r>
          </w:p>
        </w:tc>
        <w:tc>
          <w:tcPr>
            <w:tcW w:w="0" w:type="dxa"/>
            <w:vAlign w:val="bottom"/>
          </w:tcPr>
          <w:p>
            <w:pPr>
              <w:spacing w:after="0"/>
              <w:rPr>
                <w:sz w:val="1"/>
                <w:szCs w:val="1"/>
                <w:color w:val="auto"/>
              </w:rPr>
            </w:pPr>
          </w:p>
        </w:tc>
      </w:tr>
      <w:tr>
        <w:trPr>
          <w:trHeight w:val="214"/>
        </w:trPr>
        <w:tc>
          <w:tcPr>
            <w:tcW w:w="35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Allowance for Doubtful Accounts:</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Year Ended December 31,</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ind w:left="750"/>
              <w:spacing w:after="0"/>
              <w:rPr>
                <w:sz w:val="20"/>
                <w:szCs w:val="20"/>
                <w:color w:val="auto"/>
              </w:rPr>
            </w:pPr>
            <w:r>
              <w:rPr>
                <w:rFonts w:ascii="Arial" w:cs="Arial" w:eastAsia="Arial" w:hAnsi="Arial"/>
                <w:sz w:val="18"/>
                <w:szCs w:val="18"/>
                <w:color w:val="auto"/>
                <w:w w:val="99"/>
              </w:rPr>
              <w:t>(81)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center"/>
              <w:ind w:left="750"/>
              <w:spacing w:after="0"/>
              <w:rPr>
                <w:sz w:val="20"/>
                <w:szCs w:val="20"/>
                <w:color w:val="auto"/>
              </w:rPr>
            </w:pPr>
            <w:r>
              <w:rPr>
                <w:rFonts w:ascii="Arial" w:cs="Arial" w:eastAsia="Arial" w:hAnsi="Arial"/>
                <w:sz w:val="18"/>
                <w:szCs w:val="18"/>
                <w:color w:val="auto"/>
                <w:w w:val="99"/>
              </w:rPr>
              <w:t>(68)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9"/>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tcPr>
          <w:p>
            <w:pPr>
              <w:jc w:val="center"/>
              <w:ind w:left="750"/>
              <w:spacing w:after="0"/>
              <w:rPr>
                <w:sz w:val="20"/>
                <w:szCs w:val="20"/>
                <w:color w:val="auto"/>
              </w:rPr>
            </w:pPr>
            <w:r>
              <w:rPr>
                <w:rFonts w:ascii="Arial" w:cs="Arial" w:eastAsia="Arial" w:hAnsi="Arial"/>
                <w:sz w:val="18"/>
                <w:szCs w:val="18"/>
                <w:color w:val="auto"/>
                <w:w w:val="99"/>
              </w:rPr>
              <w:t>(28)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82"/>
        </w:trPr>
        <w:tc>
          <w:tcPr>
            <w:tcW w:w="3700" w:type="dxa"/>
            <w:vAlign w:val="bottom"/>
            <w:gridSpan w:val="2"/>
          </w:tcPr>
          <w:p>
            <w:pPr>
              <w:ind w:left="20"/>
              <w:spacing w:after="0"/>
              <w:rPr>
                <w:sz w:val="20"/>
                <w:szCs w:val="20"/>
                <w:color w:val="auto"/>
              </w:rPr>
            </w:pPr>
            <w:r>
              <w:rPr>
                <w:rFonts w:ascii="Arial" w:cs="Arial" w:eastAsia="Arial" w:hAnsi="Arial"/>
                <w:sz w:val="18"/>
                <w:szCs w:val="18"/>
                <w:b w:val="1"/>
                <w:bCs w:val="1"/>
                <w:color w:val="auto"/>
              </w:rPr>
              <w:t>Tax Valuation Allowance:</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Year Ended December 31,</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center"/>
              <w:ind w:left="71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left="7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9"/>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left="7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ind w:left="320" w:hanging="312"/>
        <w:spacing w:after="0" w:line="205" w:lineRule="auto"/>
        <w:tabs>
          <w:tab w:leader="none" w:pos="320" w:val="left"/>
        </w:tabs>
        <w:numPr>
          <w:ilvl w:val="0"/>
          <w:numId w:val="76"/>
        </w:numPr>
        <w:rPr>
          <w:rFonts w:ascii="Arial" w:cs="Arial" w:eastAsia="Arial" w:hAnsi="Arial"/>
          <w:sz w:val="19"/>
          <w:szCs w:val="19"/>
          <w:color w:val="auto"/>
          <w:vertAlign w:val="superscript"/>
        </w:rPr>
      </w:pPr>
      <w:r>
        <w:rPr>
          <w:rFonts w:ascii="Arial" w:cs="Arial" w:eastAsia="Arial" w:hAnsi="Arial"/>
          <w:sz w:val="14"/>
          <w:szCs w:val="14"/>
          <w:color w:val="auto"/>
        </w:rPr>
        <w:t>Other Adjustments relate to currency translation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11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EXHIBIT NO.</w:t>
            </w:r>
          </w:p>
        </w:tc>
        <w:tc>
          <w:tcPr>
            <w:tcW w:w="100" w:type="dxa"/>
            <w:vAlign w:val="bottom"/>
            <w:tcBorders>
              <w:top w:val="single" w:sz="8" w:color="auto"/>
              <w:bottom w:val="single" w:sz="8" w:color="auto"/>
              <w:right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00" w:type="dxa"/>
            <w:vAlign w:val="bottom"/>
            <w:tcBorders>
              <w:top w:val="single" w:sz="8" w:color="auto"/>
              <w:bottom w:val="single" w:sz="8" w:color="auto"/>
              <w:right w:val="single" w:sz="8" w:color="auto"/>
            </w:tcBorders>
            <w:gridSpan w:val="47"/>
          </w:tcPr>
          <w:p>
            <w:pPr>
              <w:spacing w:after="0"/>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172"/>
        </w:trPr>
        <w:tc>
          <w:tcPr>
            <w:tcW w:w="1140" w:type="dxa"/>
            <w:vAlign w:val="bottom"/>
            <w:tcBorders>
              <w:left w:val="single" w:sz="8" w:color="auto"/>
              <w:right w:val="single" w:sz="8" w:color="auto"/>
            </w:tcBorders>
          </w:tcPr>
          <w:p>
            <w:pPr>
              <w:ind w:left="40"/>
              <w:spacing w:after="0" w:line="172" w:lineRule="exact"/>
              <w:rPr>
                <w:sz w:val="20"/>
                <w:szCs w:val="20"/>
                <w:color w:val="auto"/>
              </w:rPr>
            </w:pPr>
            <w:r>
              <w:rPr>
                <w:rFonts w:ascii="Arial" w:cs="Arial" w:eastAsia="Arial" w:hAnsi="Arial"/>
                <w:sz w:val="16"/>
                <w:szCs w:val="16"/>
                <w:color w:val="auto"/>
              </w:rPr>
              <w:t>2.1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7"/>
          </w:tcPr>
          <w:p>
            <w:pPr>
              <w:spacing w:after="0" w:line="172" w:lineRule="exact"/>
              <w:rPr>
                <w:rFonts w:ascii="Arial" w:cs="Arial" w:eastAsia="Arial" w:hAnsi="Arial"/>
                <w:sz w:val="16"/>
                <w:szCs w:val="16"/>
                <w:color w:val="0000FF"/>
              </w:rPr>
            </w:pPr>
            <w:hyperlink r:id="rId184">
              <w:r>
                <w:rPr>
                  <w:rFonts w:ascii="Arial" w:cs="Arial" w:eastAsia="Arial" w:hAnsi="Arial"/>
                  <w:sz w:val="16"/>
                  <w:szCs w:val="16"/>
                  <w:color w:val="0000FF"/>
                </w:rPr>
                <w:t>Separation and Distribution Agreement by and among Cendant Corporation*, Realogy Corporation, Wyndham Worldwide Corporation and</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43"/>
          </w:tcPr>
          <w:p>
            <w:pPr>
              <w:spacing w:after="0" w:line="142" w:lineRule="exact"/>
              <w:rPr>
                <w:rFonts w:ascii="Arial" w:cs="Arial" w:eastAsia="Arial" w:hAnsi="Arial"/>
                <w:sz w:val="16"/>
                <w:szCs w:val="16"/>
                <w:color w:val="0000FF"/>
              </w:rPr>
            </w:pPr>
            <w:hyperlink r:id="rId184">
              <w:r>
                <w:rPr>
                  <w:rFonts w:ascii="Arial" w:cs="Arial" w:eastAsia="Arial" w:hAnsi="Arial"/>
                  <w:sz w:val="16"/>
                  <w:szCs w:val="16"/>
                  <w:color w:val="0000FF"/>
                </w:rPr>
                <w:t>Travelport Inc., dated as of July 27, 2006 (Incorporated by reference to Exhibit 2.1 to the Company’s Current Report on Form 8-K dated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184">
              <w:r>
                <w:rPr>
                  <w:rFonts w:ascii="Arial" w:cs="Arial" w:eastAsia="Arial" w:hAnsi="Arial"/>
                  <w:sz w:val="16"/>
                  <w:szCs w:val="16"/>
                  <w:color w:val="0000FF"/>
                </w:rPr>
                <w:t>August 1, 2006).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2.2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400" w:type="dxa"/>
            <w:vAlign w:val="bottom"/>
            <w:tcBorders>
              <w:bottom w:val="single" w:sz="8" w:color="0000FF"/>
            </w:tcBorders>
            <w:gridSpan w:val="25"/>
          </w:tcPr>
          <w:p>
            <w:pPr>
              <w:spacing w:after="0" w:line="169" w:lineRule="exact"/>
              <w:rPr>
                <w:rFonts w:ascii="Arial" w:cs="Arial" w:eastAsia="Arial" w:hAnsi="Arial"/>
                <w:sz w:val="16"/>
                <w:szCs w:val="16"/>
                <w:color w:val="0000FF"/>
              </w:rPr>
            </w:pPr>
            <w:hyperlink r:id="rId185">
              <w:r>
                <w:rPr>
                  <w:rFonts w:ascii="Arial" w:cs="Arial" w:eastAsia="Arial" w:hAnsi="Arial"/>
                  <w:sz w:val="16"/>
                  <w:szCs w:val="16"/>
                  <w:color w:val="0000FF"/>
                </w:rPr>
                <w:t>Letter Agreement dated August 17, 2006 related to the Separation and Distribution Agreement by and among Realogy Corporation,</w:t>
              </w:r>
            </w:hyperlink>
          </w:p>
        </w:tc>
        <w:tc>
          <w:tcPr>
            <w:tcW w:w="600" w:type="dxa"/>
            <w:vAlign w:val="bottom"/>
            <w:tcBorders>
              <w:right w:val="single" w:sz="8" w:color="auto"/>
            </w:tcBorders>
            <w:gridSpan w:val="2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right w:val="single" w:sz="8" w:color="auto"/>
            </w:tcBorders>
            <w:gridSpan w:val="47"/>
          </w:tcPr>
          <w:p>
            <w:pPr>
              <w:spacing w:after="0" w:line="142" w:lineRule="exact"/>
              <w:rPr>
                <w:rFonts w:ascii="Arial" w:cs="Arial" w:eastAsia="Arial" w:hAnsi="Arial"/>
                <w:sz w:val="16"/>
                <w:szCs w:val="16"/>
                <w:color w:val="0000FF"/>
              </w:rPr>
            </w:pPr>
            <w:hyperlink r:id="rId185">
              <w:r>
                <w:rPr>
                  <w:rFonts w:ascii="Arial" w:cs="Arial" w:eastAsia="Arial" w:hAnsi="Arial"/>
                  <w:sz w:val="16"/>
                  <w:szCs w:val="16"/>
                  <w:color w:val="0000FF"/>
                </w:rPr>
                <w:t>Cendant Corporation*, Wyndham Worldwide Corporation and Travelport Inc. dated as of July 27, 2006 (Incorporated by reference to</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4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85">
              <w:r>
                <w:rPr>
                  <w:rFonts w:ascii="Arial" w:cs="Arial" w:eastAsia="Arial" w:hAnsi="Arial"/>
                  <w:sz w:val="16"/>
                  <w:szCs w:val="16"/>
                  <w:color w:val="0000FF"/>
                </w:rPr>
                <w:t>Exhibit 2.2 to the Company’s Quarterly Report on Form 10-Q for the period ended June 30, 2007, dated August 8, 2007).</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4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3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7"/>
          </w:tcPr>
          <w:p>
            <w:pPr>
              <w:spacing w:after="0" w:line="169" w:lineRule="exact"/>
              <w:rPr>
                <w:rFonts w:ascii="Arial" w:cs="Arial" w:eastAsia="Arial" w:hAnsi="Arial"/>
                <w:sz w:val="16"/>
                <w:szCs w:val="16"/>
                <w:color w:val="0000FF"/>
              </w:rPr>
            </w:pPr>
            <w:hyperlink r:id="rId186">
              <w:r>
                <w:rPr>
                  <w:rFonts w:ascii="Arial" w:cs="Arial" w:eastAsia="Arial" w:hAnsi="Arial"/>
                  <w:sz w:val="16"/>
                  <w:szCs w:val="16"/>
                  <w:color w:val="0000FF"/>
                </w:rPr>
                <w:t>Amended and Restated Certificate of Incorporation of Avis Budget Group, Inc. (Incorporated by reference to Exhibit 3.1 to the Company’s</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41"/>
          </w:tcPr>
          <w:p>
            <w:pPr>
              <w:spacing w:after="0" w:line="142" w:lineRule="exact"/>
              <w:rPr>
                <w:rFonts w:ascii="Arial" w:cs="Arial" w:eastAsia="Arial" w:hAnsi="Arial"/>
                <w:sz w:val="16"/>
                <w:szCs w:val="16"/>
                <w:color w:val="0000FF"/>
              </w:rPr>
            </w:pPr>
            <w:hyperlink r:id="rId186">
              <w:r>
                <w:rPr>
                  <w:rFonts w:ascii="Arial" w:cs="Arial" w:eastAsia="Arial" w:hAnsi="Arial"/>
                  <w:sz w:val="16"/>
                  <w:szCs w:val="16"/>
                  <w:color w:val="0000FF"/>
                </w:rPr>
                <w:t>Current Report on Form 8-K dated September 5, 2006).</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4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7"/>
          </w:tcPr>
          <w:p>
            <w:pPr>
              <w:spacing w:after="0" w:line="169" w:lineRule="exact"/>
              <w:rPr>
                <w:rFonts w:ascii="Arial" w:cs="Arial" w:eastAsia="Arial" w:hAnsi="Arial"/>
                <w:sz w:val="16"/>
                <w:szCs w:val="16"/>
                <w:color w:val="0000FF"/>
              </w:rPr>
            </w:pPr>
            <w:hyperlink r:id="rId187">
              <w:r>
                <w:rPr>
                  <w:rFonts w:ascii="Arial" w:cs="Arial" w:eastAsia="Arial" w:hAnsi="Arial"/>
                  <w:sz w:val="16"/>
                  <w:szCs w:val="16"/>
                  <w:color w:val="0000FF"/>
                </w:rPr>
                <w:t>Amended and Restated Bylaws of Avis Budget Group, Inc., dated August 10, 2020 (Incorporated by reference to Exhibit 3.2 to the</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0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87">
              <w:r>
                <w:rPr>
                  <w:rFonts w:ascii="Arial" w:cs="Arial" w:eastAsia="Arial" w:hAnsi="Arial"/>
                  <w:sz w:val="16"/>
                  <w:szCs w:val="16"/>
                  <w:color w:val="0000FF"/>
                </w:rPr>
                <w:t>Company’s Current Report on Form 8-K dated August 13, 2020).</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4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7"/>
          </w:tcPr>
          <w:p>
            <w:pPr>
              <w:spacing w:after="0" w:line="169" w:lineRule="exact"/>
              <w:rPr>
                <w:rFonts w:ascii="Arial" w:cs="Arial" w:eastAsia="Arial" w:hAnsi="Arial"/>
                <w:sz w:val="16"/>
                <w:szCs w:val="16"/>
                <w:color w:val="0000FF"/>
              </w:rPr>
            </w:pPr>
            <w:hyperlink r:id="rId188">
              <w:r>
                <w:rPr>
                  <w:rFonts w:ascii="Arial" w:cs="Arial" w:eastAsia="Arial" w:hAnsi="Arial"/>
                  <w:sz w:val="16"/>
                  <w:szCs w:val="16"/>
                  <w:color w:val="0000FF"/>
                </w:rPr>
                <w:t>Indenture dated as of September 26, 2016 among Avis Budget Finance plc, as Issuer, the Guarantors from time to time parties hereto and</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44"/>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Deutsche Bank Trust Company Americas as Trustee, Deutsche Bank AG, London Branch as Paying Agent and Deutsche Bank</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1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Luxembourg S.A., as Registrar, governing the 4.125% Senior Notes due 2024 (Incorporated by reference to Exhibit 4.1 to the</w:t>
              </w:r>
            </w:hyperlink>
          </w:p>
        </w:tc>
        <w:tc>
          <w:tcPr>
            <w:tcW w:w="900" w:type="dxa"/>
            <w:vAlign w:val="bottom"/>
            <w:tcBorders>
              <w:right w:val="single" w:sz="8" w:color="auto"/>
            </w:tcBorders>
            <w:gridSpan w:val="30"/>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Company’s</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40"/>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Quarterly Report on Form 10-Q for the quarter ended September 30, 2016, dated November 3, 2016).</w:t>
              </w:r>
            </w:hyperlink>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4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3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7"/>
          </w:tcPr>
          <w:p>
            <w:pPr>
              <w:spacing w:after="0" w:line="169" w:lineRule="exact"/>
              <w:rPr>
                <w:rFonts w:ascii="Arial" w:cs="Arial" w:eastAsia="Arial" w:hAnsi="Arial"/>
                <w:sz w:val="16"/>
                <w:szCs w:val="16"/>
                <w:color w:val="0000FF"/>
              </w:rPr>
            </w:pPr>
            <w:hyperlink r:id="rId189">
              <w:r>
                <w:rPr>
                  <w:rFonts w:ascii="Arial" w:cs="Arial" w:eastAsia="Arial" w:hAnsi="Arial"/>
                  <w:sz w:val="16"/>
                  <w:szCs w:val="16"/>
                  <w:color w:val="0000FF"/>
                </w:rPr>
                <w:t>Indenture dated as of March 8, 2017 among Avis Budget Finance, plc, as Issuer, the Guarantors from time to time parties hereto, Deutsche</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46"/>
          </w:tcPr>
          <w:p>
            <w:pPr>
              <w:spacing w:after="0" w:line="142" w:lineRule="exact"/>
              <w:rPr>
                <w:rFonts w:ascii="Arial" w:cs="Arial" w:eastAsia="Arial" w:hAnsi="Arial"/>
                <w:sz w:val="16"/>
                <w:szCs w:val="16"/>
                <w:color w:val="0000FF"/>
              </w:rPr>
            </w:pPr>
            <w:hyperlink r:id="rId189">
              <w:r>
                <w:rPr>
                  <w:rFonts w:ascii="Arial" w:cs="Arial" w:eastAsia="Arial" w:hAnsi="Arial"/>
                  <w:sz w:val="16"/>
                  <w:szCs w:val="16"/>
                  <w:color w:val="0000FF"/>
                </w:rPr>
                <w:t>Bank Trust Company Americas, as Trustee, Deutsche Bank AG, London Branch, as Paying Agent and Deutsche Bank Luxembourg S.A.,</w:t>
              </w:r>
            </w:hyperlink>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bottom w:val="single" w:sz="8" w:color="0000FF"/>
            </w:tcBorders>
            <w:gridSpan w:val="39"/>
          </w:tcPr>
          <w:p>
            <w:pPr>
              <w:spacing w:after="0" w:line="142" w:lineRule="exact"/>
              <w:rPr>
                <w:rFonts w:ascii="Arial" w:cs="Arial" w:eastAsia="Arial" w:hAnsi="Arial"/>
                <w:sz w:val="16"/>
                <w:szCs w:val="16"/>
                <w:color w:val="0000FF"/>
              </w:rPr>
            </w:pPr>
            <w:hyperlink r:id="rId189">
              <w:r>
                <w:rPr>
                  <w:rFonts w:ascii="Arial" w:cs="Arial" w:eastAsia="Arial" w:hAnsi="Arial"/>
                  <w:sz w:val="16"/>
                  <w:szCs w:val="16"/>
                  <w:color w:val="0000FF"/>
                </w:rPr>
                <w:t>as Registrar, governing the 4.50% Senior Notes due 2025 (Incorporated by reference to Exhibit 4.2 to the Company’s Quarterly Report on</w:t>
              </w:r>
            </w:hyperlink>
          </w:p>
        </w:tc>
        <w:tc>
          <w:tcPr>
            <w:tcW w:w="60" w:type="dxa"/>
            <w:vAlign w:val="bottom"/>
            <w:tcBorders>
              <w:bottom w:val="single" w:sz="8" w:color="0000FF"/>
            </w:tcBorders>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gridSpan w:val="42"/>
          </w:tcPr>
          <w:p>
            <w:pPr>
              <w:spacing w:after="0" w:line="142" w:lineRule="exact"/>
              <w:rPr>
                <w:rFonts w:ascii="Arial" w:cs="Arial" w:eastAsia="Arial" w:hAnsi="Arial"/>
                <w:sz w:val="16"/>
                <w:szCs w:val="16"/>
                <w:color w:val="0000FF"/>
              </w:rPr>
            </w:pPr>
            <w:hyperlink r:id="rId189">
              <w:r>
                <w:rPr>
                  <w:rFonts w:ascii="Arial" w:cs="Arial" w:eastAsia="Arial" w:hAnsi="Arial"/>
                  <w:sz w:val="16"/>
                  <w:szCs w:val="16"/>
                  <w:color w:val="0000FF"/>
                </w:rPr>
                <w:t>Form 10-Q for the quarter ended March 31, 2017, dated May 4, 2017).</w:t>
              </w:r>
            </w:hyperlink>
          </w:p>
        </w:tc>
        <w:tc>
          <w:tcPr>
            <w:tcW w:w="60" w:type="dxa"/>
            <w:vAlign w:val="bottom"/>
            <w:gridSpan w:val="3"/>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4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4.3</w:t>
            </w:r>
          </w:p>
        </w:tc>
        <w:tc>
          <w:tcPr>
            <w:tcW w:w="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00" w:type="dxa"/>
            <w:vAlign w:val="bottom"/>
            <w:tcBorders>
              <w:right w:val="single" w:sz="8" w:color="auto"/>
            </w:tcBorders>
            <w:gridSpan w:val="47"/>
          </w:tcPr>
          <w:p>
            <w:pPr>
              <w:spacing w:after="0"/>
              <w:rPr>
                <w:rFonts w:ascii="Arial" w:cs="Arial" w:eastAsia="Arial" w:hAnsi="Arial"/>
                <w:sz w:val="16"/>
                <w:szCs w:val="16"/>
                <w:color w:val="0000FF"/>
              </w:rPr>
            </w:pPr>
            <w:hyperlink r:id="rId190">
              <w:r>
                <w:rPr>
                  <w:rFonts w:ascii="Arial" w:cs="Arial" w:eastAsia="Arial" w:hAnsi="Arial"/>
                  <w:sz w:val="16"/>
                  <w:szCs w:val="16"/>
                  <w:color w:val="0000FF"/>
                </w:rPr>
                <w:t>Indenture dated as of October 4, 2018 among Avis Budget Finance, plc, as Issuer, the Guarantors from time to time parties thereto,</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200" w:type="dxa"/>
            <w:vAlign w:val="bottom"/>
            <w:tcBorders>
              <w:top w:val="single" w:sz="8" w:color="0000FF"/>
              <w:bottom w:val="single" w:sz="8" w:color="0000FF"/>
            </w:tcBorders>
            <w:gridSpan w:val="19"/>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Deutsche Bank Trust Company Americas, as Trustee, Deutsche Bank AG, London Branch, as Paying Agent and Deutsche Bank</w:t>
              </w:r>
            </w:hyperlink>
          </w:p>
        </w:tc>
        <w:tc>
          <w:tcPr>
            <w:tcW w:w="180" w:type="dxa"/>
            <w:vAlign w:val="bottom"/>
            <w:tcBorders>
              <w:top w:val="single" w:sz="8" w:color="0000FF"/>
            </w:tcBorders>
            <w:gridSpan w:val="5"/>
          </w:tcPr>
          <w:p>
            <w:pPr>
              <w:spacing w:after="0"/>
              <w:rPr>
                <w:sz w:val="12"/>
                <w:szCs w:val="12"/>
                <w:color w:val="auto"/>
              </w:rPr>
            </w:pPr>
          </w:p>
        </w:tc>
        <w:tc>
          <w:tcPr>
            <w:tcW w:w="14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right w:val="single" w:sz="8" w:color="auto"/>
            </w:tcBorders>
            <w:gridSpan w:val="47"/>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Luxembourg S.A., as Registrar, governing the 4.75% Senior Notes due 2026 (Incorporated by reference to Exhibit 4.1 to the Company’s</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Quarterly Report on Form 10-Q for the quarterly period ended September 30, 2018 dated November 6, 2018).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2340" w:type="dxa"/>
            <w:vAlign w:val="bottom"/>
            <w:tcBorders>
              <w:top w:val="single" w:sz="8" w:color="0000FF"/>
              <w:bottom w:val="single" w:sz="8" w:color="auto"/>
            </w:tcBorders>
          </w:tcPr>
          <w:p>
            <w:pPr>
              <w:spacing w:after="0"/>
              <w:rPr>
                <w:sz w:val="4"/>
                <w:szCs w:val="4"/>
                <w:color w:val="auto"/>
              </w:rPr>
            </w:pPr>
          </w:p>
        </w:tc>
        <w:tc>
          <w:tcPr>
            <w:tcW w:w="66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13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8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58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7"/>
          </w:tcPr>
          <w:p>
            <w:pPr>
              <w:spacing w:after="0" w:line="169" w:lineRule="exact"/>
              <w:rPr>
                <w:rFonts w:ascii="Arial" w:cs="Arial" w:eastAsia="Arial" w:hAnsi="Arial"/>
                <w:sz w:val="16"/>
                <w:szCs w:val="16"/>
                <w:color w:val="0000FF"/>
              </w:rPr>
            </w:pPr>
            <w:hyperlink r:id="rId191">
              <w:r>
                <w:rPr>
                  <w:rFonts w:ascii="Arial" w:cs="Arial" w:eastAsia="Arial" w:hAnsi="Arial"/>
                  <w:sz w:val="16"/>
                  <w:szCs w:val="16"/>
                  <w:color w:val="0000FF"/>
                </w:rPr>
                <w:t>Indenture dated as of July 3, 2019 among Avis Budget Car Rental, LLC and Avis Budget Finance, Inc., as Issuers, the Guarantors from</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time to time parties thereto and Deutsche Bank Trust Company Americas, as Trustee, governing the 5.75% Senior Notes due 2027</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60" w:type="dxa"/>
            <w:vAlign w:val="bottom"/>
            <w:tcBorders>
              <w:top w:val="single" w:sz="8" w:color="0000FF"/>
              <w:bottom w:val="single" w:sz="8" w:color="0000FF"/>
            </w:tcBorders>
            <w:gridSpan w:val="23"/>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(Incorporated by reference to Exhibit 4.1 to the Company’s Quarterly Report on Form 10-Q for the quarterly period ended June 30,</w:t>
              </w:r>
            </w:hyperlink>
          </w:p>
        </w:tc>
        <w:tc>
          <w:tcPr>
            <w:tcW w:w="380" w:type="dxa"/>
            <w:vAlign w:val="bottom"/>
            <w:tcBorders>
              <w:bottom w:val="single" w:sz="8" w:color="0000FF"/>
            </w:tcBorders>
            <w:gridSpan w:val="13"/>
          </w:tcPr>
          <w:p>
            <w:pPr>
              <w:jc w:val="right"/>
              <w:ind w:right="20"/>
              <w:spacing w:after="0" w:line="142" w:lineRule="exact"/>
              <w:rPr>
                <w:rFonts w:ascii="Arial" w:cs="Arial" w:eastAsia="Arial" w:hAnsi="Arial"/>
                <w:sz w:val="16"/>
                <w:szCs w:val="16"/>
                <w:color w:val="0000FF"/>
                <w:w w:val="95"/>
              </w:rPr>
            </w:pPr>
            <w:hyperlink r:id="rId191">
              <w:r>
                <w:rPr>
                  <w:rFonts w:ascii="Arial" w:cs="Arial" w:eastAsia="Arial" w:hAnsi="Arial"/>
                  <w:sz w:val="16"/>
                  <w:szCs w:val="16"/>
                  <w:color w:val="0000FF"/>
                  <w:w w:val="95"/>
                </w:rPr>
                <w:t>2019</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gridSpan w:val="36"/>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dated August 6, 2019).</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7"/>
          </w:tcPr>
          <w:p>
            <w:pPr>
              <w:spacing w:after="0" w:line="169" w:lineRule="exact"/>
              <w:rPr>
                <w:rFonts w:ascii="Arial" w:cs="Arial" w:eastAsia="Arial" w:hAnsi="Arial"/>
                <w:sz w:val="16"/>
                <w:szCs w:val="16"/>
                <w:color w:val="0000FF"/>
              </w:rPr>
            </w:pPr>
            <w:hyperlink r:id="rId192">
              <w:r>
                <w:rPr>
                  <w:rFonts w:ascii="Arial" w:cs="Arial" w:eastAsia="Arial" w:hAnsi="Arial"/>
                  <w:sz w:val="16"/>
                  <w:szCs w:val="16"/>
                  <w:color w:val="0000FF"/>
                </w:rPr>
                <w:t>First Supplement Indenture, dated as of August 6, 2020, to the indenture dated as of July 3, 2019 by and among Avis Budget Car Rental,</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192">
              <w:r>
                <w:rPr>
                  <w:rFonts w:ascii="Arial" w:cs="Arial" w:eastAsia="Arial" w:hAnsi="Arial"/>
                  <w:sz w:val="16"/>
                  <w:szCs w:val="16"/>
                  <w:color w:val="0000FF"/>
                </w:rPr>
                <w:t>LLC and Avis Budget Finance, Inc., as issuers, the guarantors party thereto and Deutsche Bank Trust Company Americas, as trustee</w:t>
              </w:r>
            </w:hyperlink>
          </w:p>
        </w:tc>
        <w:tc>
          <w:tcPr>
            <w:tcW w:w="140" w:type="dxa"/>
            <w:vAlign w:val="bottom"/>
            <w:gridSpan w:val="7"/>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92">
              <w:r>
                <w:rPr>
                  <w:rFonts w:ascii="Arial" w:cs="Arial" w:eastAsia="Arial" w:hAnsi="Arial"/>
                  <w:sz w:val="16"/>
                  <w:szCs w:val="16"/>
                  <w:color w:val="0000FF"/>
                </w:rPr>
                <w:t>(Incorporated by reference to Exhibit 4.1 to the Company's Current Report on Form 8-K dated August 7,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80" w:type="dxa"/>
            <w:vAlign w:val="bottom"/>
            <w:gridSpan w:val="8"/>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4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3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7"/>
          </w:tcPr>
          <w:p>
            <w:pPr>
              <w:spacing w:after="0" w:line="169" w:lineRule="exact"/>
              <w:rPr>
                <w:rFonts w:ascii="Arial" w:cs="Arial" w:eastAsia="Arial" w:hAnsi="Arial"/>
                <w:sz w:val="16"/>
                <w:szCs w:val="16"/>
                <w:color w:val="0000FF"/>
              </w:rPr>
            </w:pPr>
            <w:hyperlink r:id="rId193">
              <w:r>
                <w:rPr>
                  <w:rFonts w:ascii="Arial" w:cs="Arial" w:eastAsia="Arial" w:hAnsi="Arial"/>
                  <w:sz w:val="16"/>
                  <w:szCs w:val="16"/>
                  <w:color w:val="0000FF"/>
                </w:rPr>
                <w:t>Indenture, dated as of March 1, 2021, by and among Avis Budget Car Rental, LLC and Avis Budget Finance, Inc., as issuers, the</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200" w:type="dxa"/>
            <w:vAlign w:val="bottom"/>
            <w:tcBorders>
              <w:top w:val="single" w:sz="8" w:color="0000FF"/>
              <w:bottom w:val="single" w:sz="8" w:color="0000FF"/>
            </w:tcBorders>
            <w:gridSpan w:val="19"/>
          </w:tcPr>
          <w:p>
            <w:pPr>
              <w:spacing w:after="0" w:line="142" w:lineRule="exact"/>
              <w:rPr>
                <w:rFonts w:ascii="Arial" w:cs="Arial" w:eastAsia="Arial" w:hAnsi="Arial"/>
                <w:sz w:val="16"/>
                <w:szCs w:val="16"/>
                <w:color w:val="0000FF"/>
              </w:rPr>
            </w:pPr>
            <w:hyperlink r:id="rId193">
              <w:r>
                <w:rPr>
                  <w:rFonts w:ascii="Arial" w:cs="Arial" w:eastAsia="Arial" w:hAnsi="Arial"/>
                  <w:sz w:val="16"/>
                  <w:szCs w:val="16"/>
                  <w:color w:val="0000FF"/>
                </w:rPr>
                <w:t>guarantors party thereto and Deutsche Bank Trust Company Americas, as trustee, governing the 5.375% Senior Notes due 2029</w:t>
              </w:r>
            </w:hyperlink>
          </w:p>
        </w:tc>
        <w:tc>
          <w:tcPr>
            <w:tcW w:w="20" w:type="dxa"/>
            <w:vAlign w:val="bottom"/>
            <w:tcBorders>
              <w:bottom w:val="single" w:sz="8" w:color="0000FF"/>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2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80" w:type="dxa"/>
            <w:vAlign w:val="bottom"/>
            <w:gridSpan w:val="8"/>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220" w:type="dxa"/>
            <w:vAlign w:val="bottom"/>
            <w:gridSpan w:val="20"/>
          </w:tcPr>
          <w:p>
            <w:pPr>
              <w:spacing w:after="0" w:line="142" w:lineRule="exact"/>
              <w:rPr>
                <w:rFonts w:ascii="Arial" w:cs="Arial" w:eastAsia="Arial" w:hAnsi="Arial"/>
                <w:sz w:val="16"/>
                <w:szCs w:val="16"/>
                <w:color w:val="0000FF"/>
              </w:rPr>
            </w:pPr>
            <w:hyperlink r:id="rId193">
              <w:r>
                <w:rPr>
                  <w:rFonts w:ascii="Arial" w:cs="Arial" w:eastAsia="Arial" w:hAnsi="Arial"/>
                  <w:sz w:val="16"/>
                  <w:szCs w:val="16"/>
                  <w:color w:val="0000FF"/>
                </w:rPr>
                <w:t>(incorporated by reference to Exhibit 4.1 to the Company's Current Report on Form 8-K dated March 1, 2021).</w:t>
              </w:r>
            </w:hyperlink>
          </w:p>
        </w:tc>
        <w:tc>
          <w:tcPr>
            <w:tcW w:w="100" w:type="dxa"/>
            <w:vAlign w:val="bottom"/>
            <w:gridSpan w:val="2"/>
          </w:tcPr>
          <w:p>
            <w:pPr>
              <w:spacing w:after="0"/>
              <w:rPr>
                <w:sz w:val="12"/>
                <w:szCs w:val="12"/>
                <w:color w:val="auto"/>
              </w:rPr>
            </w:pPr>
          </w:p>
        </w:tc>
        <w:tc>
          <w:tcPr>
            <w:tcW w:w="2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80" w:type="dxa"/>
            <w:vAlign w:val="bottom"/>
            <w:gridSpan w:val="8"/>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4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3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7"/>
          </w:tcPr>
          <w:p>
            <w:pPr>
              <w:spacing w:after="0" w:line="169" w:lineRule="exact"/>
              <w:rPr>
                <w:rFonts w:ascii="Arial" w:cs="Arial" w:eastAsia="Arial" w:hAnsi="Arial"/>
                <w:sz w:val="16"/>
                <w:szCs w:val="16"/>
                <w:color w:val="0000FF"/>
              </w:rPr>
            </w:pPr>
            <w:hyperlink r:id="rId194">
              <w:r>
                <w:rPr>
                  <w:rFonts w:ascii="Arial" w:cs="Arial" w:eastAsia="Arial" w:hAnsi="Arial"/>
                  <w:sz w:val="16"/>
                  <w:szCs w:val="16"/>
                  <w:color w:val="0000FF"/>
                </w:rPr>
                <w:t>Indenture, dated as of March 23, 2021, by and among Avis Budget Car Rental, LLC and Avis Budget Finance, Inc., as issuers, the</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2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94">
              <w:r>
                <w:rPr>
                  <w:rFonts w:ascii="Arial" w:cs="Arial" w:eastAsia="Arial" w:hAnsi="Arial"/>
                  <w:sz w:val="16"/>
                  <w:szCs w:val="16"/>
                  <w:color w:val="0000FF"/>
                </w:rPr>
                <w:t>guarantors party thereto and Deutsche Bank Trust Company Americas, as trustee, governing the 4.75% Senior Notes due 2028</w:t>
              </w:r>
            </w:hyperlink>
          </w:p>
        </w:tc>
        <w:tc>
          <w:tcPr>
            <w:tcW w:w="2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80" w:type="dxa"/>
            <w:vAlign w:val="bottom"/>
            <w:gridSpan w:val="8"/>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12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94">
              <w:r>
                <w:rPr>
                  <w:rFonts w:ascii="Arial" w:cs="Arial" w:eastAsia="Arial" w:hAnsi="Arial"/>
                  <w:sz w:val="16"/>
                  <w:szCs w:val="16"/>
                  <w:color w:val="0000FF"/>
                </w:rPr>
                <w:t>(Incorporated by reference to Exhibit 4.1 to the Company's Current Report on Form 8-K dated March 23, 2021).</w:t>
              </w:r>
            </w:hyperlink>
          </w:p>
        </w:tc>
        <w:tc>
          <w:tcPr>
            <w:tcW w:w="420" w:type="dxa"/>
            <w:vAlign w:val="bottom"/>
            <w:gridSpan w:val="1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80" w:type="dxa"/>
            <w:vAlign w:val="bottom"/>
            <w:gridSpan w:val="8"/>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4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3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4.8</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7"/>
          </w:tcPr>
          <w:p>
            <w:pPr>
              <w:spacing w:after="0" w:line="169" w:lineRule="exact"/>
              <w:rPr>
                <w:rFonts w:ascii="Arial" w:cs="Arial" w:eastAsia="Arial" w:hAnsi="Arial"/>
                <w:sz w:val="16"/>
                <w:szCs w:val="16"/>
                <w:color w:val="0000FF"/>
              </w:rPr>
            </w:pPr>
            <w:hyperlink w:anchor="page111">
              <w:r>
                <w:rPr>
                  <w:rFonts w:ascii="Arial" w:cs="Arial" w:eastAsia="Arial" w:hAnsi="Arial"/>
                  <w:sz w:val="16"/>
                  <w:szCs w:val="16"/>
                  <w:color w:val="0000FF"/>
                </w:rPr>
                <w:t>Description of the Company’s Securities Registered Pursuant to Section 12 of the Securities Exchange Act of 1934.</w:t>
              </w:r>
            </w:hyperlink>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4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3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7"/>
          </w:tcPr>
          <w:p>
            <w:pPr>
              <w:spacing w:after="0" w:line="169" w:lineRule="exact"/>
              <w:rPr>
                <w:rFonts w:ascii="Arial" w:cs="Arial" w:eastAsia="Arial" w:hAnsi="Arial"/>
                <w:sz w:val="16"/>
                <w:szCs w:val="16"/>
                <w:color w:val="0000FF"/>
              </w:rPr>
            </w:pPr>
            <w:hyperlink r:id="rId195">
              <w:r>
                <w:rPr>
                  <w:rFonts w:ascii="Arial" w:cs="Arial" w:eastAsia="Arial" w:hAnsi="Arial"/>
                  <w:sz w:val="16"/>
                  <w:szCs w:val="16"/>
                  <w:color w:val="0000FF"/>
                </w:rPr>
                <w:t>Agreement between Avis Budget Group, Inc. and Joseph Ferraro (Incorporated by reference to Exhibit 10.5 to the Company’s Annual</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95">
              <w:r>
                <w:rPr>
                  <w:rFonts w:ascii="Arial" w:cs="Arial" w:eastAsia="Arial" w:hAnsi="Arial"/>
                  <w:sz w:val="16"/>
                  <w:szCs w:val="16"/>
                  <w:color w:val="0000FF"/>
                </w:rPr>
                <w:t>Report on Form 10-K for the year ended December 31, 2015, dated February 24, 2016).†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80" w:type="dxa"/>
            <w:vAlign w:val="bottom"/>
            <w:gridSpan w:val="8"/>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4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3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10.2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bottom w:val="single" w:sz="8" w:color="0000FF"/>
            </w:tcBorders>
            <w:gridSpan w:val="30"/>
          </w:tcPr>
          <w:p>
            <w:pPr>
              <w:spacing w:after="0" w:line="169" w:lineRule="exact"/>
              <w:rPr>
                <w:rFonts w:ascii="Arial" w:cs="Arial" w:eastAsia="Arial" w:hAnsi="Arial"/>
                <w:sz w:val="16"/>
                <w:szCs w:val="16"/>
                <w:color w:val="0000FF"/>
              </w:rPr>
            </w:pPr>
            <w:hyperlink r:id="rId196">
              <w:r>
                <w:rPr>
                  <w:rFonts w:ascii="Arial" w:cs="Arial" w:eastAsia="Arial" w:hAnsi="Arial"/>
                  <w:sz w:val="16"/>
                  <w:szCs w:val="16"/>
                  <w:color w:val="0000FF"/>
                </w:rPr>
                <w:t>Service Agreement between Patrick Rankin and Avis Budget Services Limited, dated February 22, 2019 (Incorporated by reference to</w:t>
              </w:r>
            </w:hyperlink>
          </w:p>
        </w:tc>
        <w:tc>
          <w:tcPr>
            <w:tcW w:w="420" w:type="dxa"/>
            <w:vAlign w:val="bottom"/>
            <w:tcBorders>
              <w:right w:val="single" w:sz="8" w:color="auto"/>
            </w:tcBorders>
            <w:gridSpan w:val="17"/>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right w:val="single" w:sz="8" w:color="auto"/>
            </w:tcBorders>
            <w:gridSpan w:val="47"/>
          </w:tcPr>
          <w:p>
            <w:pPr>
              <w:spacing w:after="0" w:line="142" w:lineRule="exact"/>
              <w:rPr>
                <w:rFonts w:ascii="Arial" w:cs="Arial" w:eastAsia="Arial" w:hAnsi="Arial"/>
                <w:sz w:val="16"/>
                <w:szCs w:val="16"/>
                <w:color w:val="0000FF"/>
              </w:rPr>
            </w:pPr>
            <w:hyperlink r:id="rId196">
              <w:r>
                <w:rPr>
                  <w:rFonts w:ascii="Arial" w:cs="Arial" w:eastAsia="Arial" w:hAnsi="Arial"/>
                  <w:sz w:val="16"/>
                  <w:szCs w:val="16"/>
                  <w:color w:val="0000FF"/>
                </w:rPr>
                <w:t>Exhibit 10.8 to the Company's Annual Report on Form 10-K for the fiscal year ended December 31, 2019, dated February 20, 2020). †</w:t>
              </w:r>
            </w:hyperlink>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4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3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10.3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7"/>
          </w:tcPr>
          <w:p>
            <w:pPr>
              <w:spacing w:after="0" w:line="169" w:lineRule="exact"/>
              <w:rPr>
                <w:rFonts w:ascii="Arial" w:cs="Arial" w:eastAsia="Arial" w:hAnsi="Arial"/>
                <w:sz w:val="16"/>
                <w:szCs w:val="16"/>
                <w:color w:val="0000FF"/>
              </w:rPr>
            </w:pPr>
            <w:hyperlink r:id="rId197">
              <w:r>
                <w:rPr>
                  <w:rFonts w:ascii="Arial" w:cs="Arial" w:eastAsia="Arial" w:hAnsi="Arial"/>
                  <w:sz w:val="16"/>
                  <w:szCs w:val="16"/>
                  <w:color w:val="0000FF"/>
                </w:rPr>
                <w:t>Agreement between Patrick Rankin and Avis Budget Services Limited, dated August 15, 2019 (Incorporated by reference to Exhibit 10.9 to</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45"/>
          </w:tcPr>
          <w:p>
            <w:pPr>
              <w:spacing w:after="0" w:line="142" w:lineRule="exact"/>
              <w:rPr>
                <w:rFonts w:ascii="Arial" w:cs="Arial" w:eastAsia="Arial" w:hAnsi="Arial"/>
                <w:sz w:val="16"/>
                <w:szCs w:val="16"/>
                <w:color w:val="0000FF"/>
              </w:rPr>
            </w:pPr>
            <w:hyperlink r:id="rId197">
              <w:r>
                <w:rPr>
                  <w:rFonts w:ascii="Arial" w:cs="Arial" w:eastAsia="Arial" w:hAnsi="Arial"/>
                  <w:sz w:val="16"/>
                  <w:szCs w:val="16"/>
                  <w:color w:val="0000FF"/>
                </w:rPr>
                <w:t>the Company's Annual Report on Form 10-K for the fiscal year ended December 31, 2019, dated February 20, 2020). †</w:t>
              </w:r>
            </w:hyperlink>
          </w:p>
        </w:tc>
        <w:tc>
          <w:tcPr>
            <w:tcW w:w="60" w:type="dxa"/>
            <w:vAlign w:val="bottom"/>
            <w:tcBorders>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4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3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10.4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7"/>
          </w:tcPr>
          <w:p>
            <w:pPr>
              <w:spacing w:after="0" w:line="169" w:lineRule="exact"/>
              <w:rPr>
                <w:rFonts w:ascii="Arial" w:cs="Arial" w:eastAsia="Arial" w:hAnsi="Arial"/>
                <w:sz w:val="16"/>
                <w:szCs w:val="16"/>
                <w:color w:val="0000FF"/>
              </w:rPr>
            </w:pPr>
            <w:hyperlink r:id="rId198">
              <w:r>
                <w:rPr>
                  <w:rFonts w:ascii="Arial" w:cs="Arial" w:eastAsia="Arial" w:hAnsi="Arial"/>
                  <w:sz w:val="16"/>
                  <w:szCs w:val="16"/>
                  <w:color w:val="0000FF"/>
                </w:rPr>
                <w:t>Agreement between Avis Budget Group, Inc. and Edward Linnen, dated April 20, 2015 (Incorporated by reference to Exhibit 10.10 to the</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198">
              <w:r>
                <w:rPr>
                  <w:rFonts w:ascii="Arial" w:cs="Arial" w:eastAsia="Arial" w:hAnsi="Arial"/>
                  <w:sz w:val="16"/>
                  <w:szCs w:val="16"/>
                  <w:color w:val="0000FF"/>
                </w:rPr>
                <w:t>Company's Annual Report on Form 10-K for the fiscal year ended December 31, 2019, dated February 20, 2020). †</w:t>
              </w:r>
            </w:hyperlink>
          </w:p>
        </w:tc>
        <w:tc>
          <w:tcPr>
            <w:tcW w:w="240" w:type="dxa"/>
            <w:vAlign w:val="bottom"/>
            <w:tcBorders>
              <w:right w:val="single" w:sz="8" w:color="auto"/>
            </w:tcBorders>
            <w:gridSpan w:val="10"/>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4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3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10.5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7"/>
          </w:tcPr>
          <w:p>
            <w:pPr>
              <w:spacing w:after="0" w:line="169" w:lineRule="exact"/>
              <w:rPr>
                <w:rFonts w:ascii="Arial" w:cs="Arial" w:eastAsia="Arial" w:hAnsi="Arial"/>
                <w:sz w:val="16"/>
                <w:szCs w:val="16"/>
                <w:color w:val="0000FF"/>
              </w:rPr>
            </w:pPr>
            <w:hyperlink r:id="rId199">
              <w:r>
                <w:rPr>
                  <w:rFonts w:ascii="Arial" w:cs="Arial" w:eastAsia="Arial" w:hAnsi="Arial"/>
                  <w:sz w:val="16"/>
                  <w:szCs w:val="16"/>
                  <w:color w:val="0000FF"/>
                </w:rPr>
                <w:t>Offer Letter, dated August 12, 2020, between Brian Choi and Avis Budget Group, Inc. (incorporated by reference to Exhibit 10.2 to the</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99">
              <w:r>
                <w:rPr>
                  <w:rFonts w:ascii="Arial" w:cs="Arial" w:eastAsia="Arial" w:hAnsi="Arial"/>
                  <w:sz w:val="16"/>
                  <w:szCs w:val="16"/>
                  <w:color w:val="0000FF"/>
                </w:rPr>
                <w:t>Company's Current Report on Form 8-K dated August 13, 2020). †</w:t>
              </w:r>
            </w:hyperlink>
          </w:p>
        </w:tc>
        <w:tc>
          <w:tcPr>
            <w:tcW w:w="100" w:type="dxa"/>
            <w:vAlign w:val="bottom"/>
            <w:gridSpan w:val="3"/>
          </w:tcPr>
          <w:p>
            <w:pPr>
              <w:spacing w:after="0"/>
              <w:rPr>
                <w:sz w:val="12"/>
                <w:szCs w:val="12"/>
                <w:color w:val="auto"/>
              </w:rPr>
            </w:pPr>
          </w:p>
        </w:tc>
        <w:tc>
          <w:tcPr>
            <w:tcW w:w="340" w:type="dxa"/>
            <w:vAlign w:val="bottom"/>
            <w:tcBorders>
              <w:right w:val="single" w:sz="8" w:color="auto"/>
            </w:tcBorders>
            <w:gridSpan w:val="1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4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7"/>
          </w:tcPr>
          <w:p>
            <w:pPr>
              <w:spacing w:after="0" w:line="169" w:lineRule="exact"/>
              <w:rPr>
                <w:rFonts w:ascii="Arial" w:cs="Arial" w:eastAsia="Arial" w:hAnsi="Arial"/>
                <w:sz w:val="16"/>
                <w:szCs w:val="16"/>
                <w:color w:val="0000FF"/>
              </w:rPr>
            </w:pPr>
            <w:hyperlink w:anchor="page115">
              <w:r>
                <w:rPr>
                  <w:rFonts w:ascii="Arial" w:cs="Arial" w:eastAsia="Arial" w:hAnsi="Arial"/>
                  <w:sz w:val="16"/>
                  <w:szCs w:val="16"/>
                  <w:color w:val="0000FF"/>
                </w:rPr>
                <w:t>Offer Letter, dated February 4, 2021, between Veresh Sita and Avis Budget Group, Inc. †</w:t>
              </w:r>
            </w:hyperlink>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4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3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10.7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7"/>
          </w:tcPr>
          <w:p>
            <w:pPr>
              <w:spacing w:after="0" w:line="169" w:lineRule="exact"/>
              <w:rPr>
                <w:rFonts w:ascii="Arial" w:cs="Arial" w:eastAsia="Arial" w:hAnsi="Arial"/>
                <w:sz w:val="16"/>
                <w:szCs w:val="16"/>
                <w:color w:val="0000FF"/>
              </w:rPr>
            </w:pPr>
            <w:hyperlink r:id="rId200">
              <w:r>
                <w:rPr>
                  <w:rFonts w:ascii="Arial" w:cs="Arial" w:eastAsia="Arial" w:hAnsi="Arial"/>
                  <w:sz w:val="16"/>
                  <w:szCs w:val="16"/>
                  <w:color w:val="0000FF"/>
                </w:rPr>
                <w:t>Avis Budget Group, Inc. Executive Severance Pay Plan for Grade A and B Employees and Summary Plan Description (incorporated by</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200">
              <w:r>
                <w:rPr>
                  <w:rFonts w:ascii="Arial" w:cs="Arial" w:eastAsia="Arial" w:hAnsi="Arial"/>
                  <w:sz w:val="16"/>
                  <w:szCs w:val="16"/>
                  <w:color w:val="0000FF"/>
                </w:rPr>
                <w:t>reference to Exhibit 10.1 to the Company's Current Report on Form 8-K dated December 14, 2020). †</w:t>
              </w:r>
            </w:hyperlink>
          </w:p>
        </w:tc>
        <w:tc>
          <w:tcPr>
            <w:tcW w:w="340" w:type="dxa"/>
            <w:vAlign w:val="bottom"/>
            <w:tcBorders>
              <w:right w:val="single" w:sz="8" w:color="auto"/>
            </w:tcBorders>
            <w:gridSpan w:val="15"/>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4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3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1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10.8</w:t>
            </w:r>
          </w:p>
        </w:tc>
        <w:tc>
          <w:tcPr>
            <w:tcW w:w="100" w:type="dxa"/>
            <w:vAlign w:val="bottom"/>
            <w:tcBorders>
              <w:top w:val="single" w:sz="8" w:color="auto"/>
              <w:righ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60" w:type="dxa"/>
            <w:vAlign w:val="bottom"/>
            <w:tcBorders>
              <w:top w:val="single" w:sz="8" w:color="auto"/>
              <w:right w:val="single" w:sz="8" w:color="auto"/>
            </w:tcBorders>
            <w:gridSpan w:val="49"/>
          </w:tcPr>
          <w:p>
            <w:pPr>
              <w:spacing w:after="0"/>
              <w:rPr>
                <w:rFonts w:ascii="Arial" w:cs="Arial" w:eastAsia="Arial" w:hAnsi="Arial"/>
                <w:sz w:val="16"/>
                <w:szCs w:val="16"/>
                <w:color w:val="0000FF"/>
              </w:rPr>
            </w:pPr>
            <w:hyperlink r:id="rId202">
              <w:r>
                <w:rPr>
                  <w:rFonts w:ascii="Arial" w:cs="Arial" w:eastAsia="Arial" w:hAnsi="Arial"/>
                  <w:sz w:val="16"/>
                  <w:szCs w:val="16"/>
                  <w:color w:val="0000FF"/>
                </w:rPr>
                <w:t>Third Amended and Restated Cooperation Agreement, dated as of February 23, 2020, by and among Avis Budget Group, Inc., SRS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4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02">
              <w:r>
                <w:rPr>
                  <w:rFonts w:ascii="Arial" w:cs="Arial" w:eastAsia="Arial" w:hAnsi="Arial"/>
                  <w:sz w:val="16"/>
                  <w:szCs w:val="16"/>
                  <w:color w:val="0000FF"/>
                </w:rPr>
                <w:t>Investment Management, LLC and certain of its affiliates (Incorporated by reference to Exhibit 10.1 to the Company's Current Report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right w:val="single" w:sz="8" w:color="auto"/>
            </w:tcBorders>
            <w:gridSpan w:val="23"/>
          </w:tcPr>
          <w:p>
            <w:pPr>
              <w:jc w:val="center"/>
              <w:ind w:right="360"/>
              <w:spacing w:after="0" w:line="142" w:lineRule="exact"/>
              <w:rPr>
                <w:rFonts w:ascii="Arial" w:cs="Arial" w:eastAsia="Arial" w:hAnsi="Arial"/>
                <w:sz w:val="16"/>
                <w:szCs w:val="16"/>
                <w:color w:val="0000FF"/>
              </w:rPr>
            </w:pPr>
            <w:hyperlink r:id="rId202">
              <w:r>
                <w:rPr>
                  <w:rFonts w:ascii="Arial" w:cs="Arial" w:eastAsia="Arial" w:hAnsi="Arial"/>
                  <w:sz w:val="16"/>
                  <w:szCs w:val="16"/>
                  <w:color w:val="0000FF"/>
                </w:rPr>
                <w:t>on</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202">
              <w:r>
                <w:rPr>
                  <w:rFonts w:ascii="Arial" w:cs="Arial" w:eastAsia="Arial" w:hAnsi="Arial"/>
                  <w:sz w:val="16"/>
                  <w:szCs w:val="16"/>
                  <w:color w:val="0000FF"/>
                </w:rPr>
                <w:t>Form 8-K dated February 23,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10.9</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bottom w:val="single" w:sz="8" w:color="0000FF"/>
            </w:tcBorders>
            <w:gridSpan w:val="29"/>
          </w:tcPr>
          <w:p>
            <w:pPr>
              <w:spacing w:after="0" w:line="169" w:lineRule="exact"/>
              <w:rPr>
                <w:rFonts w:ascii="Arial" w:cs="Arial" w:eastAsia="Arial" w:hAnsi="Arial"/>
                <w:sz w:val="16"/>
                <w:szCs w:val="16"/>
                <w:color w:val="0000FF"/>
              </w:rPr>
            </w:pPr>
            <w:hyperlink r:id="rId203">
              <w:r>
                <w:rPr>
                  <w:rFonts w:ascii="Arial" w:cs="Arial" w:eastAsia="Arial" w:hAnsi="Arial"/>
                  <w:sz w:val="16"/>
                  <w:szCs w:val="16"/>
                  <w:color w:val="0000FF"/>
                </w:rPr>
                <w:t>Amendment, dated August 12, 2020, to Third Amended and Restated Cooperation Agreement, dated as of February 23, 2020, by and</w:t>
              </w:r>
            </w:hyperlink>
          </w:p>
        </w:tc>
        <w:tc>
          <w:tcPr>
            <w:tcW w:w="460" w:type="dxa"/>
            <w:vAlign w:val="bottom"/>
            <w:tcBorders>
              <w:right w:val="single" w:sz="8" w:color="auto"/>
            </w:tcBorders>
            <w:gridSpan w:val="20"/>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9"/>
          </w:tcPr>
          <w:p>
            <w:pPr>
              <w:spacing w:after="0" w:line="142" w:lineRule="exact"/>
              <w:rPr>
                <w:rFonts w:ascii="Arial" w:cs="Arial" w:eastAsia="Arial" w:hAnsi="Arial"/>
                <w:sz w:val="16"/>
                <w:szCs w:val="16"/>
                <w:color w:val="0000FF"/>
              </w:rPr>
            </w:pPr>
            <w:hyperlink r:id="rId203">
              <w:r>
                <w:rPr>
                  <w:rFonts w:ascii="Arial" w:cs="Arial" w:eastAsia="Arial" w:hAnsi="Arial"/>
                  <w:sz w:val="16"/>
                  <w:szCs w:val="16"/>
                  <w:color w:val="0000FF"/>
                </w:rPr>
                <w:t>among Avis Budget Group, Inc., SRS Investment Management, LLC and certain of its affiliates (Incorporated by reference to Exhibit 10.1 to</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48"/>
          </w:tcPr>
          <w:p>
            <w:pPr>
              <w:spacing w:after="0" w:line="142" w:lineRule="exact"/>
              <w:rPr>
                <w:rFonts w:ascii="Arial" w:cs="Arial" w:eastAsia="Arial" w:hAnsi="Arial"/>
                <w:sz w:val="16"/>
                <w:szCs w:val="16"/>
                <w:color w:val="0000FF"/>
              </w:rPr>
            </w:pPr>
            <w:hyperlink r:id="rId203">
              <w:r>
                <w:rPr>
                  <w:rFonts w:ascii="Arial" w:cs="Arial" w:eastAsia="Arial" w:hAnsi="Arial"/>
                  <w:sz w:val="16"/>
                  <w:szCs w:val="16"/>
                  <w:color w:val="0000FF"/>
                </w:rPr>
                <w:t>the Company's Current Report on Form 8-K dated August 13, 2020).</w:t>
              </w:r>
            </w:hyperlink>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2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04">
              <w:r>
                <w:rPr>
                  <w:rFonts w:ascii="Arial" w:cs="Arial" w:eastAsia="Arial" w:hAnsi="Arial"/>
                  <w:sz w:val="16"/>
                  <w:szCs w:val="16"/>
                  <w:color w:val="0000FF"/>
                </w:rPr>
                <w:t>Second Amendment, dated September 15, 2021, to the Third Amended and Restated Cooperation Agreement, dated as of February 23,</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2020, by and among Avis Budget Group, Inc., SRS Investment Management, LLC and certain of its affiliates (incorporated by reference</w:t>
              </w:r>
            </w:hyperlink>
          </w:p>
        </w:tc>
        <w:tc>
          <w:tcPr>
            <w:tcW w:w="300" w:type="dxa"/>
            <w:vAlign w:val="bottom"/>
            <w:tcBorders>
              <w:right w:val="single" w:sz="8" w:color="auto"/>
            </w:tcBorders>
            <w:gridSpan w:val="14"/>
          </w:tcPr>
          <w:p>
            <w:pPr>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to</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42"/>
          </w:tcPr>
          <w:p>
            <w:pPr>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Exhibit 10.1 to the Company’s Current Report on Form 8-K dated September 15, 2021.) †</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2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05">
              <w:r>
                <w:rPr>
                  <w:rFonts w:ascii="Arial" w:cs="Arial" w:eastAsia="Arial" w:hAnsi="Arial"/>
                  <w:sz w:val="16"/>
                  <w:szCs w:val="16"/>
                  <w:color w:val="0000FF"/>
                </w:rPr>
                <w:t>Avis Budget Group, Inc. Amended and Restated Equity and Incentive Plan (Incorporated by reference to Annex A to the Company's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2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205">
              <w:r>
                <w:rPr>
                  <w:rFonts w:ascii="Arial" w:cs="Arial" w:eastAsia="Arial" w:hAnsi="Arial"/>
                  <w:sz w:val="16"/>
                  <w:szCs w:val="16"/>
                  <w:color w:val="0000FF"/>
                </w:rPr>
                <w:t>Definitive Proxy Statement on Schedule 14A, dated March 26, 2019).†</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2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06">
              <w:r>
                <w:rPr>
                  <w:rFonts w:ascii="Arial" w:cs="Arial" w:eastAsia="Arial" w:hAnsi="Arial"/>
                  <w:sz w:val="16"/>
                  <w:szCs w:val="16"/>
                  <w:color w:val="0000FF"/>
                </w:rPr>
                <w:t>Amendment to the Avis Budget Group, Inc. Amended and Restated Equity and Incentive Plan dated October 26, 2021 (Incorporated by</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206">
              <w:r>
                <w:rPr>
                  <w:rFonts w:ascii="Arial" w:cs="Arial" w:eastAsia="Arial" w:hAnsi="Arial"/>
                  <w:sz w:val="16"/>
                  <w:szCs w:val="16"/>
                  <w:color w:val="0000FF"/>
                </w:rPr>
                <w:t>reference to Exhibit 10.3 to the Company’s Quarterly Report on Form 10-Q dated November 2, 2021).†</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2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07">
              <w:r>
                <w:rPr>
                  <w:rFonts w:ascii="Arial" w:cs="Arial" w:eastAsia="Arial" w:hAnsi="Arial"/>
                  <w:sz w:val="16"/>
                  <w:szCs w:val="16"/>
                  <w:color w:val="0000FF"/>
                </w:rPr>
                <w:t>Form of Award Agreement - Restricted Stock Units. (Incorporated by reference to Exhibit 10.12 to the Company’s Annual Report on Form</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40"/>
          </w:tcPr>
          <w:p>
            <w:pPr>
              <w:spacing w:after="0" w:line="142" w:lineRule="exact"/>
              <w:rPr>
                <w:rFonts w:ascii="Arial" w:cs="Arial" w:eastAsia="Arial" w:hAnsi="Arial"/>
                <w:sz w:val="16"/>
                <w:szCs w:val="16"/>
                <w:color w:val="0000FF"/>
              </w:rPr>
            </w:pPr>
            <w:hyperlink r:id="rId207">
              <w:r>
                <w:rPr>
                  <w:rFonts w:ascii="Arial" w:cs="Arial" w:eastAsia="Arial" w:hAnsi="Arial"/>
                  <w:sz w:val="16"/>
                  <w:szCs w:val="16"/>
                  <w:color w:val="0000FF"/>
                </w:rPr>
                <w:t>10-K for the year ended December 31, 2018 dated February 21, 2019).†</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2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08">
              <w:r>
                <w:rPr>
                  <w:rFonts w:ascii="Arial" w:cs="Arial" w:eastAsia="Arial" w:hAnsi="Arial"/>
                  <w:sz w:val="16"/>
                  <w:szCs w:val="16"/>
                  <w:color w:val="0000FF"/>
                </w:rPr>
                <w:t>Form of Award Agreement - Performance Based Restricted Stock Units. (Incorporated by reference to Exhibit 10.13 to the Company’s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208">
              <w:r>
                <w:rPr>
                  <w:rFonts w:ascii="Arial" w:cs="Arial" w:eastAsia="Arial" w:hAnsi="Arial"/>
                  <w:sz w:val="16"/>
                  <w:szCs w:val="16"/>
                  <w:color w:val="0000FF"/>
                </w:rPr>
                <w:t>Annual Report on Form 10-K for the year ended December 31, 2018 dated February 21, 2019).†</w:t>
              </w:r>
            </w:hyperlink>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2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09">
              <w:r>
                <w:rPr>
                  <w:rFonts w:ascii="Arial" w:cs="Arial" w:eastAsia="Arial" w:hAnsi="Arial"/>
                  <w:sz w:val="16"/>
                  <w:szCs w:val="16"/>
                  <w:color w:val="0000FF"/>
                </w:rPr>
                <w:t>Form of Non-Employee Director Award Agreement - Restricted Stock Units. (Incorporated by reference to Exhibit 10.14 to the Company’s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39"/>
          </w:tcPr>
          <w:p>
            <w:pPr>
              <w:spacing w:after="0" w:line="142" w:lineRule="exact"/>
              <w:rPr>
                <w:rFonts w:ascii="Arial" w:cs="Arial" w:eastAsia="Arial" w:hAnsi="Arial"/>
                <w:sz w:val="16"/>
                <w:szCs w:val="16"/>
                <w:color w:val="0000FF"/>
              </w:rPr>
            </w:pPr>
            <w:hyperlink r:id="rId209">
              <w:r>
                <w:rPr>
                  <w:rFonts w:ascii="Arial" w:cs="Arial" w:eastAsia="Arial" w:hAnsi="Arial"/>
                  <w:sz w:val="16"/>
                  <w:szCs w:val="16"/>
                  <w:color w:val="0000FF"/>
                </w:rPr>
                <w:t>Annual Report on Form 10-K for the year ended December 31, 2018 dated February 21, 2019).†</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2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10">
              <w:r>
                <w:rPr>
                  <w:rFonts w:ascii="Arial" w:cs="Arial" w:eastAsia="Arial" w:hAnsi="Arial"/>
                  <w:sz w:val="16"/>
                  <w:szCs w:val="16"/>
                  <w:color w:val="0000FF"/>
                </w:rPr>
                <w:t>Form of Avis Budget Group, Inc. Severance Agreement. (Incorporated by reference to Exhibit 10.15 to the Company’s Annual Report on</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210">
              <w:r>
                <w:rPr>
                  <w:rFonts w:ascii="Arial" w:cs="Arial" w:eastAsia="Arial" w:hAnsi="Arial"/>
                  <w:sz w:val="16"/>
                  <w:szCs w:val="16"/>
                  <w:color w:val="0000FF"/>
                </w:rPr>
                <w:t>Form 10-K for the year ended December 31, 2018 dated February 21, 2019).†</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2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11">
              <w:r>
                <w:rPr>
                  <w:rFonts w:ascii="Arial" w:cs="Arial" w:eastAsia="Arial" w:hAnsi="Arial"/>
                  <w:sz w:val="16"/>
                  <w:szCs w:val="16"/>
                  <w:color w:val="0000FF"/>
                </w:rPr>
                <w:t>Avis Budget Group, Inc. Non-Employee Directors Deferred Compensation Plan, amended and restated as of January 1, 2019.</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00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211">
              <w:r>
                <w:rPr>
                  <w:rFonts w:ascii="Arial" w:cs="Arial" w:eastAsia="Arial" w:hAnsi="Arial"/>
                  <w:sz w:val="16"/>
                  <w:szCs w:val="16"/>
                  <w:color w:val="0000FF"/>
                </w:rPr>
                <w:t>(Incorporated by reference to Exhibit 10.16 to the Company’s Annual Report on Form 10-K for the year ended December 31,</w:t>
              </w:r>
            </w:hyperlink>
          </w:p>
        </w:tc>
        <w:tc>
          <w:tcPr>
            <w:tcW w:w="1060" w:type="dxa"/>
            <w:vAlign w:val="bottom"/>
            <w:tcBorders>
              <w:right w:val="single" w:sz="8" w:color="auto"/>
            </w:tcBorders>
            <w:gridSpan w:val="31"/>
          </w:tcPr>
          <w:p>
            <w:pPr>
              <w:spacing w:after="0" w:line="142" w:lineRule="exact"/>
              <w:rPr>
                <w:rFonts w:ascii="Arial" w:cs="Arial" w:eastAsia="Arial" w:hAnsi="Arial"/>
                <w:sz w:val="16"/>
                <w:szCs w:val="16"/>
                <w:color w:val="0000FF"/>
              </w:rPr>
            </w:pPr>
            <w:hyperlink r:id="rId211">
              <w:r>
                <w:rPr>
                  <w:rFonts w:ascii="Arial" w:cs="Arial" w:eastAsia="Arial" w:hAnsi="Arial"/>
                  <w:sz w:val="16"/>
                  <w:szCs w:val="16"/>
                  <w:color w:val="0000FF"/>
                </w:rPr>
                <w:t>2018 dated</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211">
              <w:r>
                <w:rPr>
                  <w:rFonts w:ascii="Arial" w:cs="Arial" w:eastAsia="Arial" w:hAnsi="Arial"/>
                  <w:sz w:val="16"/>
                  <w:szCs w:val="16"/>
                  <w:color w:val="0000FF"/>
                </w:rPr>
                <w:t>February 21,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10.18</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12">
              <w:r>
                <w:rPr>
                  <w:rFonts w:ascii="Arial" w:cs="Arial" w:eastAsia="Arial" w:hAnsi="Arial"/>
                  <w:sz w:val="16"/>
                  <w:szCs w:val="16"/>
                  <w:color w:val="0000FF"/>
                </w:rPr>
                <w:t>Avis Budget Group, Inc. Deferred Compensation Plan, amended and restated as of November 1, 2008 (Incorporated by reference to</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6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212">
              <w:r>
                <w:rPr>
                  <w:rFonts w:ascii="Arial" w:cs="Arial" w:eastAsia="Arial" w:hAnsi="Arial"/>
                  <w:sz w:val="16"/>
                  <w:szCs w:val="16"/>
                  <w:color w:val="0000FF"/>
                </w:rPr>
                <w:t>Exhibit 10.17 to the Company’s Annual Report on Form 10-K for the year ended December 31, 2008, dated February 26, 2009).†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0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2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10.19</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13">
              <w:r>
                <w:rPr>
                  <w:rFonts w:ascii="Arial" w:cs="Arial" w:eastAsia="Arial" w:hAnsi="Arial"/>
                  <w:sz w:val="16"/>
                  <w:szCs w:val="16"/>
                  <w:color w:val="0000FF"/>
                </w:rPr>
                <w:t>Avis Budget Group, Inc. Savings Restoration Plan, amended and restated as of November 1, 2008 (Incorporated by reference to Exhibit</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213">
              <w:r>
                <w:rPr>
                  <w:rFonts w:ascii="Arial" w:cs="Arial" w:eastAsia="Arial" w:hAnsi="Arial"/>
                  <w:sz w:val="16"/>
                  <w:szCs w:val="16"/>
                  <w:color w:val="0000FF"/>
                </w:rPr>
                <w:t>10.18 to the Company’s Annual Report on Form 10-K for the year ended December 31, 2008, dated February 26, 2009).†</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2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14">
              <w:r>
                <w:rPr>
                  <w:rFonts w:ascii="Arial" w:cs="Arial" w:eastAsia="Arial" w:hAnsi="Arial"/>
                  <w:sz w:val="16"/>
                  <w:szCs w:val="16"/>
                  <w:color w:val="0000FF"/>
                </w:rPr>
                <w:t>Avis Rent A Car System, LLC Pension Plan. (Incorporated by reference to Exhibit 10.20 to the Company’s Annual Report on Form 10-K for</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46"/>
          </w:tcPr>
          <w:p>
            <w:pPr>
              <w:spacing w:after="0" w:line="142" w:lineRule="exact"/>
              <w:rPr>
                <w:rFonts w:ascii="Arial" w:cs="Arial" w:eastAsia="Arial" w:hAnsi="Arial"/>
                <w:sz w:val="16"/>
                <w:szCs w:val="16"/>
                <w:color w:val="0000FF"/>
              </w:rPr>
            </w:pPr>
            <w:hyperlink r:id="rId214">
              <w:r>
                <w:rPr>
                  <w:rFonts w:ascii="Arial" w:cs="Arial" w:eastAsia="Arial" w:hAnsi="Arial"/>
                  <w:sz w:val="16"/>
                  <w:szCs w:val="16"/>
                  <w:color w:val="0000FF"/>
                </w:rPr>
                <w:t>the year ended December 31, 2018 dated February 21, 2019).†</w:t>
              </w:r>
            </w:hyperlink>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2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15">
              <w:r>
                <w:rPr>
                  <w:rFonts w:ascii="Arial" w:cs="Arial" w:eastAsia="Arial" w:hAnsi="Arial"/>
                  <w:sz w:val="16"/>
                  <w:szCs w:val="16"/>
                  <w:color w:val="0000FF"/>
                </w:rPr>
                <w:t>Cendant Corporation* Officer Personal Financial Services Policy (Incorporated by reference to Exhibit 10.3 to the Company’s Current</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215">
              <w:r>
                <w:rPr>
                  <w:rFonts w:ascii="Arial" w:cs="Arial" w:eastAsia="Arial" w:hAnsi="Arial"/>
                  <w:sz w:val="16"/>
                  <w:szCs w:val="16"/>
                  <w:color w:val="0000FF"/>
                </w:rPr>
                <w:t>Report on Form 8-K dated January 26, 2005).</w:t>
              </w:r>
            </w:hyperlink>
          </w:p>
        </w:tc>
        <w:tc>
          <w:tcPr>
            <w:tcW w:w="60" w:type="dxa"/>
            <w:vAlign w:val="bottom"/>
            <w:gridSpan w:val="2"/>
          </w:tcPr>
          <w:p>
            <w:pPr>
              <w:spacing w:after="0"/>
              <w:rPr>
                <w:sz w:val="12"/>
                <w:szCs w:val="12"/>
                <w:color w:val="auto"/>
              </w:rPr>
            </w:pPr>
          </w:p>
        </w:tc>
        <w:tc>
          <w:tcPr>
            <w:tcW w:w="10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16">
              <w:r>
                <w:rPr>
                  <w:rFonts w:ascii="Arial" w:cs="Arial" w:eastAsia="Arial" w:hAnsi="Arial"/>
                  <w:sz w:val="16"/>
                  <w:szCs w:val="16"/>
                  <w:color w:val="0000FF"/>
                </w:rPr>
                <w:t>Tax Sharing Agreement among Cendant Corporation*, Realogy Corporation, Wyndham Worldwide Corporation and Travelport Inc., dated</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216">
              <w:r>
                <w:rPr>
                  <w:rFonts w:ascii="Arial" w:cs="Arial" w:eastAsia="Arial" w:hAnsi="Arial"/>
                  <w:sz w:val="16"/>
                  <w:szCs w:val="16"/>
                  <w:color w:val="0000FF"/>
                </w:rPr>
                <w:t>as of July 28, 2006 (Incorporated by reference to Exhibit 10.2 to the Company’s Current Report on Form 8-K dated August 1, 2006).</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2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17">
              <w:r>
                <w:rPr>
                  <w:rFonts w:ascii="Arial" w:cs="Arial" w:eastAsia="Arial" w:hAnsi="Arial"/>
                  <w:sz w:val="16"/>
                  <w:szCs w:val="16"/>
                  <w:color w:val="0000FF"/>
                </w:rPr>
                <w:t>Amendment to the Tax Sharing Agreement, dated July 28, 2006, among Avis Budget Group, Inc., Realogy Corporation, Wyndham</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0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217">
              <w:r>
                <w:rPr>
                  <w:rFonts w:ascii="Arial" w:cs="Arial" w:eastAsia="Arial" w:hAnsi="Arial"/>
                  <w:sz w:val="16"/>
                  <w:szCs w:val="16"/>
                  <w:color w:val="0000FF"/>
                </w:rPr>
                <w:t>Worldwide Corporation and Travelport Inc. (Incorporated by reference to Exhibit 10.4 to the Company’s Quarterly Report on Form</w:t>
              </w:r>
            </w:hyperlink>
          </w:p>
        </w:tc>
        <w:tc>
          <w:tcPr>
            <w:tcW w:w="760" w:type="dxa"/>
            <w:vAlign w:val="bottom"/>
            <w:tcBorders>
              <w:right w:val="single" w:sz="8" w:color="auto"/>
            </w:tcBorders>
            <w:gridSpan w:val="29"/>
          </w:tcPr>
          <w:p>
            <w:pPr>
              <w:jc w:val="center"/>
              <w:ind w:right="180"/>
              <w:spacing w:after="0" w:line="142" w:lineRule="exact"/>
              <w:rPr>
                <w:rFonts w:ascii="Arial" w:cs="Arial" w:eastAsia="Arial" w:hAnsi="Arial"/>
                <w:sz w:val="16"/>
                <w:szCs w:val="16"/>
                <w:color w:val="0000FF"/>
                <w:w w:val="98"/>
              </w:rPr>
            </w:pPr>
            <w:hyperlink r:id="rId217">
              <w:r>
                <w:rPr>
                  <w:rFonts w:ascii="Arial" w:cs="Arial" w:eastAsia="Arial" w:hAnsi="Arial"/>
                  <w:sz w:val="16"/>
                  <w:szCs w:val="16"/>
                  <w:color w:val="0000FF"/>
                  <w:w w:val="98"/>
                </w:rPr>
                <w:t>10-Q for</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44"/>
          </w:tcPr>
          <w:p>
            <w:pPr>
              <w:spacing w:after="0" w:line="142" w:lineRule="exact"/>
              <w:rPr>
                <w:rFonts w:ascii="Arial" w:cs="Arial" w:eastAsia="Arial" w:hAnsi="Arial"/>
                <w:sz w:val="16"/>
                <w:szCs w:val="16"/>
                <w:color w:val="0000FF"/>
              </w:rPr>
            </w:pPr>
            <w:hyperlink r:id="rId217">
              <w:r>
                <w:rPr>
                  <w:rFonts w:ascii="Arial" w:cs="Arial" w:eastAsia="Arial" w:hAnsi="Arial"/>
                  <w:sz w:val="16"/>
                  <w:szCs w:val="16"/>
                  <w:color w:val="0000FF"/>
                </w:rPr>
                <w:t>the quarterly period ended June 30, 2008 dated August 7, 2008).</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2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18">
              <w:r>
                <w:rPr>
                  <w:rFonts w:ascii="Arial" w:cs="Arial" w:eastAsia="Arial" w:hAnsi="Arial"/>
                  <w:sz w:val="16"/>
                  <w:szCs w:val="16"/>
                  <w:color w:val="0000FF"/>
                </w:rPr>
                <w:t>Second Amended and Restated Base Indenture, dated as of June 3, 2004, among Cendant Rental Car Funding (AESOP) LLC***, as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0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18">
              <w:r>
                <w:rPr>
                  <w:rFonts w:ascii="Arial" w:cs="Arial" w:eastAsia="Arial" w:hAnsi="Arial"/>
                  <w:sz w:val="16"/>
                  <w:szCs w:val="16"/>
                  <w:color w:val="0000FF"/>
                </w:rPr>
                <w:t>Issuer, and The Bank of New York, as Trustee (Incorporated by reference to Exhibit 10.7 to the Company’s Quarterly Report on Form</w:t>
              </w:r>
            </w:hyperlink>
          </w:p>
        </w:tc>
        <w:tc>
          <w:tcPr>
            <w:tcW w:w="560" w:type="dxa"/>
            <w:vAlign w:val="bottom"/>
            <w:tcBorders>
              <w:right w:val="single" w:sz="8" w:color="auto"/>
            </w:tcBorders>
            <w:gridSpan w:val="24"/>
          </w:tcPr>
          <w:p>
            <w:pPr>
              <w:ind w:left="60"/>
              <w:spacing w:after="0" w:line="142" w:lineRule="exact"/>
              <w:rPr>
                <w:rFonts w:ascii="Arial" w:cs="Arial" w:eastAsia="Arial" w:hAnsi="Arial"/>
                <w:sz w:val="16"/>
                <w:szCs w:val="16"/>
                <w:color w:val="0000FF"/>
              </w:rPr>
            </w:pPr>
            <w:hyperlink r:id="rId218">
              <w:r>
                <w:rPr>
                  <w:rFonts w:ascii="Arial" w:cs="Arial" w:eastAsia="Arial" w:hAnsi="Arial"/>
                  <w:sz w:val="16"/>
                  <w:szCs w:val="16"/>
                  <w:color w:val="0000FF"/>
                </w:rPr>
                <w:t>10-Q</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45"/>
          </w:tcPr>
          <w:p>
            <w:pPr>
              <w:spacing w:after="0" w:line="142" w:lineRule="exact"/>
              <w:rPr>
                <w:rFonts w:ascii="Arial" w:cs="Arial" w:eastAsia="Arial" w:hAnsi="Arial"/>
                <w:sz w:val="16"/>
                <w:szCs w:val="16"/>
                <w:color w:val="0000FF"/>
              </w:rPr>
            </w:pPr>
            <w:hyperlink r:id="rId218">
              <w:r>
                <w:rPr>
                  <w:rFonts w:ascii="Arial" w:cs="Arial" w:eastAsia="Arial" w:hAnsi="Arial"/>
                  <w:sz w:val="16"/>
                  <w:szCs w:val="16"/>
                  <w:color w:val="0000FF"/>
                </w:rPr>
                <w:t>for the quarterly period ended June 30, 2004, dated August 2, 2004).</w:t>
              </w:r>
            </w:hyperlink>
          </w:p>
        </w:tc>
        <w:tc>
          <w:tcPr>
            <w:tcW w:w="40" w:type="dxa"/>
            <w:vAlign w:val="bottom"/>
            <w:gridSpan w:val="2"/>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2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19">
              <w:r>
                <w:rPr>
                  <w:rFonts w:ascii="Arial" w:cs="Arial" w:eastAsia="Arial" w:hAnsi="Arial"/>
                  <w:sz w:val="16"/>
                  <w:szCs w:val="16"/>
                  <w:color w:val="0000FF"/>
                </w:rPr>
                <w:t>Supplemental Indenture No. 1, dated as of December 23, 2005, among Cendant Rental Car Funding (AESOP) LLC***, as Issuer, and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bottom w:val="single" w:sz="8" w:color="0000FF"/>
            </w:tcBorders>
            <w:gridSpan w:val="43"/>
          </w:tcPr>
          <w:p>
            <w:pPr>
              <w:spacing w:after="0" w:line="142" w:lineRule="exact"/>
              <w:rPr>
                <w:rFonts w:ascii="Arial" w:cs="Arial" w:eastAsia="Arial" w:hAnsi="Arial"/>
                <w:sz w:val="16"/>
                <w:szCs w:val="16"/>
                <w:color w:val="0000FF"/>
              </w:rPr>
            </w:pPr>
            <w:hyperlink r:id="rId219">
              <w:r>
                <w:rPr>
                  <w:rFonts w:ascii="Arial" w:cs="Arial" w:eastAsia="Arial" w:hAnsi="Arial"/>
                  <w:sz w:val="16"/>
                  <w:szCs w:val="16"/>
                  <w:color w:val="0000FF"/>
                </w:rPr>
                <w:t>Bank of New York, as Trustee, to the Second Amended and Restated Base Indenture, dated as of June 3, 2004 (Incorporated by reference</w:t>
              </w:r>
            </w:hyperlink>
          </w:p>
        </w:tc>
        <w:tc>
          <w:tcPr>
            <w:tcW w:w="80" w:type="dxa"/>
            <w:vAlign w:val="bottom"/>
            <w:tcBorders>
              <w:bottom w:val="single" w:sz="8" w:color="0000FF"/>
            </w:tcBorders>
            <w:gridSpan w:val="4"/>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gridSpan w:val="47"/>
          </w:tcPr>
          <w:p>
            <w:pPr>
              <w:spacing w:after="0" w:line="142" w:lineRule="exact"/>
              <w:rPr>
                <w:rFonts w:ascii="Arial" w:cs="Arial" w:eastAsia="Arial" w:hAnsi="Arial"/>
                <w:sz w:val="16"/>
                <w:szCs w:val="16"/>
                <w:color w:val="0000FF"/>
              </w:rPr>
            </w:pPr>
            <w:hyperlink r:id="rId219">
              <w:r>
                <w:rPr>
                  <w:rFonts w:ascii="Arial" w:cs="Arial" w:eastAsia="Arial" w:hAnsi="Arial"/>
                  <w:sz w:val="16"/>
                  <w:szCs w:val="16"/>
                  <w:color w:val="0000FF"/>
                </w:rPr>
                <w:t>to Exhibit 10.1 to the Company’s Current Report on Form 8-K dated January 20, 2006).</w:t>
              </w:r>
            </w:hyperlink>
          </w:p>
        </w:tc>
        <w:tc>
          <w:tcPr>
            <w:tcW w:w="60" w:type="dxa"/>
            <w:vAlign w:val="bottom"/>
            <w:tcBorders>
              <w:right w:val="single" w:sz="8" w:color="auto"/>
            </w:tcBorders>
            <w:gridSpan w:val="2"/>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2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20">
              <w:r>
                <w:rPr>
                  <w:rFonts w:ascii="Arial" w:cs="Arial" w:eastAsia="Arial" w:hAnsi="Arial"/>
                  <w:sz w:val="16"/>
                  <w:szCs w:val="16"/>
                  <w:color w:val="0000FF"/>
                </w:rPr>
                <w:t>Supplemental Indenture No. 2, dated as of May 9, 2007, among Avis Budget Rental Car Funding (AESOP) LLC, as Issuer, and The Bank</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bottom w:val="single" w:sz="8" w:color="0000FF"/>
            </w:tcBorders>
            <w:gridSpan w:val="37"/>
          </w:tcPr>
          <w:p>
            <w:pPr>
              <w:spacing w:after="0" w:line="142" w:lineRule="exact"/>
              <w:rPr>
                <w:rFonts w:ascii="Arial" w:cs="Arial" w:eastAsia="Arial" w:hAnsi="Arial"/>
                <w:sz w:val="16"/>
                <w:szCs w:val="16"/>
                <w:color w:val="0000FF"/>
              </w:rPr>
            </w:pPr>
            <w:hyperlink r:id="rId220">
              <w:r>
                <w:rPr>
                  <w:rFonts w:ascii="Arial" w:cs="Arial" w:eastAsia="Arial" w:hAnsi="Arial"/>
                  <w:sz w:val="16"/>
                  <w:szCs w:val="16"/>
                  <w:color w:val="0000FF"/>
                </w:rPr>
                <w:t>of New York Trust Company, N.A. (as successor in interest to The Bank of New York), as Trustee, to the Second Amended and Restated</w:t>
              </w:r>
            </w:hyperlink>
          </w:p>
        </w:tc>
        <w:tc>
          <w:tcPr>
            <w:tcW w:w="80" w:type="dxa"/>
            <w:vAlign w:val="bottom"/>
            <w:gridSpan w:val="4"/>
          </w:tcPr>
          <w:p>
            <w:pPr>
              <w:spacing w:after="0"/>
              <w:rPr>
                <w:sz w:val="12"/>
                <w:szCs w:val="12"/>
                <w:color w:val="auto"/>
              </w:rPr>
            </w:pPr>
          </w:p>
        </w:tc>
        <w:tc>
          <w:tcPr>
            <w:tcW w:w="180" w:type="dxa"/>
            <w:vAlign w:val="bottom"/>
            <w:tcBorders>
              <w:right w:val="single" w:sz="8" w:color="auto"/>
            </w:tcBorders>
            <w:gridSpan w:val="8"/>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9"/>
          </w:tcPr>
          <w:p>
            <w:pPr>
              <w:spacing w:after="0" w:line="142" w:lineRule="exact"/>
              <w:rPr>
                <w:rFonts w:ascii="Arial" w:cs="Arial" w:eastAsia="Arial" w:hAnsi="Arial"/>
                <w:sz w:val="16"/>
                <w:szCs w:val="16"/>
                <w:color w:val="0000FF"/>
              </w:rPr>
            </w:pPr>
            <w:hyperlink r:id="rId220">
              <w:r>
                <w:rPr>
                  <w:rFonts w:ascii="Arial" w:cs="Arial" w:eastAsia="Arial" w:hAnsi="Arial"/>
                  <w:sz w:val="16"/>
                  <w:szCs w:val="16"/>
                  <w:color w:val="0000FF"/>
                </w:rPr>
                <w:t>Base Indenture, dated as of June 3, 2004 (Incorporated by reference to Exhibit 10.6 to the Company’s Quarterly Report on Form 10-Q for</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41"/>
          </w:tcPr>
          <w:p>
            <w:pPr>
              <w:spacing w:after="0" w:line="142" w:lineRule="exact"/>
              <w:rPr>
                <w:rFonts w:ascii="Arial" w:cs="Arial" w:eastAsia="Arial" w:hAnsi="Arial"/>
                <w:sz w:val="16"/>
                <w:szCs w:val="16"/>
                <w:color w:val="0000FF"/>
              </w:rPr>
            </w:pPr>
            <w:hyperlink r:id="rId220">
              <w:r>
                <w:rPr>
                  <w:rFonts w:ascii="Arial" w:cs="Arial" w:eastAsia="Arial" w:hAnsi="Arial"/>
                  <w:sz w:val="16"/>
                  <w:szCs w:val="16"/>
                  <w:color w:val="0000FF"/>
                </w:rPr>
                <w:t>the quarterly period ended June 30, 2007, dated August 8, 2007).</w:t>
              </w:r>
            </w:hyperlink>
          </w:p>
        </w:tc>
        <w:tc>
          <w:tcPr>
            <w:tcW w:w="180" w:type="dxa"/>
            <w:vAlign w:val="bottom"/>
            <w:tcBorders>
              <w:right w:val="single" w:sz="8" w:color="auto"/>
            </w:tcBorders>
            <w:gridSpan w:val="8"/>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2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21">
              <w:r>
                <w:rPr>
                  <w:rFonts w:ascii="Arial" w:cs="Arial" w:eastAsia="Arial" w:hAnsi="Arial"/>
                  <w:sz w:val="16"/>
                  <w:szCs w:val="16"/>
                  <w:color w:val="0000FF"/>
                </w:rPr>
                <w:t>Supplemental Indenture No. 3, dated as of August 16, 2013, among Avis Budget Rental Car Funding (AESOP) LLC, as Issuer, and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221">
              <w:r>
                <w:rPr>
                  <w:rFonts w:ascii="Arial" w:cs="Arial" w:eastAsia="Arial" w:hAnsi="Arial"/>
                  <w:sz w:val="16"/>
                  <w:szCs w:val="16"/>
                  <w:color w:val="0000FF"/>
                </w:rPr>
                <w:t>Bank of New York Trust Company, N.A. (as successor in interest to The Bank of New York), as Trustee, to the Second Amended and</w:t>
              </w:r>
            </w:hyperlink>
          </w:p>
        </w:tc>
        <w:tc>
          <w:tcPr>
            <w:tcW w:w="380" w:type="dxa"/>
            <w:vAlign w:val="bottom"/>
            <w:tcBorders>
              <w:right w:val="single" w:sz="8" w:color="auto"/>
            </w:tcBorders>
            <w:gridSpan w:val="18"/>
          </w:tcPr>
          <w:p>
            <w:pPr>
              <w:spacing w:after="0"/>
              <w:rPr>
                <w:sz w:val="12"/>
                <w:szCs w:val="12"/>
                <w:color w:val="auto"/>
              </w:rPr>
            </w:pPr>
          </w:p>
        </w:tc>
      </w:tr>
      <w:tr>
        <w:trPr>
          <w:trHeight w:val="20"/>
        </w:trPr>
        <w:tc>
          <w:tcPr>
            <w:tcW w:w="11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60" w:type="dxa"/>
            <w:vAlign w:val="bottom"/>
            <w:gridSpan w:val="11"/>
            <w:shd w:val="clear" w:color="auto" w:fill="0000FF"/>
          </w:tcPr>
          <w:p>
            <w:pPr>
              <w:spacing w:after="0" w:line="20" w:lineRule="exact"/>
              <w:rPr>
                <w:sz w:val="1"/>
                <w:szCs w:val="1"/>
                <w:color w:val="auto"/>
              </w:rPr>
            </w:pPr>
          </w:p>
        </w:tc>
        <w:tc>
          <w:tcPr>
            <w:tcW w:w="3920" w:type="dxa"/>
            <w:vAlign w:val="bottom"/>
            <w:gridSpan w:val="13"/>
            <w:shd w:val="clear" w:color="auto" w:fill="0000FF"/>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80" w:type="dxa"/>
            <w:vAlign w:val="bottom"/>
            <w:tcBorders>
              <w:right w:val="single" w:sz="8" w:color="auto"/>
            </w:tcBorders>
            <w:gridSpan w:val="21"/>
          </w:tcPr>
          <w:p>
            <w:pPr>
              <w:spacing w:after="0" w:line="20" w:lineRule="exact"/>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9"/>
          </w:tcPr>
          <w:p>
            <w:pPr>
              <w:spacing w:after="0" w:line="142" w:lineRule="exact"/>
              <w:rPr>
                <w:rFonts w:ascii="Arial" w:cs="Arial" w:eastAsia="Arial" w:hAnsi="Arial"/>
                <w:sz w:val="16"/>
                <w:szCs w:val="16"/>
                <w:color w:val="0000FF"/>
              </w:rPr>
            </w:pPr>
            <w:hyperlink r:id="rId221">
              <w:r>
                <w:rPr>
                  <w:rFonts w:ascii="Arial" w:cs="Arial" w:eastAsia="Arial" w:hAnsi="Arial"/>
                  <w:sz w:val="16"/>
                  <w:szCs w:val="16"/>
                  <w:color w:val="0000FF"/>
                </w:rPr>
                <w:t>Restated Base Indenture, dated as of June 3, 2004 (Incorporated by reference to Exhibit 10.35(c) to the Company’s Annual Report on</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221">
              <w:r>
                <w:rPr>
                  <w:rFonts w:ascii="Arial" w:cs="Arial" w:eastAsia="Arial" w:hAnsi="Arial"/>
                  <w:sz w:val="16"/>
                  <w:szCs w:val="16"/>
                  <w:color w:val="0000FF"/>
                </w:rPr>
                <w:t>Form 10-K for the year ended December 31, 2013, dated February 20, 2014).</w:t>
              </w:r>
            </w:hyperlink>
          </w:p>
        </w:tc>
        <w:tc>
          <w:tcPr>
            <w:tcW w:w="480" w:type="dxa"/>
            <w:vAlign w:val="bottom"/>
            <w:tcBorders>
              <w:right w:val="single" w:sz="8" w:color="auto"/>
            </w:tcBorders>
            <w:gridSpan w:val="21"/>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2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140" w:type="dxa"/>
            <w:vAlign w:val="bottom"/>
            <w:tcBorders>
              <w:top w:val="single" w:sz="8" w:color="auto"/>
              <w:left w:val="single" w:sz="8" w:color="auto"/>
              <w:right w:val="single" w:sz="8" w:color="auto"/>
            </w:tcBorders>
          </w:tcPr>
          <w:p>
            <w:pPr>
              <w:jc w:val="right"/>
              <w:ind w:right="619"/>
              <w:spacing w:after="0"/>
              <w:rPr>
                <w:sz w:val="20"/>
                <w:szCs w:val="20"/>
                <w:color w:val="auto"/>
              </w:rPr>
            </w:pPr>
            <w:r>
              <w:rPr>
                <w:rFonts w:ascii="Arial" w:cs="Arial" w:eastAsia="Arial" w:hAnsi="Arial"/>
                <w:sz w:val="16"/>
                <w:szCs w:val="16"/>
                <w:color w:val="auto"/>
              </w:rPr>
              <w:t>10.28</w:t>
            </w:r>
          </w:p>
        </w:tc>
        <w:tc>
          <w:tcPr>
            <w:tcW w:w="100" w:type="dxa"/>
            <w:vAlign w:val="bottom"/>
            <w:tcBorders>
              <w:top w:val="single" w:sz="8" w:color="auto"/>
              <w:righ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60" w:type="dxa"/>
            <w:vAlign w:val="bottom"/>
            <w:tcBorders>
              <w:top w:val="single" w:sz="8" w:color="auto"/>
              <w:right w:val="single" w:sz="8" w:color="auto"/>
            </w:tcBorders>
            <w:gridSpan w:val="48"/>
          </w:tcPr>
          <w:p>
            <w:pPr>
              <w:spacing w:after="0"/>
              <w:rPr>
                <w:rFonts w:ascii="Arial" w:cs="Arial" w:eastAsia="Arial" w:hAnsi="Arial"/>
                <w:sz w:val="16"/>
                <w:szCs w:val="16"/>
                <w:color w:val="0000FF"/>
              </w:rPr>
            </w:pPr>
            <w:hyperlink r:id="rId223">
              <w:r>
                <w:rPr>
                  <w:rFonts w:ascii="Arial" w:cs="Arial" w:eastAsia="Arial" w:hAnsi="Arial"/>
                  <w:sz w:val="16"/>
                  <w:szCs w:val="16"/>
                  <w:color w:val="0000FF"/>
                </w:rPr>
                <w:t>Second Amended and Restated Loan Agreement, dated as of June 3, 2004, among AESOP Leasing L.P., as Borrower, Quartx Fleet</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60" w:type="dxa"/>
            <w:vAlign w:val="bottom"/>
            <w:tcBorders>
              <w:top w:val="single" w:sz="8" w:color="0000FF"/>
              <w:bottom w:val="single" w:sz="8" w:color="0000FF"/>
            </w:tcBorders>
            <w:gridSpan w:val="21"/>
          </w:tcPr>
          <w:p>
            <w:pPr>
              <w:spacing w:after="0" w:line="142" w:lineRule="exact"/>
              <w:rPr>
                <w:rFonts w:ascii="Arial" w:cs="Arial" w:eastAsia="Arial" w:hAnsi="Arial"/>
                <w:sz w:val="16"/>
                <w:szCs w:val="16"/>
                <w:color w:val="0000FF"/>
              </w:rPr>
            </w:pPr>
            <w:hyperlink r:id="rId223">
              <w:r>
                <w:rPr>
                  <w:rFonts w:ascii="Arial" w:cs="Arial" w:eastAsia="Arial" w:hAnsi="Arial"/>
                  <w:sz w:val="16"/>
                  <w:szCs w:val="16"/>
                  <w:color w:val="0000FF"/>
                </w:rPr>
                <w:t>Management, Inc., as a Permitted Nominee, PV Holding Corp., as a Permitted Nominee, and Cendant Rental Car Funding (AESOP)</w:t>
              </w:r>
            </w:hyperlink>
          </w:p>
        </w:tc>
        <w:tc>
          <w:tcPr>
            <w:tcW w:w="20" w:type="dxa"/>
            <w:vAlign w:val="bottom"/>
            <w:tcBorders>
              <w:bottom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80" w:type="dxa"/>
            <w:vAlign w:val="bottom"/>
            <w:gridSpan w:val="22"/>
          </w:tcPr>
          <w:p>
            <w:pPr>
              <w:spacing w:after="0" w:line="142" w:lineRule="exact"/>
              <w:rPr>
                <w:rFonts w:ascii="Arial" w:cs="Arial" w:eastAsia="Arial" w:hAnsi="Arial"/>
                <w:sz w:val="16"/>
                <w:szCs w:val="16"/>
                <w:color w:val="0000FF"/>
              </w:rPr>
            </w:pPr>
            <w:hyperlink r:id="rId223">
              <w:r>
                <w:rPr>
                  <w:rFonts w:ascii="Arial" w:cs="Arial" w:eastAsia="Arial" w:hAnsi="Arial"/>
                  <w:sz w:val="16"/>
                  <w:szCs w:val="16"/>
                  <w:color w:val="0000FF"/>
                </w:rPr>
                <w:t>LLC***, as Lender (Incorporated by reference to Exhibit</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tcBorders>
              <w:top w:val="single" w:sz="8" w:color="0000FF"/>
            </w:tcBorders>
            <w:gridSpan w:val="6"/>
          </w:tcPr>
          <w:p>
            <w:pPr>
              <w:spacing w:after="0" w:line="142" w:lineRule="exact"/>
              <w:rPr>
                <w:rFonts w:ascii="Arial" w:cs="Arial" w:eastAsia="Arial" w:hAnsi="Arial"/>
                <w:sz w:val="16"/>
                <w:szCs w:val="16"/>
                <w:color w:val="0000FF"/>
              </w:rPr>
            </w:pPr>
            <w:hyperlink r:id="rId223">
              <w:r>
                <w:rPr>
                  <w:rFonts w:ascii="Arial" w:cs="Arial" w:eastAsia="Arial" w:hAnsi="Arial"/>
                  <w:sz w:val="16"/>
                  <w:szCs w:val="16"/>
                  <w:color w:val="0000FF"/>
                </w:rPr>
                <w:t>10.8 to the Company’s Quarterly Report on Form 10-Q</w:t>
              </w:r>
            </w:hyperlink>
          </w:p>
        </w:tc>
        <w:tc>
          <w:tcPr>
            <w:tcW w:w="6100" w:type="dxa"/>
            <w:vAlign w:val="bottom"/>
            <w:tcBorders>
              <w:right w:val="single" w:sz="8" w:color="auto"/>
            </w:tcBorders>
            <w:gridSpan w:val="42"/>
          </w:tcPr>
          <w:p>
            <w:pPr>
              <w:spacing w:after="0" w:line="142" w:lineRule="exact"/>
              <w:rPr>
                <w:rFonts w:ascii="Arial" w:cs="Arial" w:eastAsia="Arial" w:hAnsi="Arial"/>
                <w:sz w:val="16"/>
                <w:szCs w:val="16"/>
                <w:color w:val="0000FF"/>
              </w:rPr>
            </w:pPr>
            <w:hyperlink r:id="rId223">
              <w:r>
                <w:rPr>
                  <w:rFonts w:ascii="Arial" w:cs="Arial" w:eastAsia="Arial" w:hAnsi="Arial"/>
                  <w:sz w:val="16"/>
                  <w:szCs w:val="16"/>
                  <w:color w:val="0000FF"/>
                </w:rPr>
                <w:t>for the quarterly period ended June 30, 2004, dated August 2, 2004).</w:t>
              </w:r>
            </w:hyperlink>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52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10.29</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8"/>
          </w:tcPr>
          <w:p>
            <w:pPr>
              <w:spacing w:after="0" w:line="169" w:lineRule="exact"/>
              <w:rPr>
                <w:rFonts w:ascii="Arial" w:cs="Arial" w:eastAsia="Arial" w:hAnsi="Arial"/>
                <w:sz w:val="16"/>
                <w:szCs w:val="16"/>
                <w:color w:val="0000FF"/>
              </w:rPr>
            </w:pPr>
            <w:hyperlink r:id="rId224">
              <w:r>
                <w:rPr>
                  <w:rFonts w:ascii="Arial" w:cs="Arial" w:eastAsia="Arial" w:hAnsi="Arial"/>
                  <w:sz w:val="16"/>
                  <w:szCs w:val="16"/>
                  <w:color w:val="0000FF"/>
                </w:rPr>
                <w:t>First Amendment, dated as of December 23, 2005, among AESOP Leasing L.P., as Borrower, Quartx Fleet Management, Inc., as a</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0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224">
              <w:r>
                <w:rPr>
                  <w:rFonts w:ascii="Arial" w:cs="Arial" w:eastAsia="Arial" w:hAnsi="Arial"/>
                  <w:sz w:val="16"/>
                  <w:szCs w:val="16"/>
                  <w:color w:val="0000FF"/>
                </w:rPr>
                <w:t>Permitted Nominee, PV Holding Corp., as a Permitted Nominee, and Cendant Rental Car Funding (AESOP) LLC***, as Lender, to</w:t>
              </w:r>
            </w:hyperlink>
          </w:p>
        </w:tc>
        <w:tc>
          <w:tcPr>
            <w:tcW w:w="660" w:type="dxa"/>
            <w:vAlign w:val="bottom"/>
            <w:tcBorders>
              <w:right w:val="single" w:sz="8" w:color="auto"/>
            </w:tcBorders>
            <w:gridSpan w:val="29"/>
          </w:tcPr>
          <w:p>
            <w:pPr>
              <w:spacing w:after="0" w:line="142" w:lineRule="exact"/>
              <w:rPr>
                <w:rFonts w:ascii="Arial" w:cs="Arial" w:eastAsia="Arial" w:hAnsi="Arial"/>
                <w:sz w:val="16"/>
                <w:szCs w:val="16"/>
                <w:color w:val="0000FF"/>
              </w:rPr>
            </w:pPr>
            <w:hyperlink r:id="rId224">
              <w:r>
                <w:rPr>
                  <w:rFonts w:ascii="Arial" w:cs="Arial" w:eastAsia="Arial" w:hAnsi="Arial"/>
                  <w:sz w:val="16"/>
                  <w:szCs w:val="16"/>
                  <w:color w:val="0000FF"/>
                </w:rPr>
                <w:t>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bottom w:val="single" w:sz="8" w:color="0000FF"/>
            </w:tcBorders>
            <w:gridSpan w:val="23"/>
          </w:tcPr>
          <w:p>
            <w:pPr>
              <w:spacing w:after="0" w:line="142" w:lineRule="exact"/>
              <w:rPr>
                <w:rFonts w:ascii="Arial" w:cs="Arial" w:eastAsia="Arial" w:hAnsi="Arial"/>
                <w:sz w:val="16"/>
                <w:szCs w:val="16"/>
                <w:color w:val="0000FF"/>
                <w:w w:val="99"/>
              </w:rPr>
            </w:pPr>
            <w:hyperlink r:id="rId224">
              <w:r>
                <w:rPr>
                  <w:rFonts w:ascii="Arial" w:cs="Arial" w:eastAsia="Arial" w:hAnsi="Arial"/>
                  <w:sz w:val="16"/>
                  <w:szCs w:val="16"/>
                  <w:color w:val="0000FF"/>
                  <w:w w:val="99"/>
                </w:rPr>
                <w:t>Second Amended and Restated Loan Agreement, dated as of June 3, 2004 (Incorporated by reference to Exhibit 10.2 to the Company’s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294967277" w:type="dxa"/>
            <w:vAlign w:val="bottom"/>
            <w:tcBorders>
              <w:bottom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gridSpan w:val="33"/>
          </w:tcPr>
          <w:p>
            <w:pPr>
              <w:spacing w:after="0" w:line="142" w:lineRule="exact"/>
              <w:rPr>
                <w:rFonts w:ascii="Arial" w:cs="Arial" w:eastAsia="Arial" w:hAnsi="Arial"/>
                <w:sz w:val="16"/>
                <w:szCs w:val="16"/>
                <w:color w:val="0000FF"/>
              </w:rPr>
            </w:pPr>
            <w:hyperlink r:id="rId224">
              <w:r>
                <w:rPr>
                  <w:rFonts w:ascii="Arial" w:cs="Arial" w:eastAsia="Arial" w:hAnsi="Arial"/>
                  <w:sz w:val="16"/>
                  <w:szCs w:val="16"/>
                  <w:color w:val="0000FF"/>
                </w:rPr>
                <w:t>Current Report on Form 8-K dated January 20, 2006).</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10.30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bottom w:val="single" w:sz="8" w:color="0000FF"/>
            </w:tcBorders>
            <w:gridSpan w:val="25"/>
          </w:tcPr>
          <w:p>
            <w:pPr>
              <w:spacing w:after="0" w:line="169" w:lineRule="exact"/>
              <w:rPr>
                <w:rFonts w:ascii="Arial" w:cs="Arial" w:eastAsia="Arial" w:hAnsi="Arial"/>
                <w:sz w:val="16"/>
                <w:szCs w:val="16"/>
                <w:color w:val="0000FF"/>
              </w:rPr>
            </w:pPr>
            <w:hyperlink r:id="rId225">
              <w:r>
                <w:rPr>
                  <w:rFonts w:ascii="Arial" w:cs="Arial" w:eastAsia="Arial" w:hAnsi="Arial"/>
                  <w:sz w:val="16"/>
                  <w:szCs w:val="16"/>
                  <w:color w:val="0000FF"/>
                </w:rPr>
                <w:t>Second Amendment, dated as of May 9, 2007, among AESOP Leasing L.P., as Borrower, PV Holding Corp., as a Permitted Nominee,</w:t>
              </w:r>
            </w:hyperlink>
          </w:p>
        </w:tc>
        <w:tc>
          <w:tcPr>
            <w:tcW w:w="460" w:type="dxa"/>
            <w:vAlign w:val="bottom"/>
            <w:tcBorders>
              <w:right w:val="single" w:sz="8" w:color="auto"/>
            </w:tcBorders>
            <w:gridSpan w:val="23"/>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8"/>
          </w:tcPr>
          <w:p>
            <w:pPr>
              <w:spacing w:after="0" w:line="142" w:lineRule="exact"/>
              <w:rPr>
                <w:rFonts w:ascii="Arial" w:cs="Arial" w:eastAsia="Arial" w:hAnsi="Arial"/>
                <w:sz w:val="16"/>
                <w:szCs w:val="16"/>
                <w:color w:val="0000FF"/>
              </w:rPr>
            </w:pPr>
            <w:hyperlink r:id="rId225">
              <w:r>
                <w:rPr>
                  <w:rFonts w:ascii="Arial" w:cs="Arial" w:eastAsia="Arial" w:hAnsi="Arial"/>
                  <w:sz w:val="16"/>
                  <w:szCs w:val="16"/>
                  <w:color w:val="0000FF"/>
                </w:rPr>
                <w:t>Quartx Fleet Management, Inc., as a Permitted Nominee, and Avis Budget Rental Car Funding (AESOP) LLC, as Lender, to the Second</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bottom w:val="single" w:sz="8" w:color="0000FF"/>
            </w:tcBorders>
            <w:gridSpan w:val="32"/>
          </w:tcPr>
          <w:p>
            <w:pPr>
              <w:spacing w:after="0" w:line="142" w:lineRule="exact"/>
              <w:rPr>
                <w:rFonts w:ascii="Arial" w:cs="Arial" w:eastAsia="Arial" w:hAnsi="Arial"/>
                <w:sz w:val="16"/>
                <w:szCs w:val="16"/>
                <w:color w:val="0000FF"/>
              </w:rPr>
            </w:pPr>
            <w:hyperlink r:id="rId225">
              <w:r>
                <w:rPr>
                  <w:rFonts w:ascii="Arial" w:cs="Arial" w:eastAsia="Arial" w:hAnsi="Arial"/>
                  <w:sz w:val="16"/>
                  <w:szCs w:val="16"/>
                  <w:color w:val="0000FF"/>
                </w:rPr>
                <w:t>Amended and Restated Loan Agreement, dated as of June 3, 2004 (Incorporated by reference to Exhibit 10.8 to the Company’s Quarterly</w:t>
              </w:r>
            </w:hyperlink>
          </w:p>
        </w:tc>
        <w:tc>
          <w:tcPr>
            <w:tcW w:w="4294967277"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gridSpan w:val="40"/>
          </w:tcPr>
          <w:p>
            <w:pPr>
              <w:spacing w:after="0" w:line="142" w:lineRule="exact"/>
              <w:rPr>
                <w:rFonts w:ascii="Arial" w:cs="Arial" w:eastAsia="Arial" w:hAnsi="Arial"/>
                <w:sz w:val="16"/>
                <w:szCs w:val="16"/>
                <w:color w:val="0000FF"/>
              </w:rPr>
            </w:pPr>
            <w:hyperlink r:id="rId225">
              <w:r>
                <w:rPr>
                  <w:rFonts w:ascii="Arial" w:cs="Arial" w:eastAsia="Arial" w:hAnsi="Arial"/>
                  <w:sz w:val="16"/>
                  <w:szCs w:val="16"/>
                  <w:color w:val="0000FF"/>
                </w:rPr>
                <w:t>Report on Form 10-Q for the quarterly period ended June 30, 2007, dated August 8, 2007).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52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10.31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8"/>
          </w:tcPr>
          <w:p>
            <w:pPr>
              <w:spacing w:after="0" w:line="169" w:lineRule="exact"/>
              <w:rPr>
                <w:rFonts w:ascii="Arial" w:cs="Arial" w:eastAsia="Arial" w:hAnsi="Arial"/>
                <w:sz w:val="16"/>
                <w:szCs w:val="16"/>
                <w:color w:val="0000FF"/>
              </w:rPr>
            </w:pPr>
            <w:hyperlink r:id="rId226">
              <w:r>
                <w:rPr>
                  <w:rFonts w:ascii="Arial" w:cs="Arial" w:eastAsia="Arial" w:hAnsi="Arial"/>
                  <w:sz w:val="16"/>
                  <w:szCs w:val="16"/>
                  <w:color w:val="0000FF"/>
                </w:rPr>
                <w:t>Third Amendment, dated as of August 16, 2013, among AESOP Leasing L.P., as Borrower, PV Holding Corp., as a Permitted Nominee,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bottom w:val="single" w:sz="8" w:color="0000FF"/>
            </w:tcBorders>
            <w:gridSpan w:val="28"/>
          </w:tcPr>
          <w:p>
            <w:pPr>
              <w:spacing w:after="0" w:line="142" w:lineRule="exact"/>
              <w:rPr>
                <w:rFonts w:ascii="Arial" w:cs="Arial" w:eastAsia="Arial" w:hAnsi="Arial"/>
                <w:sz w:val="16"/>
                <w:szCs w:val="16"/>
                <w:color w:val="0000FF"/>
              </w:rPr>
            </w:pPr>
            <w:hyperlink r:id="rId226">
              <w:r>
                <w:rPr>
                  <w:rFonts w:ascii="Arial" w:cs="Arial" w:eastAsia="Arial" w:hAnsi="Arial"/>
                  <w:sz w:val="16"/>
                  <w:szCs w:val="16"/>
                  <w:color w:val="0000FF"/>
                </w:rPr>
                <w:t>Quartx Fleet Management, Inc., as a Permitted Nominee, and Avis Budget Rental Car Funding (AESOP) LLC, as Lender, to the Second</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gridSpan w:val="31"/>
          </w:tcPr>
          <w:p>
            <w:pPr>
              <w:spacing w:after="0" w:line="142" w:lineRule="exact"/>
              <w:rPr>
                <w:rFonts w:ascii="Arial" w:cs="Arial" w:eastAsia="Arial" w:hAnsi="Arial"/>
                <w:sz w:val="16"/>
                <w:szCs w:val="16"/>
                <w:color w:val="0000FF"/>
              </w:rPr>
            </w:pPr>
            <w:hyperlink r:id="rId226">
              <w:r>
                <w:rPr>
                  <w:rFonts w:ascii="Arial" w:cs="Arial" w:eastAsia="Arial" w:hAnsi="Arial"/>
                  <w:sz w:val="16"/>
                  <w:szCs w:val="16"/>
                  <w:color w:val="0000FF"/>
                </w:rPr>
                <w:t>Amended and Restated Loan Agreement, dated as of June 3, 2004 (Incorporated by reference to Exhibit 10.36(c) to the Company’s</w:t>
              </w:r>
            </w:hyperlink>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2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226">
              <w:r>
                <w:rPr>
                  <w:rFonts w:ascii="Arial" w:cs="Arial" w:eastAsia="Arial" w:hAnsi="Arial"/>
                  <w:sz w:val="16"/>
                  <w:szCs w:val="16"/>
                  <w:color w:val="0000FF"/>
                </w:rPr>
                <w:t>Annual Report on Form 10-K for the year ended December 31, 2013, dated February 20, 2014).</w:t>
              </w:r>
            </w:hyperlink>
          </w:p>
        </w:tc>
        <w:tc>
          <w:tcPr>
            <w:tcW w:w="16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52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10.32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bottom w:val="single" w:sz="8" w:color="0000FF"/>
            </w:tcBorders>
            <w:gridSpan w:val="33"/>
          </w:tcPr>
          <w:p>
            <w:pPr>
              <w:spacing w:after="0" w:line="169" w:lineRule="exact"/>
              <w:rPr>
                <w:rFonts w:ascii="Arial" w:cs="Arial" w:eastAsia="Arial" w:hAnsi="Arial"/>
                <w:sz w:val="16"/>
                <w:szCs w:val="16"/>
                <w:color w:val="0000FF"/>
              </w:rPr>
            </w:pPr>
            <w:hyperlink r:id="rId227">
              <w:r>
                <w:rPr>
                  <w:rFonts w:ascii="Arial" w:cs="Arial" w:eastAsia="Arial" w:hAnsi="Arial"/>
                  <w:sz w:val="16"/>
                  <w:szCs w:val="16"/>
                  <w:color w:val="0000FF"/>
                </w:rPr>
                <w:t>Amended and Restated Loan Agreement, dated as of June 3, 2004, among AESOP Leasing L.P., as Borrower, and Cendant Rental Car</w:t>
              </w:r>
            </w:hyperlink>
          </w:p>
        </w:tc>
        <w:tc>
          <w:tcPr>
            <w:tcW w:w="320" w:type="dxa"/>
            <w:vAlign w:val="bottom"/>
            <w:tcBorders>
              <w:right w:val="single" w:sz="8" w:color="auto"/>
            </w:tcBorders>
            <w:gridSpan w:val="15"/>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8"/>
          </w:tcPr>
          <w:p>
            <w:pPr>
              <w:spacing w:after="0" w:line="142" w:lineRule="exact"/>
              <w:rPr>
                <w:rFonts w:ascii="Arial" w:cs="Arial" w:eastAsia="Arial" w:hAnsi="Arial"/>
                <w:sz w:val="16"/>
                <w:szCs w:val="16"/>
                <w:color w:val="0000FF"/>
              </w:rPr>
            </w:pPr>
            <w:hyperlink r:id="rId227">
              <w:r>
                <w:rPr>
                  <w:rFonts w:ascii="Arial" w:cs="Arial" w:eastAsia="Arial" w:hAnsi="Arial"/>
                  <w:sz w:val="16"/>
                  <w:szCs w:val="16"/>
                  <w:color w:val="0000FF"/>
                </w:rPr>
                <w:t>Funding (AESOP) LLC***, as Lender (Incorporated by reference to Exhibit 10.29(a) to the Company’s Annual Report on Form 10-K for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42"/>
          </w:tcPr>
          <w:p>
            <w:pPr>
              <w:spacing w:after="0" w:line="142" w:lineRule="exact"/>
              <w:rPr>
                <w:rFonts w:ascii="Arial" w:cs="Arial" w:eastAsia="Arial" w:hAnsi="Arial"/>
                <w:sz w:val="16"/>
                <w:szCs w:val="16"/>
                <w:color w:val="0000FF"/>
              </w:rPr>
            </w:pPr>
            <w:hyperlink r:id="rId227">
              <w:r>
                <w:rPr>
                  <w:rFonts w:ascii="Arial" w:cs="Arial" w:eastAsia="Arial" w:hAnsi="Arial"/>
                  <w:sz w:val="16"/>
                  <w:szCs w:val="16"/>
                  <w:color w:val="0000FF"/>
                </w:rPr>
                <w:t>year ended December 31, 2006, dated March 1, 2007).</w:t>
              </w:r>
            </w:hyperlink>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10.33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8"/>
          </w:tcPr>
          <w:p>
            <w:pPr>
              <w:spacing w:after="0" w:line="169" w:lineRule="exact"/>
              <w:rPr>
                <w:rFonts w:ascii="Arial" w:cs="Arial" w:eastAsia="Arial" w:hAnsi="Arial"/>
                <w:sz w:val="16"/>
                <w:szCs w:val="16"/>
                <w:color w:val="0000FF"/>
              </w:rPr>
            </w:pPr>
            <w:hyperlink r:id="rId228">
              <w:r>
                <w:rPr>
                  <w:rFonts w:ascii="Arial" w:cs="Arial" w:eastAsia="Arial" w:hAnsi="Arial"/>
                  <w:sz w:val="16"/>
                  <w:szCs w:val="16"/>
                  <w:color w:val="0000FF"/>
                </w:rPr>
                <w:t>First Amendment, dated as of December 23, 2005, among AESOP Leasing L.P., as Borrower, and Cendant Rental Car Funding (AESOP)</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bottom w:val="single" w:sz="8" w:color="0000FF"/>
            </w:tcBorders>
            <w:gridSpan w:val="38"/>
          </w:tcPr>
          <w:p>
            <w:pPr>
              <w:spacing w:after="0" w:line="142" w:lineRule="exact"/>
              <w:rPr>
                <w:rFonts w:ascii="Arial" w:cs="Arial" w:eastAsia="Arial" w:hAnsi="Arial"/>
                <w:sz w:val="16"/>
                <w:szCs w:val="16"/>
                <w:color w:val="0000FF"/>
                <w:w w:val="99"/>
              </w:rPr>
            </w:pPr>
            <w:hyperlink r:id="rId228">
              <w:r>
                <w:rPr>
                  <w:rFonts w:ascii="Arial" w:cs="Arial" w:eastAsia="Arial" w:hAnsi="Arial"/>
                  <w:sz w:val="16"/>
                  <w:szCs w:val="16"/>
                  <w:color w:val="0000FF"/>
                  <w:w w:val="99"/>
                </w:rPr>
                <w:t>LLC***, as Lender, to the Amended and Restated Loan Agreement, dated as of June 3, 2004 (Incorporated by reference to Exhibit 10.29(b)</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gridSpan w:val="46"/>
          </w:tcPr>
          <w:p>
            <w:pPr>
              <w:spacing w:after="0" w:line="142" w:lineRule="exact"/>
              <w:rPr>
                <w:rFonts w:ascii="Arial" w:cs="Arial" w:eastAsia="Arial" w:hAnsi="Arial"/>
                <w:sz w:val="16"/>
                <w:szCs w:val="16"/>
                <w:color w:val="0000FF"/>
              </w:rPr>
            </w:pPr>
            <w:hyperlink r:id="rId228">
              <w:r>
                <w:rPr>
                  <w:rFonts w:ascii="Arial" w:cs="Arial" w:eastAsia="Arial" w:hAnsi="Arial"/>
                  <w:sz w:val="16"/>
                  <w:szCs w:val="16"/>
                  <w:color w:val="0000FF"/>
                </w:rPr>
                <w:t>to the Company’s Annual Report on Form 10-K for the year ended December 31, 2006, dated March 1, 2007).</w:t>
              </w:r>
            </w:hyperlink>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52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10.34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8"/>
          </w:tcPr>
          <w:p>
            <w:pPr>
              <w:spacing w:after="0" w:line="169" w:lineRule="exact"/>
              <w:rPr>
                <w:rFonts w:ascii="Arial" w:cs="Arial" w:eastAsia="Arial" w:hAnsi="Arial"/>
                <w:sz w:val="16"/>
                <w:szCs w:val="16"/>
                <w:color w:val="0000FF"/>
              </w:rPr>
            </w:pPr>
            <w:hyperlink r:id="rId229">
              <w:r>
                <w:rPr>
                  <w:rFonts w:ascii="Arial" w:cs="Arial" w:eastAsia="Arial" w:hAnsi="Arial"/>
                  <w:sz w:val="16"/>
                  <w:szCs w:val="16"/>
                  <w:color w:val="0000FF"/>
                </w:rPr>
                <w:t>Second Amendment, dated as of the May 9, 2007, among AESOP Leasing L.P., as Borrower, and Avis Budget Rental Car Funding</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4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229">
              <w:r>
                <w:rPr>
                  <w:rFonts w:ascii="Arial" w:cs="Arial" w:eastAsia="Arial" w:hAnsi="Arial"/>
                  <w:sz w:val="16"/>
                  <w:szCs w:val="16"/>
                  <w:color w:val="0000FF"/>
                </w:rPr>
                <w:t>(AESOP) LLC, as Lender, to the Amended and Restated Loan Agreement, dated as of June 3, 2004 (Incorporated by reference to</w:t>
              </w:r>
            </w:hyperlink>
          </w:p>
        </w:tc>
        <w:tc>
          <w:tcPr>
            <w:tcW w:w="720" w:type="dxa"/>
            <w:vAlign w:val="bottom"/>
            <w:tcBorders>
              <w:right w:val="single" w:sz="8" w:color="auto"/>
            </w:tcBorders>
            <w:gridSpan w:val="32"/>
          </w:tcPr>
          <w:p>
            <w:pPr>
              <w:spacing w:after="0" w:line="142" w:lineRule="exact"/>
              <w:rPr>
                <w:rFonts w:ascii="Arial" w:cs="Arial" w:eastAsia="Arial" w:hAnsi="Arial"/>
                <w:sz w:val="16"/>
                <w:szCs w:val="16"/>
                <w:color w:val="0000FF"/>
              </w:rPr>
            </w:pPr>
            <w:hyperlink r:id="rId229">
              <w:r>
                <w:rPr>
                  <w:rFonts w:ascii="Arial" w:cs="Arial" w:eastAsia="Arial" w:hAnsi="Arial"/>
                  <w:sz w:val="16"/>
                  <w:szCs w:val="16"/>
                  <w:color w:val="0000FF"/>
                </w:rPr>
                <w:t>Exhibit</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229">
              <w:r>
                <w:rPr>
                  <w:rFonts w:ascii="Arial" w:cs="Arial" w:eastAsia="Arial" w:hAnsi="Arial"/>
                  <w:sz w:val="16"/>
                  <w:szCs w:val="16"/>
                  <w:color w:val="0000FF"/>
                </w:rPr>
                <w:t>10.7 to the Company’s Quarterly Report on Form 10-Q for the quarterly period ended June 30, 2007, dated August 8, 2007).</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52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10.35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40" w:type="dxa"/>
            <w:vAlign w:val="bottom"/>
            <w:tcBorders>
              <w:bottom w:val="single" w:sz="8" w:color="0000FF"/>
            </w:tcBorders>
            <w:gridSpan w:val="43"/>
          </w:tcPr>
          <w:p>
            <w:pPr>
              <w:spacing w:after="0" w:line="169" w:lineRule="exact"/>
              <w:rPr>
                <w:rFonts w:ascii="Arial" w:cs="Arial" w:eastAsia="Arial" w:hAnsi="Arial"/>
                <w:sz w:val="16"/>
                <w:szCs w:val="16"/>
                <w:color w:val="0000FF"/>
              </w:rPr>
            </w:pPr>
            <w:hyperlink r:id="rId230">
              <w:r>
                <w:rPr>
                  <w:rFonts w:ascii="Arial" w:cs="Arial" w:eastAsia="Arial" w:hAnsi="Arial"/>
                  <w:sz w:val="16"/>
                  <w:szCs w:val="16"/>
                  <w:color w:val="0000FF"/>
                </w:rPr>
                <w:t>Third Amendment, dated as of August 16, 2013, among AESOP Leasing L.P., as Borrower, and Avis Budget Rental Car Funding (AESOP)</w:t>
              </w:r>
            </w:hyperlink>
          </w:p>
        </w:tc>
        <w:tc>
          <w:tcPr>
            <w:tcW w:w="120" w:type="dxa"/>
            <w:vAlign w:val="bottom"/>
            <w:tcBorders>
              <w:right w:val="single" w:sz="8" w:color="auto"/>
            </w:tcBorders>
            <w:gridSpan w:val="5"/>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8"/>
          </w:tcPr>
          <w:p>
            <w:pPr>
              <w:spacing w:after="0" w:line="142" w:lineRule="exact"/>
              <w:rPr>
                <w:rFonts w:ascii="Arial" w:cs="Arial" w:eastAsia="Arial" w:hAnsi="Arial"/>
                <w:sz w:val="16"/>
                <w:szCs w:val="16"/>
                <w:color w:val="0000FF"/>
              </w:rPr>
            </w:pPr>
            <w:hyperlink r:id="rId230">
              <w:r>
                <w:rPr>
                  <w:rFonts w:ascii="Arial" w:cs="Arial" w:eastAsia="Arial" w:hAnsi="Arial"/>
                  <w:sz w:val="16"/>
                  <w:szCs w:val="16"/>
                  <w:color w:val="0000FF"/>
                </w:rPr>
                <w:t>LLC, as Lender, to the Amended and Restated Loan Agreement, dated as of June 3, 2004 (Incorporated by reference to Exhibit 10.37(c) to</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44"/>
          </w:tcPr>
          <w:p>
            <w:pPr>
              <w:spacing w:after="0" w:line="142" w:lineRule="exact"/>
              <w:rPr>
                <w:rFonts w:ascii="Arial" w:cs="Arial" w:eastAsia="Arial" w:hAnsi="Arial"/>
                <w:sz w:val="16"/>
                <w:szCs w:val="16"/>
                <w:color w:val="0000FF"/>
              </w:rPr>
            </w:pPr>
            <w:hyperlink r:id="rId230">
              <w:r>
                <w:rPr>
                  <w:rFonts w:ascii="Arial" w:cs="Arial" w:eastAsia="Arial" w:hAnsi="Arial"/>
                  <w:sz w:val="16"/>
                  <w:szCs w:val="16"/>
                  <w:color w:val="0000FF"/>
                </w:rPr>
                <w:t>the Company’s Annual Report on Form 10-K for the year ended December 31, 2013, dated February 20, 2014).</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52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10.36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bottom w:val="single" w:sz="8" w:color="0000FF"/>
            </w:tcBorders>
            <w:gridSpan w:val="26"/>
          </w:tcPr>
          <w:p>
            <w:pPr>
              <w:spacing w:after="0" w:line="169" w:lineRule="exact"/>
              <w:rPr>
                <w:rFonts w:ascii="Arial" w:cs="Arial" w:eastAsia="Arial" w:hAnsi="Arial"/>
                <w:sz w:val="16"/>
                <w:szCs w:val="16"/>
                <w:color w:val="0000FF"/>
              </w:rPr>
            </w:pPr>
            <w:hyperlink r:id="rId231">
              <w:r>
                <w:rPr>
                  <w:rFonts w:ascii="Arial" w:cs="Arial" w:eastAsia="Arial" w:hAnsi="Arial"/>
                  <w:sz w:val="16"/>
                  <w:szCs w:val="16"/>
                  <w:color w:val="0000FF"/>
                </w:rPr>
                <w:t>Second Amended and Restated Master Motor Vehicle Operating Lease Agreement, dated as of June 3, 2004, among AESOP Leasing</w:t>
              </w:r>
            </w:hyperlink>
          </w:p>
        </w:tc>
        <w:tc>
          <w:tcPr>
            <w:tcW w:w="440" w:type="dxa"/>
            <w:vAlign w:val="bottom"/>
            <w:tcBorders>
              <w:right w:val="single" w:sz="8" w:color="auto"/>
            </w:tcBorders>
            <w:gridSpan w:val="22"/>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8"/>
          </w:tcPr>
          <w:p>
            <w:pPr>
              <w:spacing w:after="0" w:line="142" w:lineRule="exact"/>
              <w:rPr>
                <w:rFonts w:ascii="Arial" w:cs="Arial" w:eastAsia="Arial" w:hAnsi="Arial"/>
                <w:sz w:val="16"/>
                <w:szCs w:val="16"/>
                <w:color w:val="0000FF"/>
              </w:rPr>
            </w:pPr>
            <w:hyperlink r:id="rId231">
              <w:r>
                <w:rPr>
                  <w:rFonts w:ascii="Arial" w:cs="Arial" w:eastAsia="Arial" w:hAnsi="Arial"/>
                  <w:sz w:val="16"/>
                  <w:szCs w:val="16"/>
                  <w:color w:val="0000FF"/>
                </w:rPr>
                <w:t>L.P., as Lessor, and Cendant Car Rental Group, Inc.**, as Lessee and as Administrator (Incorporated by reference to Exhibit 10.9 to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231">
              <w:r>
                <w:rPr>
                  <w:rFonts w:ascii="Arial" w:cs="Arial" w:eastAsia="Arial" w:hAnsi="Arial"/>
                  <w:sz w:val="16"/>
                  <w:szCs w:val="16"/>
                  <w:color w:val="0000FF"/>
                </w:rPr>
                <w:t>Company’s Quarterly Report on Form 10-Q for the quarterly period ended June 30, 2004, dated August 2, 2004).</w:t>
              </w:r>
            </w:hyperlink>
          </w:p>
        </w:tc>
        <w:tc>
          <w:tcPr>
            <w:tcW w:w="20" w:type="dxa"/>
            <w:vAlign w:val="bottom"/>
          </w:tcPr>
          <w:p>
            <w:pPr>
              <w:spacing w:after="0"/>
              <w:rPr>
                <w:sz w:val="12"/>
                <w:szCs w:val="12"/>
                <w:color w:val="auto"/>
              </w:rPr>
            </w:pPr>
          </w:p>
        </w:tc>
        <w:tc>
          <w:tcPr>
            <w:tcW w:w="2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52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10.37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bottom w:val="single" w:sz="8" w:color="0000FF"/>
            </w:tcBorders>
            <w:gridSpan w:val="33"/>
          </w:tcPr>
          <w:p>
            <w:pPr>
              <w:spacing w:after="0" w:line="169" w:lineRule="exact"/>
              <w:rPr>
                <w:rFonts w:ascii="Arial" w:cs="Arial" w:eastAsia="Arial" w:hAnsi="Arial"/>
                <w:sz w:val="16"/>
                <w:szCs w:val="16"/>
                <w:color w:val="0000FF"/>
              </w:rPr>
            </w:pPr>
            <w:hyperlink r:id="rId232">
              <w:r>
                <w:rPr>
                  <w:rFonts w:ascii="Arial" w:cs="Arial" w:eastAsia="Arial" w:hAnsi="Arial"/>
                  <w:sz w:val="16"/>
                  <w:szCs w:val="16"/>
                  <w:color w:val="0000FF"/>
                </w:rPr>
                <w:t>First Amendment, dated December 23, 2005, among AESOP Leasing L.P., as Lessor, and Cendant Car Rental Group, Inc.**, as Lessee</w:t>
              </w:r>
            </w:hyperlink>
          </w:p>
        </w:tc>
        <w:tc>
          <w:tcPr>
            <w:tcW w:w="320" w:type="dxa"/>
            <w:vAlign w:val="bottom"/>
            <w:tcBorders>
              <w:right w:val="single" w:sz="8" w:color="auto"/>
            </w:tcBorders>
            <w:gridSpan w:val="15"/>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8"/>
          </w:tcPr>
          <w:p>
            <w:pPr>
              <w:spacing w:after="0" w:line="142" w:lineRule="exact"/>
              <w:rPr>
                <w:rFonts w:ascii="Arial" w:cs="Arial" w:eastAsia="Arial" w:hAnsi="Arial"/>
                <w:sz w:val="16"/>
                <w:szCs w:val="16"/>
                <w:color w:val="0000FF"/>
              </w:rPr>
            </w:pPr>
            <w:hyperlink r:id="rId232">
              <w:r>
                <w:rPr>
                  <w:rFonts w:ascii="Arial" w:cs="Arial" w:eastAsia="Arial" w:hAnsi="Arial"/>
                  <w:sz w:val="16"/>
                  <w:szCs w:val="16"/>
                  <w:color w:val="0000FF"/>
                </w:rPr>
                <w:t>and as Administrator, to the Second Amended and Restated Master Motor Vehicle Operating Lease Agreement, dated as of June 3, 2004</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232">
              <w:r>
                <w:rPr>
                  <w:rFonts w:ascii="Arial" w:cs="Arial" w:eastAsia="Arial" w:hAnsi="Arial"/>
                  <w:sz w:val="16"/>
                  <w:szCs w:val="16"/>
                  <w:color w:val="0000FF"/>
                </w:rPr>
                <w:t>(Incorporated by reference to Exhibit 10.3 to the Company’s Current Report on Form 8-K dated January 20, 2006).</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52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10.38</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8"/>
          </w:tcPr>
          <w:p>
            <w:pPr>
              <w:spacing w:after="0" w:line="169" w:lineRule="exact"/>
              <w:rPr>
                <w:rFonts w:ascii="Arial" w:cs="Arial" w:eastAsia="Arial" w:hAnsi="Arial"/>
                <w:sz w:val="16"/>
                <w:szCs w:val="16"/>
                <w:color w:val="0000FF"/>
              </w:rPr>
            </w:pPr>
            <w:hyperlink r:id="rId233">
              <w:r>
                <w:rPr>
                  <w:rFonts w:ascii="Arial" w:cs="Arial" w:eastAsia="Arial" w:hAnsi="Arial"/>
                  <w:sz w:val="16"/>
                  <w:szCs w:val="16"/>
                  <w:color w:val="0000FF"/>
                </w:rPr>
                <w:t>Third Amendment, dated as of May 9, 2007, among AESOP Leasing L.P., as Lessor and Avis Budget Car Rental, LLC, as Lessee and as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bottom w:val="single" w:sz="8" w:color="0000FF"/>
            </w:tcBorders>
            <w:gridSpan w:val="24"/>
          </w:tcPr>
          <w:p>
            <w:pPr>
              <w:spacing w:after="0" w:line="142" w:lineRule="exact"/>
              <w:rPr>
                <w:rFonts w:ascii="Arial" w:cs="Arial" w:eastAsia="Arial" w:hAnsi="Arial"/>
                <w:sz w:val="16"/>
                <w:szCs w:val="16"/>
                <w:color w:val="0000FF"/>
              </w:rPr>
            </w:pPr>
            <w:hyperlink r:id="rId233">
              <w:r>
                <w:rPr>
                  <w:rFonts w:ascii="Arial" w:cs="Arial" w:eastAsia="Arial" w:hAnsi="Arial"/>
                  <w:sz w:val="16"/>
                  <w:szCs w:val="16"/>
                  <w:color w:val="0000FF"/>
                </w:rPr>
                <w:t>the Administrator, to the Second Amended and Restated Master Motor Vehicle Operating Lease Agreement, dated as of June 3, 2004</w:t>
              </w:r>
            </w:hyperlink>
          </w:p>
        </w:tc>
        <w:tc>
          <w:tcPr>
            <w:tcW w:w="220" w:type="dxa"/>
            <w:vAlign w:val="bottom"/>
            <w:tcBorders>
              <w:top w:val="single" w:sz="8" w:color="0000FF"/>
            </w:tcBorders>
            <w:gridSpan w:val="11"/>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8"/>
          </w:tcPr>
          <w:p>
            <w:pPr>
              <w:spacing w:after="0" w:line="142" w:lineRule="exact"/>
              <w:rPr>
                <w:rFonts w:ascii="Arial" w:cs="Arial" w:eastAsia="Arial" w:hAnsi="Arial"/>
                <w:sz w:val="16"/>
                <w:szCs w:val="16"/>
                <w:color w:val="0000FF"/>
              </w:rPr>
            </w:pPr>
            <w:hyperlink r:id="rId233">
              <w:r>
                <w:rPr>
                  <w:rFonts w:ascii="Arial" w:cs="Arial" w:eastAsia="Arial" w:hAnsi="Arial"/>
                  <w:sz w:val="16"/>
                  <w:szCs w:val="16"/>
                  <w:color w:val="0000FF"/>
                </w:rPr>
                <w:t>(Incorporated by reference to Exhibit 10.9 to the Company’s Quarterly Report on Form 10-Q for the quarterly period ended June 30, 2007,</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41"/>
          </w:tcPr>
          <w:p>
            <w:pPr>
              <w:spacing w:after="0" w:line="142" w:lineRule="exact"/>
              <w:rPr>
                <w:rFonts w:ascii="Arial" w:cs="Arial" w:eastAsia="Arial" w:hAnsi="Arial"/>
                <w:sz w:val="16"/>
                <w:szCs w:val="16"/>
                <w:color w:val="0000FF"/>
              </w:rPr>
            </w:pPr>
            <w:hyperlink r:id="rId233">
              <w:r>
                <w:rPr>
                  <w:rFonts w:ascii="Arial" w:cs="Arial" w:eastAsia="Arial" w:hAnsi="Arial"/>
                  <w:sz w:val="16"/>
                  <w:szCs w:val="16"/>
                  <w:color w:val="0000FF"/>
                </w:rPr>
                <w:t>dated August 8, 2007).</w:t>
              </w:r>
            </w:hyperlink>
          </w:p>
        </w:tc>
        <w:tc>
          <w:tcPr>
            <w:tcW w:w="2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10.39</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8"/>
          </w:tcPr>
          <w:p>
            <w:pPr>
              <w:spacing w:after="0" w:line="169" w:lineRule="exact"/>
              <w:rPr>
                <w:rFonts w:ascii="Arial" w:cs="Arial" w:eastAsia="Arial" w:hAnsi="Arial"/>
                <w:sz w:val="16"/>
                <w:szCs w:val="16"/>
                <w:color w:val="0000FF"/>
              </w:rPr>
            </w:pPr>
            <w:hyperlink r:id="rId234">
              <w:r>
                <w:rPr>
                  <w:rFonts w:ascii="Arial" w:cs="Arial" w:eastAsia="Arial" w:hAnsi="Arial"/>
                  <w:sz w:val="16"/>
                  <w:szCs w:val="16"/>
                  <w:color w:val="0000FF"/>
                </w:rPr>
                <w:t>Fourth Amendment, dated as of August 16, 2013, among AESOP Leasing L.P., as Lessor and Avis Budget Car Rental, LLC, as Lessee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bottom w:val="single" w:sz="8" w:color="0000FF"/>
            </w:tcBorders>
            <w:gridSpan w:val="27"/>
          </w:tcPr>
          <w:p>
            <w:pPr>
              <w:spacing w:after="0" w:line="142" w:lineRule="exact"/>
              <w:rPr>
                <w:rFonts w:ascii="Arial" w:cs="Arial" w:eastAsia="Arial" w:hAnsi="Arial"/>
                <w:sz w:val="16"/>
                <w:szCs w:val="16"/>
                <w:color w:val="0000FF"/>
              </w:rPr>
            </w:pPr>
            <w:hyperlink r:id="rId234">
              <w:r>
                <w:rPr>
                  <w:rFonts w:ascii="Arial" w:cs="Arial" w:eastAsia="Arial" w:hAnsi="Arial"/>
                  <w:sz w:val="16"/>
                  <w:szCs w:val="16"/>
                  <w:color w:val="0000FF"/>
                </w:rPr>
                <w:t>and as the Administrator, to the Second Amended and Restated Master Motor Vehicle Operating Lease Agreement, dated as of June 3,</w:t>
              </w:r>
            </w:hyperlink>
          </w:p>
        </w:tc>
        <w:tc>
          <w:tcPr>
            <w:tcW w:w="60" w:type="dxa"/>
            <w:vAlign w:val="bottom"/>
            <w:tcBorders>
              <w:bottom w:val="single" w:sz="8" w:color="0000FF"/>
            </w:tcBorders>
            <w:gridSpan w:val="3"/>
          </w:tcPr>
          <w:p>
            <w:pPr>
              <w:spacing w:after="0"/>
              <w:rPr>
                <w:sz w:val="12"/>
                <w:szCs w:val="12"/>
                <w:color w:val="auto"/>
              </w:rPr>
            </w:pPr>
          </w:p>
        </w:tc>
        <w:tc>
          <w:tcPr>
            <w:tcW w:w="6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6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8"/>
          </w:tcPr>
          <w:p>
            <w:pPr>
              <w:spacing w:after="0" w:line="142" w:lineRule="exact"/>
              <w:rPr>
                <w:rFonts w:ascii="Arial" w:cs="Arial" w:eastAsia="Arial" w:hAnsi="Arial"/>
                <w:sz w:val="16"/>
                <w:szCs w:val="16"/>
                <w:color w:val="0000FF"/>
              </w:rPr>
            </w:pPr>
            <w:hyperlink r:id="rId234">
              <w:r>
                <w:rPr>
                  <w:rFonts w:ascii="Arial" w:cs="Arial" w:eastAsia="Arial" w:hAnsi="Arial"/>
                  <w:sz w:val="16"/>
                  <w:szCs w:val="16"/>
                  <w:color w:val="0000FF"/>
                </w:rPr>
                <w:t>2004 (Incorporated by reference to Exhibit 10.38(c) to the Company’s Annual Report on Form 10-K for the year ended December 31, 2013,</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45"/>
          </w:tcPr>
          <w:p>
            <w:pPr>
              <w:spacing w:after="0" w:line="142" w:lineRule="exact"/>
              <w:rPr>
                <w:rFonts w:ascii="Arial" w:cs="Arial" w:eastAsia="Arial" w:hAnsi="Arial"/>
                <w:sz w:val="16"/>
                <w:szCs w:val="16"/>
                <w:color w:val="0000FF"/>
              </w:rPr>
            </w:pPr>
            <w:hyperlink r:id="rId234">
              <w:r>
                <w:rPr>
                  <w:rFonts w:ascii="Arial" w:cs="Arial" w:eastAsia="Arial" w:hAnsi="Arial"/>
                  <w:sz w:val="16"/>
                  <w:szCs w:val="16"/>
                  <w:color w:val="0000FF"/>
                </w:rPr>
                <w:t>dated February 20, 2014).</w:t>
              </w:r>
            </w:hyperlink>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10.40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460" w:type="dxa"/>
            <w:vAlign w:val="bottom"/>
            <w:tcBorders>
              <w:bottom w:val="single" w:sz="8" w:color="0000FF"/>
            </w:tcBorders>
            <w:gridSpan w:val="21"/>
          </w:tcPr>
          <w:p>
            <w:pPr>
              <w:spacing w:after="0" w:line="169" w:lineRule="exact"/>
              <w:rPr>
                <w:rFonts w:ascii="Arial" w:cs="Arial" w:eastAsia="Arial" w:hAnsi="Arial"/>
                <w:sz w:val="16"/>
                <w:szCs w:val="16"/>
                <w:color w:val="0000FF"/>
              </w:rPr>
            </w:pPr>
            <w:hyperlink r:id="rId235">
              <w:r>
                <w:rPr>
                  <w:rFonts w:ascii="Arial" w:cs="Arial" w:eastAsia="Arial" w:hAnsi="Arial"/>
                  <w:sz w:val="16"/>
                  <w:szCs w:val="16"/>
                  <w:color w:val="0000FF"/>
                </w:rPr>
                <w:t>Amended and Restated Master Motor Vehicle Finance Lease Agreement, dated as of June 3, 2004, among AESOP Leasing L.P., as</w:t>
              </w:r>
            </w:hyperlink>
          </w:p>
        </w:tc>
        <w:tc>
          <w:tcPr>
            <w:tcW w:w="600" w:type="dxa"/>
            <w:vAlign w:val="bottom"/>
            <w:tcBorders>
              <w:right w:val="single" w:sz="8" w:color="auto"/>
            </w:tcBorders>
            <w:gridSpan w:val="27"/>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8"/>
          </w:tcPr>
          <w:p>
            <w:pPr>
              <w:spacing w:after="0" w:line="142" w:lineRule="exact"/>
              <w:rPr>
                <w:rFonts w:ascii="Arial" w:cs="Arial" w:eastAsia="Arial" w:hAnsi="Arial"/>
                <w:sz w:val="16"/>
                <w:szCs w:val="16"/>
                <w:color w:val="0000FF"/>
              </w:rPr>
            </w:pPr>
            <w:hyperlink r:id="rId235">
              <w:r>
                <w:rPr>
                  <w:rFonts w:ascii="Arial" w:cs="Arial" w:eastAsia="Arial" w:hAnsi="Arial"/>
                  <w:sz w:val="16"/>
                  <w:szCs w:val="16"/>
                  <w:color w:val="0000FF"/>
                </w:rPr>
                <w:t>Lessor, Cendant Car Rental Group, Inc.**, as Lessee, as Administrator and as Finance Lease Guarantor, Avis Rent A Car System, Inc.****,</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bottom w:val="single" w:sz="8" w:color="0000FF"/>
            </w:tcBorders>
            <w:gridSpan w:val="43"/>
          </w:tcPr>
          <w:p>
            <w:pPr>
              <w:spacing w:after="0" w:line="142" w:lineRule="exact"/>
              <w:rPr>
                <w:rFonts w:ascii="Arial" w:cs="Arial" w:eastAsia="Arial" w:hAnsi="Arial"/>
                <w:sz w:val="16"/>
                <w:szCs w:val="16"/>
                <w:color w:val="0000FF"/>
              </w:rPr>
            </w:pPr>
            <w:hyperlink r:id="rId235">
              <w:r>
                <w:rPr>
                  <w:rFonts w:ascii="Arial" w:cs="Arial" w:eastAsia="Arial" w:hAnsi="Arial"/>
                  <w:sz w:val="16"/>
                  <w:szCs w:val="16"/>
                  <w:color w:val="0000FF"/>
                </w:rPr>
                <w:t>as Lessee, and Budget Rent A Car System, Inc., as Lessee (Incorporated by reference to Exhibit 10.30(a) to the Company’s Annual Report</w:t>
              </w:r>
            </w:hyperlink>
          </w:p>
        </w:tc>
        <w:tc>
          <w:tcPr>
            <w:tcW w:w="80" w:type="dxa"/>
            <w:vAlign w:val="bottom"/>
            <w:tcBorders>
              <w:bottom w:val="single" w:sz="8" w:color="0000FF"/>
            </w:tcBorders>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gridSpan w:val="47"/>
          </w:tcPr>
          <w:p>
            <w:pPr>
              <w:spacing w:after="0" w:line="142" w:lineRule="exact"/>
              <w:rPr>
                <w:rFonts w:ascii="Arial" w:cs="Arial" w:eastAsia="Arial" w:hAnsi="Arial"/>
                <w:sz w:val="16"/>
                <w:szCs w:val="16"/>
                <w:color w:val="0000FF"/>
              </w:rPr>
            </w:pPr>
            <w:hyperlink r:id="rId235">
              <w:r>
                <w:rPr>
                  <w:rFonts w:ascii="Arial" w:cs="Arial" w:eastAsia="Arial" w:hAnsi="Arial"/>
                  <w:sz w:val="16"/>
                  <w:szCs w:val="16"/>
                  <w:color w:val="0000FF"/>
                </w:rPr>
                <w:t>on Form 10-K for the year ended December 31, 2006, dated March 1, 2007).</w:t>
              </w:r>
            </w:hyperlink>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52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10.41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8"/>
          </w:tcPr>
          <w:p>
            <w:pPr>
              <w:spacing w:after="0" w:line="169" w:lineRule="exact"/>
              <w:rPr>
                <w:rFonts w:ascii="Arial" w:cs="Arial" w:eastAsia="Arial" w:hAnsi="Arial"/>
                <w:sz w:val="16"/>
                <w:szCs w:val="16"/>
                <w:color w:val="0000FF"/>
              </w:rPr>
            </w:pPr>
            <w:hyperlink r:id="rId236">
              <w:r>
                <w:rPr>
                  <w:rFonts w:ascii="Arial" w:cs="Arial" w:eastAsia="Arial" w:hAnsi="Arial"/>
                  <w:sz w:val="16"/>
                  <w:szCs w:val="16"/>
                  <w:color w:val="0000FF"/>
                </w:rPr>
                <w:t>First Amendment, dated as of December 23, 2005, among AESOP Leasing L.P., as Lessor, Cendant Car Rental Group, Inc.**, as Lessee,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39"/>
          </w:tcPr>
          <w:p>
            <w:pPr>
              <w:spacing w:after="0" w:line="142" w:lineRule="exact"/>
              <w:rPr>
                <w:rFonts w:ascii="Arial" w:cs="Arial" w:eastAsia="Arial" w:hAnsi="Arial"/>
                <w:sz w:val="16"/>
                <w:szCs w:val="16"/>
                <w:color w:val="0000FF"/>
              </w:rPr>
            </w:pPr>
            <w:hyperlink r:id="rId236">
              <w:r>
                <w:rPr>
                  <w:rFonts w:ascii="Arial" w:cs="Arial" w:eastAsia="Arial" w:hAnsi="Arial"/>
                  <w:sz w:val="16"/>
                  <w:szCs w:val="16"/>
                  <w:color w:val="0000FF"/>
                </w:rPr>
                <w:t>as Administrator and as Finance Lease Guarantor, Avis Rent A Car System, Inc.****, as Lessee, and Budget Rent A Car System, Inc., as</w:t>
              </w:r>
            </w:hyperlink>
          </w:p>
        </w:tc>
        <w:tc>
          <w:tcPr>
            <w:tcW w:w="60" w:type="dxa"/>
            <w:vAlign w:val="bottom"/>
            <w:gridSpan w:val="4"/>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80" w:type="dxa"/>
            <w:vAlign w:val="bottom"/>
            <w:tcBorders>
              <w:top w:val="single" w:sz="8" w:color="0000FF"/>
              <w:bottom w:val="single" w:sz="8" w:color="0000FF"/>
            </w:tcBorders>
            <w:gridSpan w:val="18"/>
          </w:tcPr>
          <w:p>
            <w:pPr>
              <w:spacing w:after="0" w:line="142" w:lineRule="exact"/>
              <w:rPr>
                <w:rFonts w:ascii="Arial" w:cs="Arial" w:eastAsia="Arial" w:hAnsi="Arial"/>
                <w:sz w:val="16"/>
                <w:szCs w:val="16"/>
                <w:color w:val="0000FF"/>
              </w:rPr>
            </w:pPr>
            <w:hyperlink r:id="rId236">
              <w:r>
                <w:rPr>
                  <w:rFonts w:ascii="Arial" w:cs="Arial" w:eastAsia="Arial" w:hAnsi="Arial"/>
                  <w:sz w:val="16"/>
                  <w:szCs w:val="16"/>
                  <w:color w:val="0000FF"/>
                </w:rPr>
                <w:t>Lessee, to the Amended and Restated Master Motor Vehicle Finance Lease Agreement, dated as of June 3, 2004 (Incorporated by</w:t>
              </w:r>
            </w:hyperlink>
          </w:p>
        </w:tc>
        <w:tc>
          <w:tcPr>
            <w:tcW w:w="400" w:type="dxa"/>
            <w:vAlign w:val="bottom"/>
            <w:tcBorders>
              <w:top w:val="single" w:sz="8" w:color="0000FF"/>
            </w:tcBorders>
            <w:gridSpan w:val="16"/>
          </w:tcPr>
          <w:p>
            <w:pPr>
              <w:spacing w:after="0"/>
              <w:rPr>
                <w:sz w:val="12"/>
                <w:szCs w:val="12"/>
                <w:color w:val="auto"/>
              </w:rPr>
            </w:pPr>
          </w:p>
        </w:tc>
        <w:tc>
          <w:tcPr>
            <w:tcW w:w="160" w:type="dxa"/>
            <w:vAlign w:val="bottom"/>
            <w:gridSpan w:val="9"/>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8"/>
          </w:tcPr>
          <w:p>
            <w:pPr>
              <w:spacing w:after="0" w:line="142" w:lineRule="exact"/>
              <w:rPr>
                <w:rFonts w:ascii="Arial" w:cs="Arial" w:eastAsia="Arial" w:hAnsi="Arial"/>
                <w:sz w:val="16"/>
                <w:szCs w:val="16"/>
                <w:color w:val="0000FF"/>
              </w:rPr>
            </w:pPr>
            <w:hyperlink r:id="rId236">
              <w:r>
                <w:rPr>
                  <w:rFonts w:ascii="Arial" w:cs="Arial" w:eastAsia="Arial" w:hAnsi="Arial"/>
                  <w:sz w:val="16"/>
                  <w:szCs w:val="16"/>
                  <w:color w:val="0000FF"/>
                </w:rPr>
                <w:t>reference to Exhibit 10.30(b) to the Company’s Annual Report on Form 10-K for the year ended December 31, 2006, dated March 1, 2007).</w:t>
              </w:r>
            </w:hyperlink>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52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294967277"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10.42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260" w:type="dxa"/>
            <w:vAlign w:val="bottom"/>
            <w:tcBorders>
              <w:bottom w:val="single" w:sz="8" w:color="0000FF"/>
            </w:tcBorders>
            <w:gridSpan w:val="15"/>
          </w:tcPr>
          <w:p>
            <w:pPr>
              <w:spacing w:after="0" w:line="169" w:lineRule="exact"/>
              <w:rPr>
                <w:rFonts w:ascii="Arial" w:cs="Arial" w:eastAsia="Arial" w:hAnsi="Arial"/>
                <w:sz w:val="16"/>
                <w:szCs w:val="16"/>
                <w:color w:val="0000FF"/>
              </w:rPr>
            </w:pPr>
            <w:hyperlink r:id="rId237">
              <w:r>
                <w:rPr>
                  <w:rFonts w:ascii="Arial" w:cs="Arial" w:eastAsia="Arial" w:hAnsi="Arial"/>
                  <w:sz w:val="16"/>
                  <w:szCs w:val="16"/>
                  <w:color w:val="0000FF"/>
                </w:rPr>
                <w:t>Third Amendment, dated as of May 9, 2007, among AESOP Leasing L.P., as Lessor, Avis Budget Car Rental, LLC, as Lessee, as</w:t>
              </w:r>
            </w:hyperlink>
          </w:p>
        </w:tc>
        <w:tc>
          <w:tcPr>
            <w:tcW w:w="800" w:type="dxa"/>
            <w:vAlign w:val="bottom"/>
            <w:tcBorders>
              <w:right w:val="single" w:sz="8" w:color="auto"/>
            </w:tcBorders>
            <w:gridSpan w:val="33"/>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8"/>
          </w:tcPr>
          <w:p>
            <w:pPr>
              <w:spacing w:after="0" w:line="142" w:lineRule="exact"/>
              <w:rPr>
                <w:rFonts w:ascii="Arial" w:cs="Arial" w:eastAsia="Arial" w:hAnsi="Arial"/>
                <w:sz w:val="16"/>
                <w:szCs w:val="16"/>
                <w:color w:val="0000FF"/>
              </w:rPr>
            </w:pPr>
            <w:hyperlink r:id="rId237">
              <w:r>
                <w:rPr>
                  <w:rFonts w:ascii="Arial" w:cs="Arial" w:eastAsia="Arial" w:hAnsi="Arial"/>
                  <w:sz w:val="16"/>
                  <w:szCs w:val="16"/>
                  <w:color w:val="0000FF"/>
                </w:rPr>
                <w:t>Administrator and as Finance Lease Guarantor, Avis Rent A Car System, LLC, as Lessee, and Budget Rent A Car System, Inc., as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6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rPr>
            </w:pPr>
            <w:hyperlink r:id="rId237">
              <w:r>
                <w:rPr>
                  <w:rFonts w:ascii="Arial" w:cs="Arial" w:eastAsia="Arial" w:hAnsi="Arial"/>
                  <w:sz w:val="16"/>
                  <w:szCs w:val="16"/>
                  <w:color w:val="0000FF"/>
                </w:rPr>
                <w:t>Lessee, to the Amended and Restated Master Motor Vehicle Finance Lease Agreement, dated as of June 3, 2004 (Incorporated by</w:t>
              </w:r>
            </w:hyperlink>
          </w:p>
        </w:tc>
        <w:tc>
          <w:tcPr>
            <w:tcW w:w="20" w:type="dxa"/>
            <w:vAlign w:val="bottom"/>
            <w:tcBorders>
              <w:bottom w:val="single" w:sz="8" w:color="0000FF"/>
            </w:tcBorders>
          </w:tcPr>
          <w:p>
            <w:pPr>
              <w:spacing w:after="0"/>
              <w:rPr>
                <w:sz w:val="12"/>
                <w:szCs w:val="12"/>
                <w:color w:val="auto"/>
              </w:rPr>
            </w:pPr>
          </w:p>
        </w:tc>
        <w:tc>
          <w:tcPr>
            <w:tcW w:w="560" w:type="dxa"/>
            <w:vAlign w:val="bottom"/>
            <w:gridSpan w:val="25"/>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8"/>
          </w:tcPr>
          <w:p>
            <w:pPr>
              <w:spacing w:after="0" w:line="142" w:lineRule="exact"/>
              <w:rPr>
                <w:rFonts w:ascii="Arial" w:cs="Arial" w:eastAsia="Arial" w:hAnsi="Arial"/>
                <w:sz w:val="16"/>
                <w:szCs w:val="16"/>
                <w:color w:val="0000FF"/>
              </w:rPr>
            </w:pPr>
            <w:hyperlink r:id="rId237">
              <w:r>
                <w:rPr>
                  <w:rFonts w:ascii="Arial" w:cs="Arial" w:eastAsia="Arial" w:hAnsi="Arial"/>
                  <w:sz w:val="16"/>
                  <w:szCs w:val="16"/>
                  <w:color w:val="0000FF"/>
                </w:rPr>
                <w:t>reference to Exhibit 10.11 to the Company’s Quarterly Report on Form 10-Q for the quarterly period ended June 30, 2007, dated August 8,</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6"/>
              </w:rPr>
            </w:pPr>
            <w:hyperlink r:id="rId237">
              <w:r>
                <w:rPr>
                  <w:rFonts w:ascii="Arial" w:cs="Arial" w:eastAsia="Arial" w:hAnsi="Arial"/>
                  <w:sz w:val="16"/>
                  <w:szCs w:val="16"/>
                  <w:color w:val="0000FF"/>
                  <w:w w:val="96"/>
                </w:rPr>
                <w:t>2007).</w:t>
              </w:r>
            </w:hyperlink>
          </w:p>
        </w:tc>
        <w:tc>
          <w:tcPr>
            <w:tcW w:w="11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52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294967277"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140" w:type="dxa"/>
            <w:vAlign w:val="bottom"/>
            <w:tcBorders>
              <w:top w:val="single" w:sz="8" w:color="auto"/>
              <w:left w:val="single" w:sz="8" w:color="auto"/>
              <w:right w:val="single" w:sz="8" w:color="auto"/>
            </w:tcBorders>
          </w:tcPr>
          <w:p>
            <w:pPr>
              <w:jc w:val="right"/>
              <w:ind w:right="619"/>
              <w:spacing w:after="0"/>
              <w:rPr>
                <w:sz w:val="20"/>
                <w:szCs w:val="20"/>
                <w:color w:val="auto"/>
              </w:rPr>
            </w:pPr>
            <w:r>
              <w:rPr>
                <w:rFonts w:ascii="Arial" w:cs="Arial" w:eastAsia="Arial" w:hAnsi="Arial"/>
                <w:sz w:val="16"/>
                <w:szCs w:val="16"/>
                <w:color w:val="auto"/>
              </w:rPr>
              <w:t>10.43</w:t>
            </w:r>
          </w:p>
        </w:tc>
        <w:tc>
          <w:tcPr>
            <w:tcW w:w="100" w:type="dxa"/>
            <w:vAlign w:val="bottom"/>
            <w:tcBorders>
              <w:top w:val="single" w:sz="8" w:color="auto"/>
              <w:righ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60" w:type="dxa"/>
            <w:vAlign w:val="bottom"/>
            <w:tcBorders>
              <w:top w:val="single" w:sz="8" w:color="auto"/>
              <w:right w:val="single" w:sz="8" w:color="auto"/>
            </w:tcBorders>
            <w:gridSpan w:val="43"/>
          </w:tcPr>
          <w:p>
            <w:pPr>
              <w:spacing w:after="0"/>
              <w:rPr>
                <w:rFonts w:ascii="Arial" w:cs="Arial" w:eastAsia="Arial" w:hAnsi="Arial"/>
                <w:sz w:val="16"/>
                <w:szCs w:val="16"/>
                <w:color w:val="0000FF"/>
              </w:rPr>
            </w:pPr>
            <w:hyperlink r:id="rId239">
              <w:r>
                <w:rPr>
                  <w:rFonts w:ascii="Arial" w:cs="Arial" w:eastAsia="Arial" w:hAnsi="Arial"/>
                  <w:sz w:val="16"/>
                  <w:szCs w:val="16"/>
                  <w:color w:val="0000FF"/>
                </w:rPr>
                <w:t>Fourth Amendment, dated as of August 16, 2013, among AESOP Leasing L.P., as Lessor, Avis Budget Car Rental, LLC, as Lessee, as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239">
              <w:r>
                <w:rPr>
                  <w:rFonts w:ascii="Arial" w:cs="Arial" w:eastAsia="Arial" w:hAnsi="Arial"/>
                  <w:sz w:val="16"/>
                  <w:szCs w:val="16"/>
                  <w:color w:val="0000FF"/>
                </w:rPr>
                <w:t>Administrator and as Finance Lease Guarantor, Avis Rent A Car System, LLC, as Lessee, and Budget Rent A Car System, Inc., as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6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rPr>
            </w:pPr>
            <w:hyperlink r:id="rId239">
              <w:r>
                <w:rPr>
                  <w:rFonts w:ascii="Arial" w:cs="Arial" w:eastAsia="Arial" w:hAnsi="Arial"/>
                  <w:sz w:val="16"/>
                  <w:szCs w:val="16"/>
                  <w:color w:val="0000FF"/>
                </w:rPr>
                <w:t>Lessee, to the Amended and Restated Master Motor Vehicle Finance Lease Agreement, dated as of June 3, 2004 (Incorporated by</w:t>
              </w:r>
            </w:hyperlink>
          </w:p>
        </w:tc>
        <w:tc>
          <w:tcPr>
            <w:tcW w:w="20" w:type="dxa"/>
            <w:vAlign w:val="bottom"/>
            <w:tcBorders>
              <w:bottom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80" w:type="dxa"/>
            <w:vAlign w:val="bottom"/>
            <w:tcBorders>
              <w:bottom w:val="single" w:sz="8" w:color="0000FF"/>
            </w:tcBorders>
            <w:gridSpan w:val="15"/>
          </w:tcPr>
          <w:p>
            <w:pPr>
              <w:spacing w:after="0" w:line="142" w:lineRule="exact"/>
              <w:rPr>
                <w:rFonts w:ascii="Arial" w:cs="Arial" w:eastAsia="Arial" w:hAnsi="Arial"/>
                <w:sz w:val="16"/>
                <w:szCs w:val="16"/>
                <w:color w:val="0000FF"/>
              </w:rPr>
            </w:pPr>
            <w:hyperlink r:id="rId239">
              <w:r>
                <w:rPr>
                  <w:rFonts w:ascii="Arial" w:cs="Arial" w:eastAsia="Arial" w:hAnsi="Arial"/>
                  <w:sz w:val="16"/>
                  <w:szCs w:val="16"/>
                  <w:color w:val="0000FF"/>
                </w:rPr>
                <w:t>reference to Exhibit 10.39(c) to the Company’s Annual Report on Form 10-K for the year ended December 31, 2013, dated February</w:t>
              </w:r>
            </w:hyperlink>
          </w:p>
        </w:tc>
        <w:tc>
          <w:tcPr>
            <w:tcW w:w="360" w:type="dxa"/>
            <w:vAlign w:val="bottom"/>
            <w:tcBorders>
              <w:bottom w:val="single" w:sz="8" w:color="0000FF"/>
            </w:tcBorders>
            <w:gridSpan w:val="13"/>
          </w:tcPr>
          <w:p>
            <w:pPr>
              <w:jc w:val="right"/>
              <w:spacing w:after="0" w:line="142" w:lineRule="exact"/>
              <w:rPr>
                <w:rFonts w:ascii="Arial" w:cs="Arial" w:eastAsia="Arial" w:hAnsi="Arial"/>
                <w:sz w:val="16"/>
                <w:szCs w:val="16"/>
                <w:color w:val="0000FF"/>
              </w:rPr>
            </w:pPr>
            <w:hyperlink r:id="rId239">
              <w:r>
                <w:rPr>
                  <w:rFonts w:ascii="Arial" w:cs="Arial" w:eastAsia="Arial" w:hAnsi="Arial"/>
                  <w:sz w:val="16"/>
                  <w:szCs w:val="16"/>
                  <w:color w:val="0000FF"/>
                </w:rPr>
                <w:t>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bottom w:val="single" w:sz="8" w:color="0000FF"/>
            </w:tcBorders>
          </w:tcPr>
          <w:p>
            <w:pPr>
              <w:spacing w:after="0" w:line="142" w:lineRule="exact"/>
              <w:rPr>
                <w:rFonts w:ascii="Arial" w:cs="Arial" w:eastAsia="Arial" w:hAnsi="Arial"/>
                <w:sz w:val="16"/>
                <w:szCs w:val="16"/>
                <w:color w:val="0000FF"/>
                <w:w w:val="96"/>
              </w:rPr>
            </w:pPr>
            <w:hyperlink r:id="rId239">
              <w:r>
                <w:rPr>
                  <w:rFonts w:ascii="Arial" w:cs="Arial" w:eastAsia="Arial" w:hAnsi="Arial"/>
                  <w:sz w:val="16"/>
                  <w:szCs w:val="16"/>
                  <w:color w:val="0000FF"/>
                  <w:w w:val="96"/>
                </w:rPr>
                <w:t>2014).</w:t>
              </w:r>
            </w:hyperlink>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10.44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3"/>
          </w:tcPr>
          <w:p>
            <w:pPr>
              <w:spacing w:after="0" w:line="169" w:lineRule="exact"/>
              <w:rPr>
                <w:rFonts w:ascii="Arial" w:cs="Arial" w:eastAsia="Arial" w:hAnsi="Arial"/>
                <w:sz w:val="16"/>
                <w:szCs w:val="16"/>
                <w:color w:val="0000FF"/>
              </w:rPr>
            </w:pPr>
            <w:hyperlink r:id="rId240">
              <w:r>
                <w:rPr>
                  <w:rFonts w:ascii="Arial" w:cs="Arial" w:eastAsia="Arial" w:hAnsi="Arial"/>
                  <w:sz w:val="16"/>
                  <w:szCs w:val="16"/>
                  <w:color w:val="0000FF"/>
                </w:rPr>
                <w:t>AESOP I Operating Sublease Agreement dated as of March 26, 2013 between Zipcar, Inc., as Sublessee and Avis Budget Car Rental,</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40">
              <w:r>
                <w:rPr>
                  <w:rFonts w:ascii="Arial" w:cs="Arial" w:eastAsia="Arial" w:hAnsi="Arial"/>
                  <w:sz w:val="16"/>
                  <w:szCs w:val="16"/>
                  <w:color w:val="0000FF"/>
                </w:rPr>
                <w:t>LLC, as Sublessor (Incorporated by reference to Exhibit 10.1 to the Company’s Quarterly Report on Form 10-Q for the quarterly period</w:t>
              </w:r>
            </w:hyperlink>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240">
              <w:r>
                <w:rPr>
                  <w:rFonts w:ascii="Arial" w:cs="Arial" w:eastAsia="Arial" w:hAnsi="Arial"/>
                  <w:sz w:val="16"/>
                  <w:szCs w:val="16"/>
                  <w:color w:val="0000FF"/>
                </w:rPr>
                <w:t>ended March 31, 2013 dated May 8, 2013).</w:t>
              </w:r>
            </w:hyperlink>
          </w:p>
        </w:tc>
        <w:tc>
          <w:tcPr>
            <w:tcW w:w="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4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10.45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3"/>
          </w:tcPr>
          <w:p>
            <w:pPr>
              <w:spacing w:after="0" w:line="169" w:lineRule="exact"/>
              <w:rPr>
                <w:rFonts w:ascii="Arial" w:cs="Arial" w:eastAsia="Arial" w:hAnsi="Arial"/>
                <w:sz w:val="16"/>
                <w:szCs w:val="16"/>
                <w:color w:val="0000FF"/>
              </w:rPr>
            </w:pPr>
            <w:hyperlink r:id="rId241">
              <w:r>
                <w:rPr>
                  <w:rFonts w:ascii="Arial" w:cs="Arial" w:eastAsia="Arial" w:hAnsi="Arial"/>
                  <w:sz w:val="16"/>
                  <w:szCs w:val="16"/>
                  <w:color w:val="0000FF"/>
                </w:rPr>
                <w:t>Second Amended and Restated Administration Agreement, dated as of June 3, 2004, among Cendant Rental Car Funding (AESOP)</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8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241">
              <w:r>
                <w:rPr>
                  <w:rFonts w:ascii="Arial" w:cs="Arial" w:eastAsia="Arial" w:hAnsi="Arial"/>
                  <w:sz w:val="16"/>
                  <w:szCs w:val="16"/>
                  <w:color w:val="0000FF"/>
                </w:rPr>
                <w:t>LLC***, AESOP Leasing L.P., AESOP Leasing Corp. II, Avis Rent A Car System, Inc.****, Budget Rent A Car System, Inc., Cendant</w:t>
              </w:r>
            </w:hyperlink>
          </w:p>
        </w:tc>
        <w:tc>
          <w:tcPr>
            <w:tcW w:w="580" w:type="dxa"/>
            <w:vAlign w:val="bottom"/>
            <w:tcBorders>
              <w:right w:val="single" w:sz="8" w:color="auto"/>
            </w:tcBorders>
            <w:gridSpan w:val="27"/>
          </w:tcPr>
          <w:p>
            <w:pPr>
              <w:spacing w:after="0" w:line="142" w:lineRule="exact"/>
              <w:rPr>
                <w:rFonts w:ascii="Arial" w:cs="Arial" w:eastAsia="Arial" w:hAnsi="Arial"/>
                <w:sz w:val="16"/>
                <w:szCs w:val="16"/>
                <w:color w:val="0000FF"/>
              </w:rPr>
            </w:pPr>
            <w:hyperlink r:id="rId241">
              <w:r>
                <w:rPr>
                  <w:rFonts w:ascii="Arial" w:cs="Arial" w:eastAsia="Arial" w:hAnsi="Arial"/>
                  <w:sz w:val="16"/>
                  <w:szCs w:val="16"/>
                  <w:color w:val="0000FF"/>
                </w:rPr>
                <w:t>Car</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bottom w:val="single" w:sz="8" w:color="0000FF"/>
            </w:tcBorders>
            <w:gridSpan w:val="27"/>
          </w:tcPr>
          <w:p>
            <w:pPr>
              <w:spacing w:after="0" w:line="142" w:lineRule="exact"/>
              <w:rPr>
                <w:rFonts w:ascii="Arial" w:cs="Arial" w:eastAsia="Arial" w:hAnsi="Arial"/>
                <w:sz w:val="16"/>
                <w:szCs w:val="16"/>
                <w:color w:val="0000FF"/>
              </w:rPr>
            </w:pPr>
            <w:hyperlink r:id="rId241">
              <w:r>
                <w:rPr>
                  <w:rFonts w:ascii="Arial" w:cs="Arial" w:eastAsia="Arial" w:hAnsi="Arial"/>
                  <w:sz w:val="16"/>
                  <w:szCs w:val="16"/>
                  <w:color w:val="0000FF"/>
                </w:rPr>
                <w:t>Rental Group, Inc.** and The Bank of New York, as Trustee (Incorporated by reference to Exhibit 10.34 to the Company’s Annual Report</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gridSpan w:val="30"/>
          </w:tcPr>
          <w:p>
            <w:pPr>
              <w:spacing w:after="0" w:line="142" w:lineRule="exact"/>
              <w:rPr>
                <w:rFonts w:ascii="Arial" w:cs="Arial" w:eastAsia="Arial" w:hAnsi="Arial"/>
                <w:sz w:val="16"/>
                <w:szCs w:val="16"/>
                <w:color w:val="0000FF"/>
              </w:rPr>
            </w:pPr>
            <w:hyperlink r:id="rId241">
              <w:r>
                <w:rPr>
                  <w:rFonts w:ascii="Arial" w:cs="Arial" w:eastAsia="Arial" w:hAnsi="Arial"/>
                  <w:sz w:val="16"/>
                  <w:szCs w:val="16"/>
                  <w:color w:val="0000FF"/>
                </w:rPr>
                <w:t>on Form 10-K for the year ended December 31, 2005, dated March 1, 2006).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4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10.46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bottom w:val="single" w:sz="8" w:color="0000FF"/>
            </w:tcBorders>
            <w:gridSpan w:val="19"/>
          </w:tcPr>
          <w:p>
            <w:pPr>
              <w:spacing w:after="0" w:line="169" w:lineRule="exact"/>
              <w:rPr>
                <w:rFonts w:ascii="Arial" w:cs="Arial" w:eastAsia="Arial" w:hAnsi="Arial"/>
                <w:sz w:val="16"/>
                <w:szCs w:val="16"/>
                <w:color w:val="0000FF"/>
              </w:rPr>
            </w:pPr>
            <w:hyperlink r:id="rId242">
              <w:r>
                <w:rPr>
                  <w:rFonts w:ascii="Arial" w:cs="Arial" w:eastAsia="Arial" w:hAnsi="Arial"/>
                  <w:sz w:val="16"/>
                  <w:szCs w:val="16"/>
                  <w:color w:val="0000FF"/>
                </w:rPr>
                <w:t>First Amendment, dated as of August 16, 2013, among Avis Budget Rental Car Funding (AESOP) LLC, AESOP Leasing L.P., AESOP</w:t>
              </w:r>
            </w:hyperlink>
          </w:p>
        </w:tc>
        <w:tc>
          <w:tcPr>
            <w:tcW w:w="460" w:type="dxa"/>
            <w:vAlign w:val="bottom"/>
            <w:tcBorders>
              <w:right w:val="single" w:sz="8" w:color="auto"/>
            </w:tcBorders>
            <w:gridSpan w:val="24"/>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3"/>
          </w:tcPr>
          <w:p>
            <w:pPr>
              <w:spacing w:after="0" w:line="142" w:lineRule="exact"/>
              <w:rPr>
                <w:rFonts w:ascii="Arial" w:cs="Arial" w:eastAsia="Arial" w:hAnsi="Arial"/>
                <w:sz w:val="16"/>
                <w:szCs w:val="16"/>
                <w:color w:val="0000FF"/>
              </w:rPr>
            </w:pPr>
            <w:hyperlink r:id="rId242">
              <w:r>
                <w:rPr>
                  <w:rFonts w:ascii="Arial" w:cs="Arial" w:eastAsia="Arial" w:hAnsi="Arial"/>
                  <w:sz w:val="16"/>
                  <w:szCs w:val="16"/>
                  <w:color w:val="0000FF"/>
                </w:rPr>
                <w:t>Leasing Corp. II, Avis Rent A Car System, LLC, Budget Rent A Car System, Inc. and Avis Budget Car Rental, LLC, as Administrator, to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39"/>
          </w:tcPr>
          <w:p>
            <w:pPr>
              <w:spacing w:after="0" w:line="142" w:lineRule="exact"/>
              <w:rPr>
                <w:rFonts w:ascii="Arial" w:cs="Arial" w:eastAsia="Arial" w:hAnsi="Arial"/>
                <w:sz w:val="16"/>
                <w:szCs w:val="16"/>
                <w:color w:val="0000FF"/>
              </w:rPr>
            </w:pPr>
            <w:hyperlink r:id="rId242">
              <w:r>
                <w:rPr>
                  <w:rFonts w:ascii="Arial" w:cs="Arial" w:eastAsia="Arial" w:hAnsi="Arial"/>
                  <w:sz w:val="16"/>
                  <w:szCs w:val="16"/>
                  <w:color w:val="0000FF"/>
                </w:rPr>
                <w:t>Second Amended and Restated Administration Agreement dated as of June 3, 2004 (Incorporated by reference to Exhibit 10.41(a) to the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242">
              <w:r>
                <w:rPr>
                  <w:rFonts w:ascii="Arial" w:cs="Arial" w:eastAsia="Arial" w:hAnsi="Arial"/>
                  <w:sz w:val="16"/>
                  <w:szCs w:val="16"/>
                  <w:color w:val="0000FF"/>
                </w:rPr>
                <w:t>Company’s Annual Report on Form 10-K for the year ended December 31, 2013, dated February 20, 2014).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4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222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10.47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280" w:type="dxa"/>
            <w:vAlign w:val="bottom"/>
            <w:tcBorders>
              <w:bottom w:val="single" w:sz="8" w:color="0000FF"/>
            </w:tcBorders>
            <w:gridSpan w:val="13"/>
          </w:tcPr>
          <w:p>
            <w:pPr>
              <w:spacing w:after="0" w:line="169" w:lineRule="exact"/>
              <w:rPr>
                <w:rFonts w:ascii="Arial" w:cs="Arial" w:eastAsia="Arial" w:hAnsi="Arial"/>
                <w:sz w:val="16"/>
                <w:szCs w:val="16"/>
                <w:color w:val="0000FF"/>
              </w:rPr>
            </w:pPr>
            <w:hyperlink r:id="rId243">
              <w:r>
                <w:rPr>
                  <w:rFonts w:ascii="Arial" w:cs="Arial" w:eastAsia="Arial" w:hAnsi="Arial"/>
                  <w:sz w:val="16"/>
                  <w:szCs w:val="16"/>
                  <w:color w:val="0000FF"/>
                </w:rPr>
                <w:t>Second Amended and Restated Series 2015-3 Supplement, dated as of June 18, 2021, between Avis Budget Rental Car Funding</w:t>
              </w:r>
            </w:hyperlink>
          </w:p>
        </w:tc>
        <w:tc>
          <w:tcPr>
            <w:tcW w:w="780" w:type="dxa"/>
            <w:vAlign w:val="bottom"/>
            <w:tcBorders>
              <w:right w:val="single" w:sz="8" w:color="auto"/>
            </w:tcBorders>
            <w:gridSpan w:val="30"/>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3"/>
          </w:tcPr>
          <w:p>
            <w:pPr>
              <w:spacing w:after="0" w:line="142" w:lineRule="exact"/>
              <w:rPr>
                <w:rFonts w:ascii="Arial" w:cs="Arial" w:eastAsia="Arial" w:hAnsi="Arial"/>
                <w:sz w:val="16"/>
                <w:szCs w:val="16"/>
                <w:color w:val="0000FF"/>
              </w:rPr>
            </w:pPr>
            <w:hyperlink r:id="rId243">
              <w:r>
                <w:rPr>
                  <w:rFonts w:ascii="Arial" w:cs="Arial" w:eastAsia="Arial" w:hAnsi="Arial"/>
                  <w:sz w:val="16"/>
                  <w:szCs w:val="16"/>
                  <w:color w:val="0000FF"/>
                </w:rPr>
                <w:t>(AESOP) LLC, as Issuer, Avis Budget Car Rental, LLC, as Administrator, JPMorgan Chase Bank, N.A., as Administrative Agent, the Non-</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bottom w:val="single" w:sz="8" w:color="0000FF"/>
            </w:tcBorders>
            <w:gridSpan w:val="24"/>
          </w:tcPr>
          <w:p>
            <w:pPr>
              <w:spacing w:after="0" w:line="142" w:lineRule="exact"/>
              <w:rPr>
                <w:rFonts w:ascii="Arial" w:cs="Arial" w:eastAsia="Arial" w:hAnsi="Arial"/>
                <w:sz w:val="16"/>
                <w:szCs w:val="16"/>
                <w:color w:val="0000FF"/>
              </w:rPr>
            </w:pPr>
            <w:hyperlink r:id="rId243">
              <w:r>
                <w:rPr>
                  <w:rFonts w:ascii="Arial" w:cs="Arial" w:eastAsia="Arial" w:hAnsi="Arial"/>
                  <w:sz w:val="16"/>
                  <w:szCs w:val="16"/>
                  <w:color w:val="0000FF"/>
                </w:rPr>
                <w:t>Conduit Purchasers, the CP Conduit Purchasers, the Committed Note Purchasers, the Funding Agents and APA Banks named therein,</w:t>
              </w:r>
            </w:hyperlink>
          </w:p>
        </w:tc>
        <w:tc>
          <w:tcPr>
            <w:tcW w:w="20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3"/>
          </w:tcPr>
          <w:p>
            <w:pPr>
              <w:spacing w:after="0" w:line="142" w:lineRule="exact"/>
              <w:rPr>
                <w:rFonts w:ascii="Arial" w:cs="Arial" w:eastAsia="Arial" w:hAnsi="Arial"/>
                <w:sz w:val="16"/>
                <w:szCs w:val="16"/>
                <w:color w:val="0000FF"/>
              </w:rPr>
            </w:pPr>
            <w:hyperlink r:id="rId243">
              <w:r>
                <w:rPr>
                  <w:rFonts w:ascii="Arial" w:cs="Arial" w:eastAsia="Arial" w:hAnsi="Arial"/>
                  <w:sz w:val="16"/>
                  <w:szCs w:val="16"/>
                  <w:color w:val="0000FF"/>
                </w:rPr>
                <w:t>and The Bank of New York Mellon Trust Company, N.A., as trustee and as Series 2015-3 Agent (Incorporated by reference to Exhibit 10.5</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243">
              <w:r>
                <w:rPr>
                  <w:rFonts w:ascii="Arial" w:cs="Arial" w:eastAsia="Arial" w:hAnsi="Arial"/>
                  <w:sz w:val="16"/>
                  <w:szCs w:val="16"/>
                  <w:color w:val="0000FF"/>
                </w:rPr>
                <w:t>to the Company’s Current Report on Form 8-K dated June 23,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4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10.48</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tcBorders>
              <w:bottom w:val="single" w:sz="8" w:color="0000FF"/>
            </w:tcBorders>
            <w:gridSpan w:val="23"/>
          </w:tcPr>
          <w:p>
            <w:pPr>
              <w:spacing w:after="0" w:line="169" w:lineRule="exact"/>
              <w:rPr>
                <w:rFonts w:ascii="Arial" w:cs="Arial" w:eastAsia="Arial" w:hAnsi="Arial"/>
                <w:sz w:val="16"/>
                <w:szCs w:val="16"/>
                <w:color w:val="0000FF"/>
              </w:rPr>
            </w:pPr>
            <w:hyperlink r:id="rId244">
              <w:r>
                <w:rPr>
                  <w:rFonts w:ascii="Arial" w:cs="Arial" w:eastAsia="Arial" w:hAnsi="Arial"/>
                  <w:sz w:val="16"/>
                  <w:szCs w:val="16"/>
                  <w:color w:val="0000FF"/>
                </w:rPr>
                <w:t>Fourth Amended and Restated Series 2010-6 Supplement, dated as of June 18, 2021, by and among Avis Budget Rental Car Funding</w:t>
              </w:r>
            </w:hyperlink>
          </w:p>
        </w:tc>
        <w:tc>
          <w:tcPr>
            <w:tcW w:w="420" w:type="dxa"/>
            <w:vAlign w:val="bottom"/>
            <w:tcBorders>
              <w:right w:val="single" w:sz="8" w:color="auto"/>
            </w:tcBorders>
            <w:gridSpan w:val="20"/>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bottom w:val="single" w:sz="8" w:color="0000FF"/>
            </w:tcBorders>
            <w:gridSpan w:val="34"/>
          </w:tcPr>
          <w:p>
            <w:pPr>
              <w:spacing w:after="0" w:line="142" w:lineRule="exact"/>
              <w:rPr>
                <w:rFonts w:ascii="Arial" w:cs="Arial" w:eastAsia="Arial" w:hAnsi="Arial"/>
                <w:sz w:val="16"/>
                <w:szCs w:val="16"/>
                <w:color w:val="0000FF"/>
              </w:rPr>
            </w:pPr>
            <w:hyperlink r:id="rId244">
              <w:r>
                <w:rPr>
                  <w:rFonts w:ascii="Arial" w:cs="Arial" w:eastAsia="Arial" w:hAnsi="Arial"/>
                  <w:sz w:val="16"/>
                  <w:szCs w:val="16"/>
                  <w:color w:val="0000FF"/>
                </w:rPr>
                <w:t>(AESOP) LLC, as Issuer, Avis Budget Car Rental, LLC, as Administrator, JPMorgan Chase Bank, N.A., as Administrative Agent, the Non-</w:t>
              </w:r>
            </w:hyperlink>
          </w:p>
        </w:tc>
        <w:tc>
          <w:tcPr>
            <w:tcW w:w="200" w:type="dxa"/>
            <w:vAlign w:val="bottom"/>
            <w:tcBorders>
              <w:right w:val="single" w:sz="8" w:color="auto"/>
            </w:tcBorders>
            <w:gridSpan w:val="9"/>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3"/>
          </w:tcPr>
          <w:p>
            <w:pPr>
              <w:spacing w:after="0" w:line="142" w:lineRule="exact"/>
              <w:rPr>
                <w:rFonts w:ascii="Arial" w:cs="Arial" w:eastAsia="Arial" w:hAnsi="Arial"/>
                <w:sz w:val="16"/>
                <w:szCs w:val="16"/>
                <w:color w:val="0000FF"/>
              </w:rPr>
            </w:pPr>
            <w:hyperlink r:id="rId244">
              <w:r>
                <w:rPr>
                  <w:rFonts w:ascii="Arial" w:cs="Arial" w:eastAsia="Arial" w:hAnsi="Arial"/>
                  <w:sz w:val="16"/>
                  <w:szCs w:val="16"/>
                  <w:color w:val="0000FF"/>
                </w:rPr>
                <w:t>Conduit Purchasers, the CP Conduit Purchasers, the Committed Note Purchasers, the Funding Agents and APA Banks named therein and</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40"/>
          </w:tcPr>
          <w:p>
            <w:pPr>
              <w:spacing w:after="0" w:line="142" w:lineRule="exact"/>
              <w:rPr>
                <w:rFonts w:ascii="Arial" w:cs="Arial" w:eastAsia="Arial" w:hAnsi="Arial"/>
                <w:sz w:val="16"/>
                <w:szCs w:val="16"/>
                <w:color w:val="0000FF"/>
              </w:rPr>
            </w:pPr>
            <w:hyperlink r:id="rId244">
              <w:r>
                <w:rPr>
                  <w:rFonts w:ascii="Arial" w:cs="Arial" w:eastAsia="Arial" w:hAnsi="Arial"/>
                  <w:sz w:val="16"/>
                  <w:szCs w:val="16"/>
                  <w:color w:val="0000FF"/>
                </w:rPr>
                <w:t>The Bank of New York Mellon Trust Company, N.A., as Trustee and as Series 2010-6 Agent (Incorporated by reference to Exhibit 10.4 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244">
              <w:r>
                <w:rPr>
                  <w:rFonts w:ascii="Arial" w:cs="Arial" w:eastAsia="Arial" w:hAnsi="Arial"/>
                  <w:sz w:val="16"/>
                  <w:szCs w:val="16"/>
                  <w:color w:val="0000FF"/>
                </w:rPr>
                <w:t>the Company’s Current Report on Form 8-K dated June 23, 2021).</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4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10.49</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3"/>
          </w:tcPr>
          <w:p>
            <w:pPr>
              <w:spacing w:after="0" w:line="169" w:lineRule="exact"/>
              <w:rPr>
                <w:rFonts w:ascii="Arial" w:cs="Arial" w:eastAsia="Arial" w:hAnsi="Arial"/>
                <w:sz w:val="16"/>
                <w:szCs w:val="16"/>
                <w:color w:val="0000FF"/>
              </w:rPr>
            </w:pPr>
            <w:hyperlink r:id="rId245">
              <w:r>
                <w:rPr>
                  <w:rFonts w:ascii="Arial" w:cs="Arial" w:eastAsia="Arial" w:hAnsi="Arial"/>
                  <w:sz w:val="16"/>
                  <w:szCs w:val="16"/>
                  <w:color w:val="0000FF"/>
                </w:rPr>
                <w:t>Series 2017-1 Supplement, dated as of March 15, 2017, between Avis Budget Rental Car Funding (AESOP) LLC and The Bank of New</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45">
              <w:r>
                <w:rPr>
                  <w:rFonts w:ascii="Arial" w:cs="Arial" w:eastAsia="Arial" w:hAnsi="Arial"/>
                  <w:sz w:val="16"/>
                  <w:szCs w:val="16"/>
                  <w:color w:val="0000FF"/>
                </w:rPr>
                <w:t>York Mellon Trust Company, N.A., as trustee and as Series 2017-1 Agent (Incorporated by reference to Exhibit 10.1 to the Company’s</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245">
              <w:r>
                <w:rPr>
                  <w:rFonts w:ascii="Arial" w:cs="Arial" w:eastAsia="Arial" w:hAnsi="Arial"/>
                  <w:sz w:val="16"/>
                  <w:szCs w:val="16"/>
                  <w:color w:val="0000FF"/>
                </w:rPr>
                <w:t>Current Report on Form 8-K dated March 21, 2017).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4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10.50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tcBorders>
              <w:bottom w:val="single" w:sz="8" w:color="0000FF"/>
            </w:tcBorders>
            <w:gridSpan w:val="23"/>
          </w:tcPr>
          <w:p>
            <w:pPr>
              <w:spacing w:after="0" w:line="169" w:lineRule="exact"/>
              <w:rPr>
                <w:rFonts w:ascii="Arial" w:cs="Arial" w:eastAsia="Arial" w:hAnsi="Arial"/>
                <w:sz w:val="16"/>
                <w:szCs w:val="16"/>
                <w:color w:val="0000FF"/>
              </w:rPr>
            </w:pPr>
            <w:hyperlink r:id="rId246">
              <w:r>
                <w:rPr>
                  <w:rFonts w:ascii="Arial" w:cs="Arial" w:eastAsia="Arial" w:hAnsi="Arial"/>
                  <w:sz w:val="16"/>
                  <w:szCs w:val="16"/>
                  <w:color w:val="0000FF"/>
                </w:rPr>
                <w:t>Series 2017-2 Supplement, dated as of December 13, 2017, between Avis Budget Rental Car Funding (AESOP) LLC and The Bank of</w:t>
              </w:r>
            </w:hyperlink>
          </w:p>
        </w:tc>
        <w:tc>
          <w:tcPr>
            <w:tcW w:w="420" w:type="dxa"/>
            <w:vAlign w:val="bottom"/>
            <w:tcBorders>
              <w:right w:val="single" w:sz="8" w:color="auto"/>
            </w:tcBorders>
            <w:gridSpan w:val="20"/>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3"/>
          </w:tcPr>
          <w:p>
            <w:pPr>
              <w:spacing w:after="0" w:line="142" w:lineRule="exact"/>
              <w:rPr>
                <w:rFonts w:ascii="Arial" w:cs="Arial" w:eastAsia="Arial" w:hAnsi="Arial"/>
                <w:sz w:val="16"/>
                <w:szCs w:val="16"/>
                <w:color w:val="0000FF"/>
              </w:rPr>
            </w:pPr>
            <w:hyperlink r:id="rId246">
              <w:r>
                <w:rPr>
                  <w:rFonts w:ascii="Arial" w:cs="Arial" w:eastAsia="Arial" w:hAnsi="Arial"/>
                  <w:sz w:val="16"/>
                  <w:szCs w:val="16"/>
                  <w:color w:val="0000FF"/>
                </w:rPr>
                <w:t>New York Mellon Trust Company, N.A., as trustee and as Series 2017-2 Agent (Incorporated by reference to Exhibit 10.1 to the Company’s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41"/>
          </w:tcPr>
          <w:p>
            <w:pPr>
              <w:spacing w:after="0" w:line="142" w:lineRule="exact"/>
              <w:rPr>
                <w:rFonts w:ascii="Arial" w:cs="Arial" w:eastAsia="Arial" w:hAnsi="Arial"/>
                <w:sz w:val="16"/>
                <w:szCs w:val="16"/>
                <w:color w:val="0000FF"/>
              </w:rPr>
            </w:pPr>
            <w:hyperlink r:id="rId246">
              <w:r>
                <w:rPr>
                  <w:rFonts w:ascii="Arial" w:cs="Arial" w:eastAsia="Arial" w:hAnsi="Arial"/>
                  <w:sz w:val="16"/>
                  <w:szCs w:val="16"/>
                  <w:color w:val="0000FF"/>
                </w:rPr>
                <w:t>Current Report on Form 8-K dated December 19, 2017).</w:t>
              </w:r>
            </w:hyperlink>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4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10.51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3"/>
          </w:tcPr>
          <w:p>
            <w:pPr>
              <w:spacing w:after="0" w:line="169" w:lineRule="exact"/>
              <w:rPr>
                <w:rFonts w:ascii="Arial" w:cs="Arial" w:eastAsia="Arial" w:hAnsi="Arial"/>
                <w:sz w:val="16"/>
                <w:szCs w:val="16"/>
                <w:color w:val="0000FF"/>
              </w:rPr>
            </w:pPr>
            <w:hyperlink r:id="rId247">
              <w:r>
                <w:rPr>
                  <w:rFonts w:ascii="Arial" w:cs="Arial" w:eastAsia="Arial" w:hAnsi="Arial"/>
                  <w:sz w:val="16"/>
                  <w:szCs w:val="16"/>
                  <w:color w:val="0000FF"/>
                </w:rPr>
                <w:t>Series 2018-1 Supplement, dated as of April 30, 2018, between Avis Budget Rental Car Funding (AESOP) LLC and The Bank of New York</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42"/>
          </w:tcPr>
          <w:p>
            <w:pPr>
              <w:spacing w:after="0" w:line="142" w:lineRule="exact"/>
              <w:rPr>
                <w:rFonts w:ascii="Arial" w:cs="Arial" w:eastAsia="Arial" w:hAnsi="Arial"/>
                <w:sz w:val="16"/>
                <w:szCs w:val="16"/>
                <w:color w:val="0000FF"/>
              </w:rPr>
            </w:pPr>
            <w:hyperlink r:id="rId247">
              <w:r>
                <w:rPr>
                  <w:rFonts w:ascii="Arial" w:cs="Arial" w:eastAsia="Arial" w:hAnsi="Arial"/>
                  <w:sz w:val="16"/>
                  <w:szCs w:val="16"/>
                  <w:color w:val="0000FF"/>
                </w:rPr>
                <w:t>Mellon Trust Company, N.A., as trustee and as Series 2018-1 Agent (Incorporated by reference to Exhibit 10.1 to the Company’s Current</w:t>
              </w:r>
            </w:hyperlink>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247">
              <w:r>
                <w:rPr>
                  <w:rFonts w:ascii="Arial" w:cs="Arial" w:eastAsia="Arial" w:hAnsi="Arial"/>
                  <w:sz w:val="16"/>
                  <w:szCs w:val="16"/>
                  <w:color w:val="0000FF"/>
                </w:rPr>
                <w:t>Report on Form 8-K dated May 4, 2018).</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4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10.52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bottom w:val="single" w:sz="8" w:color="0000FF"/>
            </w:tcBorders>
            <w:gridSpan w:val="28"/>
          </w:tcPr>
          <w:p>
            <w:pPr>
              <w:spacing w:after="0" w:line="169" w:lineRule="exact"/>
              <w:rPr>
                <w:rFonts w:ascii="Arial" w:cs="Arial" w:eastAsia="Arial" w:hAnsi="Arial"/>
                <w:sz w:val="16"/>
                <w:szCs w:val="16"/>
                <w:color w:val="0000FF"/>
              </w:rPr>
            </w:pPr>
            <w:hyperlink r:id="rId248">
              <w:r>
                <w:rPr>
                  <w:rFonts w:ascii="Arial" w:cs="Arial" w:eastAsia="Arial" w:hAnsi="Arial"/>
                  <w:sz w:val="16"/>
                  <w:szCs w:val="16"/>
                  <w:color w:val="0000FF"/>
                </w:rPr>
                <w:t>Amended and Restated Series 2018-2 Supplement, dated as of June 18, 2021, between Avis Budget Rental Car Funding (AESOP) LLC</w:t>
              </w:r>
            </w:hyperlink>
          </w:p>
        </w:tc>
        <w:tc>
          <w:tcPr>
            <w:tcW w:w="320" w:type="dxa"/>
            <w:vAlign w:val="bottom"/>
            <w:tcBorders>
              <w:right w:val="single" w:sz="8" w:color="auto"/>
            </w:tcBorders>
            <w:gridSpan w:val="15"/>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3"/>
          </w:tcPr>
          <w:p>
            <w:pPr>
              <w:spacing w:after="0" w:line="142" w:lineRule="exact"/>
              <w:rPr>
                <w:rFonts w:ascii="Arial" w:cs="Arial" w:eastAsia="Arial" w:hAnsi="Arial"/>
                <w:sz w:val="16"/>
                <w:szCs w:val="16"/>
                <w:color w:val="0000FF"/>
              </w:rPr>
            </w:pPr>
            <w:hyperlink r:id="rId248">
              <w:r>
                <w:rPr>
                  <w:rFonts w:ascii="Arial" w:cs="Arial" w:eastAsia="Arial" w:hAnsi="Arial"/>
                  <w:sz w:val="16"/>
                  <w:szCs w:val="16"/>
                  <w:color w:val="0000FF"/>
                </w:rPr>
                <w:t>and The Bank of New York Mellon Trust Company, N.A., as trustee and as Series 2018-2 Agent (Incorporated by reference to Exhibit 10.1</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248">
              <w:r>
                <w:rPr>
                  <w:rFonts w:ascii="Arial" w:cs="Arial" w:eastAsia="Arial" w:hAnsi="Arial"/>
                  <w:sz w:val="16"/>
                  <w:szCs w:val="16"/>
                  <w:color w:val="0000FF"/>
                </w:rPr>
                <w:t>to the Company’s Current Report on Form 8-K dated June 23,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4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10.53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3"/>
          </w:tcPr>
          <w:p>
            <w:pPr>
              <w:spacing w:after="0" w:line="169" w:lineRule="exact"/>
              <w:rPr>
                <w:rFonts w:ascii="Arial" w:cs="Arial" w:eastAsia="Arial" w:hAnsi="Arial"/>
                <w:sz w:val="16"/>
                <w:szCs w:val="16"/>
                <w:color w:val="0000FF"/>
              </w:rPr>
            </w:pPr>
            <w:hyperlink r:id="rId249">
              <w:r>
                <w:rPr>
                  <w:rFonts w:ascii="Arial" w:cs="Arial" w:eastAsia="Arial" w:hAnsi="Arial"/>
                  <w:sz w:val="16"/>
                  <w:szCs w:val="16"/>
                  <w:color w:val="0000FF"/>
                </w:rPr>
                <w:t>Series 2019-1 Supplement, dated as of February 13, 2019, between Avis Budget Rental Car Funding (AESOP) LLC and The Bank of New</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249">
              <w:r>
                <w:rPr>
                  <w:rFonts w:ascii="Arial" w:cs="Arial" w:eastAsia="Arial" w:hAnsi="Arial"/>
                  <w:sz w:val="16"/>
                  <w:szCs w:val="16"/>
                  <w:color w:val="0000FF"/>
                </w:rPr>
                <w:t>York Mellon Trust Company, N.A., as trustee and as Series 2019-1 Agent. (Incorporated by reference to Exhibit 10.1 to the Company’s</w:t>
              </w:r>
            </w:hyperlink>
          </w:p>
        </w:tc>
        <w:tc>
          <w:tcPr>
            <w:tcW w:w="20" w:type="dxa"/>
            <w:vAlign w:val="bottom"/>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249">
              <w:r>
                <w:rPr>
                  <w:rFonts w:ascii="Arial" w:cs="Arial" w:eastAsia="Arial" w:hAnsi="Arial"/>
                  <w:sz w:val="16"/>
                  <w:szCs w:val="16"/>
                  <w:color w:val="0000FF"/>
                </w:rPr>
                <w:t>Current Report on Form 8-K dated February 20, 2019).</w:t>
              </w:r>
            </w:hyperlink>
          </w:p>
        </w:tc>
        <w:tc>
          <w:tcPr>
            <w:tcW w:w="80" w:type="dxa"/>
            <w:vAlign w:val="bottom"/>
            <w:gridSpan w:val="6"/>
          </w:tcPr>
          <w:p>
            <w:pPr>
              <w:spacing w:after="0"/>
              <w:rPr>
                <w:sz w:val="12"/>
                <w:szCs w:val="12"/>
                <w:color w:val="auto"/>
              </w:rPr>
            </w:pPr>
          </w:p>
        </w:tc>
        <w:tc>
          <w:tcPr>
            <w:tcW w:w="60" w:type="dxa"/>
            <w:vAlign w:val="bottom"/>
            <w:gridSpan w:val="3"/>
          </w:tcPr>
          <w:p>
            <w:pPr>
              <w:spacing w:after="0"/>
              <w:rPr>
                <w:sz w:val="12"/>
                <w:szCs w:val="12"/>
                <w:color w:val="auto"/>
              </w:rPr>
            </w:pPr>
          </w:p>
        </w:tc>
        <w:tc>
          <w:tcPr>
            <w:tcW w:w="140" w:type="dxa"/>
            <w:vAlign w:val="bottom"/>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4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10.54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tcBorders>
              <w:bottom w:val="single" w:sz="8" w:color="0000FF"/>
            </w:tcBorders>
            <w:gridSpan w:val="26"/>
          </w:tcPr>
          <w:p>
            <w:pPr>
              <w:spacing w:after="0" w:line="169" w:lineRule="exact"/>
              <w:rPr>
                <w:rFonts w:ascii="Arial" w:cs="Arial" w:eastAsia="Arial" w:hAnsi="Arial"/>
                <w:sz w:val="16"/>
                <w:szCs w:val="16"/>
                <w:color w:val="0000FF"/>
              </w:rPr>
            </w:pPr>
            <w:hyperlink r:id="rId250">
              <w:r>
                <w:rPr>
                  <w:rFonts w:ascii="Arial" w:cs="Arial" w:eastAsia="Arial" w:hAnsi="Arial"/>
                  <w:sz w:val="16"/>
                  <w:szCs w:val="16"/>
                  <w:color w:val="0000FF"/>
                </w:rPr>
                <w:t>Amended and Restated Series 2019-2 Supplement, dated as of June 18, 2021 between Avis Budget Rental Car Funding (AESOP) LLC</w:t>
              </w:r>
            </w:hyperlink>
          </w:p>
        </w:tc>
        <w:tc>
          <w:tcPr>
            <w:tcW w:w="360" w:type="dxa"/>
            <w:vAlign w:val="bottom"/>
            <w:tcBorders>
              <w:right w:val="single" w:sz="8" w:color="auto"/>
            </w:tcBorders>
            <w:gridSpan w:val="17"/>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3"/>
          </w:tcPr>
          <w:p>
            <w:pPr>
              <w:spacing w:after="0" w:line="142" w:lineRule="exact"/>
              <w:rPr>
                <w:rFonts w:ascii="Arial" w:cs="Arial" w:eastAsia="Arial" w:hAnsi="Arial"/>
                <w:sz w:val="16"/>
                <w:szCs w:val="16"/>
                <w:color w:val="0000FF"/>
              </w:rPr>
            </w:pPr>
            <w:hyperlink r:id="rId250">
              <w:r>
                <w:rPr>
                  <w:rFonts w:ascii="Arial" w:cs="Arial" w:eastAsia="Arial" w:hAnsi="Arial"/>
                  <w:sz w:val="16"/>
                  <w:szCs w:val="16"/>
                  <w:color w:val="0000FF"/>
                </w:rPr>
                <w:t>and The Bank of New York Mellon Trust Company, N.A., as trustee and as Series 2019-2 Agent (Incorporated by reference to Exhibit 10.2</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250">
              <w:r>
                <w:rPr>
                  <w:rFonts w:ascii="Arial" w:cs="Arial" w:eastAsia="Arial" w:hAnsi="Arial"/>
                  <w:sz w:val="16"/>
                  <w:szCs w:val="16"/>
                  <w:color w:val="0000FF"/>
                </w:rPr>
                <w:t>to the Company’s Current Report on Form 8-K dated June 23, 2021).</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4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10.55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3"/>
          </w:tcPr>
          <w:p>
            <w:pPr>
              <w:spacing w:after="0" w:line="169" w:lineRule="exact"/>
              <w:rPr>
                <w:rFonts w:ascii="Arial" w:cs="Arial" w:eastAsia="Arial" w:hAnsi="Arial"/>
                <w:sz w:val="16"/>
                <w:szCs w:val="16"/>
                <w:color w:val="0000FF"/>
              </w:rPr>
            </w:pPr>
            <w:hyperlink r:id="rId251">
              <w:r>
                <w:rPr>
                  <w:rFonts w:ascii="Arial" w:cs="Arial" w:eastAsia="Arial" w:hAnsi="Arial"/>
                  <w:sz w:val="16"/>
                  <w:szCs w:val="16"/>
                  <w:color w:val="0000FF"/>
                </w:rPr>
                <w:t>Series 2019-3 Supplement, dated as of August 27, 2019, between Avis Budget Rental Car Funding (AESOP) LLC and The Bank of New</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251">
              <w:r>
                <w:rPr>
                  <w:rFonts w:ascii="Arial" w:cs="Arial" w:eastAsia="Arial" w:hAnsi="Arial"/>
                  <w:sz w:val="16"/>
                  <w:szCs w:val="16"/>
                  <w:color w:val="0000FF"/>
                </w:rPr>
                <w:t>York Mellon Trust Company, N.A., as trustee and as Series 2019-3 Agent. (Incorporated by reference to Exhibit 10.1 to the Company’s</w:t>
              </w:r>
            </w:hyperlink>
          </w:p>
        </w:tc>
        <w:tc>
          <w:tcPr>
            <w:tcW w:w="140" w:type="dxa"/>
            <w:vAlign w:val="bottom"/>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251">
              <w:r>
                <w:rPr>
                  <w:rFonts w:ascii="Arial" w:cs="Arial" w:eastAsia="Arial" w:hAnsi="Arial"/>
                  <w:sz w:val="16"/>
                  <w:szCs w:val="16"/>
                  <w:color w:val="0000FF"/>
                </w:rPr>
                <w:t>Current Report on Form 8-K dated August 29, 2019).</w:t>
              </w:r>
            </w:hyperlink>
          </w:p>
        </w:tc>
        <w:tc>
          <w:tcPr>
            <w:tcW w:w="280" w:type="dxa"/>
            <w:vAlign w:val="bottom"/>
            <w:gridSpan w:val="16"/>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4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10.56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bottom w:val="single" w:sz="8" w:color="0000FF"/>
            </w:tcBorders>
            <w:gridSpan w:val="28"/>
          </w:tcPr>
          <w:p>
            <w:pPr>
              <w:spacing w:after="0" w:line="169" w:lineRule="exact"/>
              <w:rPr>
                <w:rFonts w:ascii="Arial" w:cs="Arial" w:eastAsia="Arial" w:hAnsi="Arial"/>
                <w:sz w:val="16"/>
                <w:szCs w:val="16"/>
                <w:color w:val="0000FF"/>
              </w:rPr>
            </w:pPr>
            <w:hyperlink r:id="rId252">
              <w:r>
                <w:rPr>
                  <w:rFonts w:ascii="Arial" w:cs="Arial" w:eastAsia="Arial" w:hAnsi="Arial"/>
                  <w:sz w:val="16"/>
                  <w:szCs w:val="16"/>
                  <w:color w:val="0000FF"/>
                </w:rPr>
                <w:t>Amended and Restated Series 2020-1 Supplement, dated as of June 18, 2021, between Avis Budget Rental Car Funding (AESOP) LLC</w:t>
              </w:r>
            </w:hyperlink>
          </w:p>
        </w:tc>
        <w:tc>
          <w:tcPr>
            <w:tcW w:w="320" w:type="dxa"/>
            <w:vAlign w:val="bottom"/>
            <w:tcBorders>
              <w:right w:val="single" w:sz="8" w:color="auto"/>
            </w:tcBorders>
            <w:gridSpan w:val="15"/>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3"/>
          </w:tcPr>
          <w:p>
            <w:pPr>
              <w:spacing w:after="0" w:line="142" w:lineRule="exact"/>
              <w:rPr>
                <w:rFonts w:ascii="Arial" w:cs="Arial" w:eastAsia="Arial" w:hAnsi="Arial"/>
                <w:sz w:val="16"/>
                <w:szCs w:val="16"/>
                <w:color w:val="0000FF"/>
              </w:rPr>
            </w:pPr>
            <w:hyperlink r:id="rId252">
              <w:r>
                <w:rPr>
                  <w:rFonts w:ascii="Arial" w:cs="Arial" w:eastAsia="Arial" w:hAnsi="Arial"/>
                  <w:sz w:val="16"/>
                  <w:szCs w:val="16"/>
                  <w:color w:val="0000FF"/>
                </w:rPr>
                <w:t>and The Bank of New York Mellon Trust Company, N.A., as trustee and as Series 2020-1 Agent. (Incorporated by reference to Exhibit 10.3</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252">
              <w:r>
                <w:rPr>
                  <w:rFonts w:ascii="Arial" w:cs="Arial" w:eastAsia="Arial" w:hAnsi="Arial"/>
                  <w:sz w:val="16"/>
                  <w:szCs w:val="16"/>
                  <w:color w:val="0000FF"/>
                </w:rPr>
                <w:t>to the Company’s Current Report on Form 8-K dated June 23, 2021).</w:t>
              </w:r>
            </w:hyperlink>
          </w:p>
        </w:tc>
        <w:tc>
          <w:tcPr>
            <w:tcW w:w="120" w:type="dxa"/>
            <w:vAlign w:val="bottom"/>
            <w:tcBorders>
              <w:right w:val="single" w:sz="8" w:color="auto"/>
            </w:tcBorders>
            <w:gridSpan w:val="5"/>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4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10.57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3"/>
          </w:tcPr>
          <w:p>
            <w:pPr>
              <w:spacing w:after="0" w:line="169" w:lineRule="exact"/>
              <w:rPr>
                <w:rFonts w:ascii="Arial" w:cs="Arial" w:eastAsia="Arial" w:hAnsi="Arial"/>
                <w:sz w:val="16"/>
                <w:szCs w:val="16"/>
                <w:color w:val="0000FF"/>
              </w:rPr>
            </w:pPr>
            <w:hyperlink r:id="rId253">
              <w:r>
                <w:rPr>
                  <w:rFonts w:ascii="Arial" w:cs="Arial" w:eastAsia="Arial" w:hAnsi="Arial"/>
                  <w:sz w:val="16"/>
                  <w:szCs w:val="16"/>
                  <w:color w:val="0000FF"/>
                </w:rPr>
                <w:t>Series 2020-2 Supplement, dated as of August 12, 2020, between Avis Budget Rental Car Funding (AESOP) LLC and The Bank of New</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253">
              <w:r>
                <w:rPr>
                  <w:rFonts w:ascii="Arial" w:cs="Arial" w:eastAsia="Arial" w:hAnsi="Arial"/>
                  <w:sz w:val="16"/>
                  <w:szCs w:val="16"/>
                  <w:color w:val="0000FF"/>
                </w:rPr>
                <w:t>York Mellon Trust Company, N.A., as trustee and as Series 2020-2 Agent (Incorporated by reference to Exhibit 10.1 to the Company's</w:t>
              </w:r>
            </w:hyperlink>
          </w:p>
        </w:tc>
        <w:tc>
          <w:tcPr>
            <w:tcW w:w="140" w:type="dxa"/>
            <w:vAlign w:val="bottom"/>
            <w:gridSpan w:val="7"/>
          </w:tcPr>
          <w:p>
            <w:pPr>
              <w:spacing w:after="0"/>
              <w:rPr>
                <w:sz w:val="12"/>
                <w:szCs w:val="12"/>
                <w:color w:val="auto"/>
              </w:rPr>
            </w:pPr>
          </w:p>
        </w:tc>
        <w:tc>
          <w:tcPr>
            <w:tcW w:w="160" w:type="dxa"/>
            <w:vAlign w:val="bottom"/>
            <w:tcBorders>
              <w:right w:val="single" w:sz="8" w:color="auto"/>
            </w:tcBorders>
            <w:gridSpan w:val="7"/>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53">
              <w:r>
                <w:rPr>
                  <w:rFonts w:ascii="Arial" w:cs="Arial" w:eastAsia="Arial" w:hAnsi="Arial"/>
                  <w:sz w:val="16"/>
                  <w:szCs w:val="16"/>
                  <w:color w:val="0000FF"/>
                </w:rPr>
                <w:t>Current Report on Form 8-K dated August 14, 2020).</w:t>
              </w:r>
            </w:hyperlink>
          </w:p>
        </w:tc>
        <w:tc>
          <w:tcPr>
            <w:tcW w:w="40" w:type="dxa"/>
            <w:vAlign w:val="bottom"/>
            <w:gridSpan w:val="2"/>
          </w:tcPr>
          <w:p>
            <w:pPr>
              <w:spacing w:after="0"/>
              <w:rPr>
                <w:sz w:val="12"/>
                <w:szCs w:val="12"/>
                <w:color w:val="auto"/>
              </w:rPr>
            </w:pPr>
          </w:p>
        </w:tc>
        <w:tc>
          <w:tcPr>
            <w:tcW w:w="300" w:type="dxa"/>
            <w:vAlign w:val="bottom"/>
            <w:gridSpan w:val="17"/>
          </w:tcPr>
          <w:p>
            <w:pPr>
              <w:spacing w:after="0"/>
              <w:rPr>
                <w:sz w:val="12"/>
                <w:szCs w:val="12"/>
                <w:color w:val="auto"/>
              </w:rPr>
            </w:pPr>
          </w:p>
        </w:tc>
        <w:tc>
          <w:tcPr>
            <w:tcW w:w="160" w:type="dxa"/>
            <w:vAlign w:val="bottom"/>
            <w:tcBorders>
              <w:right w:val="single" w:sz="8" w:color="auto"/>
            </w:tcBorders>
            <w:gridSpan w:val="7"/>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4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10.58</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3"/>
          </w:tcPr>
          <w:p>
            <w:pPr>
              <w:spacing w:after="0" w:line="169" w:lineRule="exact"/>
              <w:rPr>
                <w:rFonts w:ascii="Arial" w:cs="Arial" w:eastAsia="Arial" w:hAnsi="Arial"/>
                <w:sz w:val="16"/>
                <w:szCs w:val="16"/>
                <w:color w:val="0000FF"/>
              </w:rPr>
            </w:pPr>
            <w:hyperlink r:id="rId254">
              <w:r>
                <w:rPr>
                  <w:rFonts w:ascii="Arial" w:cs="Arial" w:eastAsia="Arial" w:hAnsi="Arial"/>
                  <w:sz w:val="16"/>
                  <w:szCs w:val="16"/>
                  <w:color w:val="0000FF"/>
                </w:rPr>
                <w:t>Series 2021-1 Supplement dated as of May 18, 2021, between Avis Budget Rental Car Funding (AESOP) LLC and The Bank of New York</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254">
              <w:r>
                <w:rPr>
                  <w:rFonts w:ascii="Arial" w:cs="Arial" w:eastAsia="Arial" w:hAnsi="Arial"/>
                  <w:sz w:val="16"/>
                  <w:szCs w:val="16"/>
                  <w:color w:val="0000FF"/>
                </w:rPr>
                <w:t>Mellon Trust Company, N.A., as trustee and Series 2021-1 Agent (Incorporated by reference to Exhibit 10.1 to the Company’s Current</w:t>
              </w:r>
            </w:hyperlink>
          </w:p>
        </w:tc>
        <w:tc>
          <w:tcPr>
            <w:tcW w:w="160" w:type="dxa"/>
            <w:vAlign w:val="bottom"/>
            <w:tcBorders>
              <w:right w:val="single" w:sz="8" w:color="auto"/>
            </w:tcBorders>
            <w:gridSpan w:val="7"/>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0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254">
              <w:r>
                <w:rPr>
                  <w:rFonts w:ascii="Arial" w:cs="Arial" w:eastAsia="Arial" w:hAnsi="Arial"/>
                  <w:sz w:val="16"/>
                  <w:szCs w:val="16"/>
                  <w:color w:val="0000FF"/>
                </w:rPr>
                <w:t>Report on Form 8-K dated May 21, 2021).</w:t>
              </w:r>
            </w:hyperlink>
          </w:p>
        </w:tc>
        <w:tc>
          <w:tcPr>
            <w:tcW w:w="460" w:type="dxa"/>
            <w:vAlign w:val="bottom"/>
            <w:tcBorders>
              <w:right w:val="single" w:sz="8" w:color="auto"/>
            </w:tcBorders>
            <w:gridSpan w:val="24"/>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4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1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10.59</w:t>
            </w:r>
          </w:p>
        </w:tc>
        <w:tc>
          <w:tcPr>
            <w:tcW w:w="100" w:type="dxa"/>
            <w:vAlign w:val="bottom"/>
            <w:tcBorders>
              <w:top w:val="single" w:sz="8" w:color="auto"/>
              <w:righ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00" w:type="dxa"/>
            <w:vAlign w:val="bottom"/>
            <w:tcBorders>
              <w:top w:val="single" w:sz="8" w:color="auto"/>
              <w:right w:val="single" w:sz="8" w:color="auto"/>
            </w:tcBorders>
            <w:gridSpan w:val="14"/>
          </w:tcPr>
          <w:p>
            <w:pPr>
              <w:spacing w:after="0"/>
              <w:rPr>
                <w:rFonts w:ascii="Arial" w:cs="Arial" w:eastAsia="Arial" w:hAnsi="Arial"/>
                <w:sz w:val="16"/>
                <w:szCs w:val="16"/>
                <w:color w:val="0000FF"/>
              </w:rPr>
            </w:pPr>
            <w:hyperlink r:id="rId256">
              <w:r>
                <w:rPr>
                  <w:rFonts w:ascii="Arial" w:cs="Arial" w:eastAsia="Arial" w:hAnsi="Arial"/>
                  <w:sz w:val="16"/>
                  <w:szCs w:val="16"/>
                  <w:color w:val="0000FF"/>
                </w:rPr>
                <w:t>Series 2021-2 Supplement, dated as of November 17, 2021, between Avis Budget Rental Car Funding (AESOP) LLC and The Bank of</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w w:val="99"/>
              </w:rPr>
            </w:pPr>
            <w:hyperlink r:id="rId256">
              <w:r>
                <w:rPr>
                  <w:rFonts w:ascii="Arial" w:cs="Arial" w:eastAsia="Arial" w:hAnsi="Arial"/>
                  <w:sz w:val="16"/>
                  <w:szCs w:val="16"/>
                  <w:color w:val="0000FF"/>
                  <w:w w:val="99"/>
                </w:rPr>
                <w:t>New York Mellon Trust Company, N.A., as trustee and Series 2021-2 Agent (incorporated by reference to Exhibit 10.1 to the Company's</w:t>
              </w:r>
            </w:hyperlink>
          </w:p>
        </w:tc>
        <w:tc>
          <w:tcPr>
            <w:tcW w:w="4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gridSpan w:val="11"/>
          </w:tcPr>
          <w:p>
            <w:pPr>
              <w:spacing w:after="0" w:line="142" w:lineRule="exact"/>
              <w:rPr>
                <w:rFonts w:ascii="Arial" w:cs="Arial" w:eastAsia="Arial" w:hAnsi="Arial"/>
                <w:sz w:val="16"/>
                <w:szCs w:val="16"/>
                <w:color w:val="0000FF"/>
              </w:rPr>
            </w:pPr>
            <w:hyperlink r:id="rId256">
              <w:r>
                <w:rPr>
                  <w:rFonts w:ascii="Arial" w:cs="Arial" w:eastAsia="Arial" w:hAnsi="Arial"/>
                  <w:sz w:val="16"/>
                  <w:szCs w:val="16"/>
                  <w:color w:val="0000FF"/>
                </w:rPr>
                <w:t>Current Report on Form 8-K dated November 19, 2021).</w:t>
              </w:r>
            </w:hyperlink>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560" w:type="dxa"/>
            <w:vAlign w:val="bottom"/>
            <w:tcBorders>
              <w:top w:val="single" w:sz="8" w:color="0000FF"/>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10.60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14"/>
          </w:tcPr>
          <w:p>
            <w:pPr>
              <w:spacing w:after="0" w:line="169" w:lineRule="exact"/>
              <w:rPr>
                <w:rFonts w:ascii="Arial" w:cs="Arial" w:eastAsia="Arial" w:hAnsi="Arial"/>
                <w:sz w:val="16"/>
                <w:szCs w:val="16"/>
                <w:color w:val="0000FF"/>
              </w:rPr>
            </w:pPr>
            <w:hyperlink r:id="rId257">
              <w:r>
                <w:rPr>
                  <w:rFonts w:ascii="Arial" w:cs="Arial" w:eastAsia="Arial" w:hAnsi="Arial"/>
                  <w:sz w:val="16"/>
                  <w:szCs w:val="16"/>
                  <w:color w:val="0000FF"/>
                </w:rPr>
                <w:t>Sixth Amended and Restated Credit Agreement, dated as of July 9, 2021, among Avis Budget Holdings, LLC, Avis Budget Car Rental,</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257">
              <w:r>
                <w:rPr>
                  <w:rFonts w:ascii="Arial" w:cs="Arial" w:eastAsia="Arial" w:hAnsi="Arial"/>
                  <w:sz w:val="16"/>
                  <w:szCs w:val="16"/>
                  <w:color w:val="0000FF"/>
                </w:rPr>
                <w:t>LLC, Avis Budget Group, Inc., the subsidiary borrowers from time to time party thereto, the financial institutions from time to time party</w:t>
              </w:r>
            </w:hyperlink>
          </w:p>
        </w:tc>
        <w:tc>
          <w:tcPr>
            <w:tcW w:w="20" w:type="dxa"/>
            <w:vAlign w:val="bottom"/>
            <w:tcBorders>
              <w:top w:val="single" w:sz="8" w:color="0000FF"/>
            </w:tcBorders>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right w:val="single" w:sz="8" w:color="auto"/>
            </w:tcBorders>
            <w:gridSpan w:val="14"/>
          </w:tcPr>
          <w:p>
            <w:pPr>
              <w:spacing w:after="0" w:line="142" w:lineRule="exact"/>
              <w:rPr>
                <w:rFonts w:ascii="Arial" w:cs="Arial" w:eastAsia="Arial" w:hAnsi="Arial"/>
                <w:sz w:val="16"/>
                <w:szCs w:val="16"/>
                <w:color w:val="0000FF"/>
              </w:rPr>
            </w:pPr>
            <w:hyperlink r:id="rId257">
              <w:r>
                <w:rPr>
                  <w:rFonts w:ascii="Arial" w:cs="Arial" w:eastAsia="Arial" w:hAnsi="Arial"/>
                  <w:sz w:val="16"/>
                  <w:szCs w:val="16"/>
                  <w:color w:val="0000FF"/>
                </w:rPr>
                <w:t>thereto JPMorgan Chase Bank, N.A., as Administrative Agent (incorporated by reference to Exhibit 10.1 to the Company’s Current Report</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800" w:type="dxa"/>
            <w:vAlign w:val="bottom"/>
            <w:tcBorders>
              <w:top w:val="single" w:sz="8" w:color="0000FF"/>
            </w:tcBorders>
            <w:gridSpan w:val="6"/>
          </w:tcPr>
          <w:p>
            <w:pPr>
              <w:spacing w:after="0" w:line="142" w:lineRule="exact"/>
              <w:rPr>
                <w:rFonts w:ascii="Arial" w:cs="Arial" w:eastAsia="Arial" w:hAnsi="Arial"/>
                <w:sz w:val="16"/>
                <w:szCs w:val="16"/>
                <w:color w:val="0000FF"/>
              </w:rPr>
            </w:pPr>
            <w:hyperlink r:id="rId257">
              <w:r>
                <w:rPr>
                  <w:rFonts w:ascii="Arial" w:cs="Arial" w:eastAsia="Arial" w:hAnsi="Arial"/>
                  <w:sz w:val="16"/>
                  <w:szCs w:val="16"/>
                  <w:color w:val="0000FF"/>
                </w:rPr>
                <w:t>on Form 8-K dated July 13, 2021).</w:t>
              </w:r>
            </w:hyperlink>
          </w:p>
        </w:tc>
        <w:tc>
          <w:tcPr>
            <w:tcW w:w="860" w:type="dxa"/>
            <w:vAlign w:val="bottom"/>
            <w:tcBorders>
              <w:top w:val="single" w:sz="8" w:color="0000FF"/>
            </w:tcBorders>
            <w:gridSpan w:val="4"/>
          </w:tcPr>
          <w:p>
            <w:pPr>
              <w:spacing w:after="0"/>
              <w:rPr>
                <w:sz w:val="12"/>
                <w:szCs w:val="12"/>
                <w:color w:val="auto"/>
              </w:rPr>
            </w:pPr>
          </w:p>
        </w:tc>
        <w:tc>
          <w:tcPr>
            <w:tcW w:w="60" w:type="dxa"/>
            <w:vAlign w:val="bottom"/>
            <w:tcBorders>
              <w:top w:val="single" w:sz="8" w:color="0000FF"/>
            </w:tcBorders>
            <w:gridSpan w:val="2"/>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21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14"/>
          </w:tcPr>
          <w:p>
            <w:pPr>
              <w:spacing w:after="0" w:line="169" w:lineRule="exact"/>
              <w:rPr>
                <w:rFonts w:ascii="Arial" w:cs="Arial" w:eastAsia="Arial" w:hAnsi="Arial"/>
                <w:sz w:val="16"/>
                <w:szCs w:val="16"/>
                <w:color w:val="0000FF"/>
              </w:rPr>
            </w:pPr>
            <w:hyperlink w:anchor="page117">
              <w:r>
                <w:rPr>
                  <w:rFonts w:ascii="Arial" w:cs="Arial" w:eastAsia="Arial" w:hAnsi="Arial"/>
                  <w:sz w:val="16"/>
                  <w:szCs w:val="16"/>
                  <w:color w:val="0000FF"/>
                </w:rPr>
                <w:t>Subsidiaries of Registrant.</w:t>
              </w:r>
            </w:hyperlink>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23.1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14"/>
          </w:tcPr>
          <w:p>
            <w:pPr>
              <w:spacing w:after="0" w:line="169" w:lineRule="exact"/>
              <w:rPr>
                <w:rFonts w:ascii="Arial" w:cs="Arial" w:eastAsia="Arial" w:hAnsi="Arial"/>
                <w:sz w:val="16"/>
                <w:szCs w:val="16"/>
                <w:color w:val="0000FF"/>
              </w:rPr>
            </w:pPr>
            <w:hyperlink w:anchor="page121">
              <w:r>
                <w:rPr>
                  <w:rFonts w:ascii="Arial" w:cs="Arial" w:eastAsia="Arial" w:hAnsi="Arial"/>
                  <w:sz w:val="16"/>
                  <w:szCs w:val="16"/>
                  <w:color w:val="0000FF"/>
                </w:rPr>
                <w:t>Consent of Deloitte &amp; Touche LLP.</w:t>
              </w:r>
            </w:hyperlink>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14"/>
          </w:tcPr>
          <w:p>
            <w:pPr>
              <w:spacing w:after="0" w:line="169" w:lineRule="exact"/>
              <w:rPr>
                <w:rFonts w:ascii="Arial" w:cs="Arial" w:eastAsia="Arial" w:hAnsi="Arial"/>
                <w:sz w:val="16"/>
                <w:szCs w:val="16"/>
                <w:color w:val="0000FF"/>
              </w:rPr>
            </w:pPr>
            <w:hyperlink w:anchor="page122">
              <w:r>
                <w:rPr>
                  <w:rFonts w:ascii="Arial" w:cs="Arial" w:eastAsia="Arial" w:hAnsi="Arial"/>
                  <w:sz w:val="16"/>
                  <w:szCs w:val="16"/>
                  <w:color w:val="0000FF"/>
                </w:rPr>
                <w:t>Certification of Chief Executive Officer pursuant to Rules 13(a)-14(a) and 15(d)-14(a) promulgated under the Securities Exchange Act of</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w:anchor="page122">
              <w:r>
                <w:rPr>
                  <w:rFonts w:ascii="Arial" w:cs="Arial" w:eastAsia="Arial" w:hAnsi="Arial"/>
                  <w:sz w:val="16"/>
                  <w:szCs w:val="16"/>
                  <w:color w:val="0000FF"/>
                </w:rPr>
                <w:t>1934, as amended.</w:t>
              </w:r>
            </w:hyperlink>
          </w:p>
        </w:tc>
        <w:tc>
          <w:tcPr>
            <w:tcW w:w="280" w:type="dxa"/>
            <w:vAlign w:val="bottom"/>
            <w:tcBorders>
              <w:right w:val="single" w:sz="8" w:color="auto"/>
            </w:tcBorders>
            <w:gridSpan w:val="2"/>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14"/>
          </w:tcPr>
          <w:p>
            <w:pPr>
              <w:spacing w:after="0" w:line="169" w:lineRule="exact"/>
              <w:rPr>
                <w:rFonts w:ascii="Arial" w:cs="Arial" w:eastAsia="Arial" w:hAnsi="Arial"/>
                <w:sz w:val="16"/>
                <w:szCs w:val="16"/>
                <w:color w:val="0000FF"/>
              </w:rPr>
            </w:pPr>
            <w:hyperlink w:anchor="page123">
              <w:r>
                <w:rPr>
                  <w:rFonts w:ascii="Arial" w:cs="Arial" w:eastAsia="Arial" w:hAnsi="Arial"/>
                  <w:sz w:val="16"/>
                  <w:szCs w:val="16"/>
                  <w:color w:val="0000FF"/>
                </w:rPr>
                <w:t>Certification of Chief Financial Officer pursuant to Rules 13(a)-14(a) and 15(d)-14(a) promulgated under the Securities Exchange Act of</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w:anchor="page123">
              <w:r>
                <w:rPr>
                  <w:rFonts w:ascii="Arial" w:cs="Arial" w:eastAsia="Arial" w:hAnsi="Arial"/>
                  <w:sz w:val="16"/>
                  <w:szCs w:val="16"/>
                  <w:color w:val="0000FF"/>
                </w:rPr>
                <w:t>1934, as amended.</w:t>
              </w:r>
            </w:hyperlink>
          </w:p>
        </w:tc>
        <w:tc>
          <w:tcPr>
            <w:tcW w:w="340" w:type="dxa"/>
            <w:vAlign w:val="bottom"/>
            <w:tcBorders>
              <w:right w:val="single" w:sz="8" w:color="auto"/>
            </w:tcBorders>
            <w:gridSpan w:val="4"/>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14"/>
          </w:tcPr>
          <w:p>
            <w:pPr>
              <w:spacing w:after="0" w:line="169" w:lineRule="exact"/>
              <w:rPr>
                <w:rFonts w:ascii="Arial" w:cs="Arial" w:eastAsia="Arial" w:hAnsi="Arial"/>
                <w:sz w:val="16"/>
                <w:szCs w:val="16"/>
                <w:color w:val="0000FF"/>
              </w:rPr>
            </w:pPr>
            <w:hyperlink w:anchor="page124">
              <w:r>
                <w:rPr>
                  <w:rFonts w:ascii="Arial" w:cs="Arial" w:eastAsia="Arial" w:hAnsi="Arial"/>
                  <w:sz w:val="16"/>
                  <w:szCs w:val="16"/>
                  <w:color w:val="0000FF"/>
                </w:rPr>
                <w:t>Certifications Pursuant to 18 U.S.C. Section 1350, as Adopted Pursuant to Section 906 of the Sarbanes-Oxley Act of 2002.</w:t>
              </w:r>
            </w:hyperlink>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560" w:type="dxa"/>
            <w:vAlign w:val="bottom"/>
            <w:tcBorders>
              <w:top w:val="single" w:sz="8" w:color="0000FF"/>
              <w:bottom w:val="single" w:sz="8" w:color="auto"/>
            </w:tcBorders>
          </w:tcPr>
          <w:p>
            <w:pPr>
              <w:spacing w:after="0" w:line="20" w:lineRule="exact"/>
              <w:rPr>
                <w:sz w:val="1"/>
                <w:szCs w:val="1"/>
                <w:color w:val="auto"/>
              </w:rPr>
            </w:pPr>
          </w:p>
        </w:tc>
        <w:tc>
          <w:tcPr>
            <w:tcW w:w="478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r>
      <w:tr>
        <w:trPr>
          <w:trHeight w:val="171"/>
        </w:trPr>
        <w:tc>
          <w:tcPr>
            <w:tcW w:w="1140" w:type="dxa"/>
            <w:vAlign w:val="bottom"/>
            <w:tcBorders>
              <w:left w:val="single" w:sz="8" w:color="auto"/>
              <w:right w:val="single" w:sz="8" w:color="auto"/>
            </w:tcBorders>
          </w:tcPr>
          <w:p>
            <w:pPr>
              <w:ind w:left="40"/>
              <w:spacing w:after="0" w:line="171" w:lineRule="exact"/>
              <w:rPr>
                <w:sz w:val="20"/>
                <w:szCs w:val="20"/>
                <w:color w:val="auto"/>
              </w:rPr>
            </w:pPr>
            <w:r>
              <w:rPr>
                <w:rFonts w:ascii="Arial" w:cs="Arial" w:eastAsia="Arial" w:hAnsi="Arial"/>
                <w:sz w:val="16"/>
                <w:szCs w:val="16"/>
                <w:color w:val="auto"/>
              </w:rPr>
              <w:t>101.INS</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14"/>
          </w:tcPr>
          <w:p>
            <w:pPr>
              <w:spacing w:after="0" w:line="171"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r>
      <w:tr>
        <w:trPr>
          <w:trHeight w:val="198"/>
        </w:trPr>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0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6"/>
                <w:szCs w:val="16"/>
                <w:color w:val="auto"/>
              </w:rPr>
              <w:t>within the Inline XBRL document.</w:t>
            </w:r>
          </w:p>
        </w:tc>
      </w:tr>
      <w:tr>
        <w:trPr>
          <w:trHeight w:val="210"/>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101.SCH</w:t>
            </w: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6"/>
                <w:szCs w:val="16"/>
                <w:color w:val="auto"/>
              </w:rPr>
              <w:t>XBRL Taxonomy Extension Schema.</w:t>
            </w:r>
          </w:p>
        </w:tc>
      </w:tr>
      <w:tr>
        <w:trPr>
          <w:trHeight w:val="210"/>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101.CAL</w:t>
            </w: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09"/>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101.DEF</w:t>
            </w: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209"/>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101.LAB</w:t>
            </w: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6"/>
                <w:szCs w:val="16"/>
                <w:color w:val="auto"/>
              </w:rPr>
              <w:t>XBRL Taxonomy Extension Label Linkbase.</w:t>
            </w:r>
          </w:p>
        </w:tc>
      </w:tr>
      <w:tr>
        <w:trPr>
          <w:trHeight w:val="209"/>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101.PRE</w:t>
            </w: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174"/>
        </w:trPr>
        <w:tc>
          <w:tcPr>
            <w:tcW w:w="114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6"/>
                <w:szCs w:val="16"/>
                <w:color w:val="auto"/>
              </w:rPr>
              <w:t>104</w:t>
            </w:r>
          </w:p>
        </w:tc>
        <w:tc>
          <w:tcPr>
            <w:tcW w:w="1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tcBorders>
              <w:right w:val="single" w:sz="8" w:color="auto"/>
            </w:tcBorders>
            <w:gridSpan w:val="14"/>
          </w:tcPr>
          <w:p>
            <w:pPr>
              <w:spacing w:after="0" w:line="174" w:lineRule="exact"/>
              <w:rPr>
                <w:sz w:val="20"/>
                <w:szCs w:val="20"/>
                <w:color w:val="auto"/>
              </w:rPr>
            </w:pPr>
            <w:r>
              <w:rPr>
                <w:rFonts w:ascii="Arial" w:cs="Arial" w:eastAsia="Arial" w:hAnsi="Arial"/>
                <w:sz w:val="16"/>
                <w:szCs w:val="16"/>
                <w:color w:val="auto"/>
              </w:rPr>
              <w:t>The cover page from the Company’s Annual Report on Form 10-K for the year ended December 31, 2021, formatted as Inline XBRL and</w:t>
            </w:r>
          </w:p>
        </w:tc>
      </w:tr>
      <w:tr>
        <w:trPr>
          <w:trHeight w:val="198"/>
        </w:trPr>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0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6"/>
                <w:szCs w:val="16"/>
                <w:color w:val="auto"/>
              </w:rPr>
              <w:t>contained in Exhibit 101.</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2" w:lineRule="exact"/>
        <w:rPr>
          <w:sz w:val="20"/>
          <w:szCs w:val="20"/>
          <w:color w:val="auto"/>
        </w:rPr>
      </w:pPr>
    </w:p>
    <w:p>
      <w:pPr>
        <w:ind w:left="1020" w:hanging="994"/>
        <w:spacing w:after="0"/>
        <w:tabs>
          <w:tab w:leader="none" w:pos="10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Cendant Corporation is now known as Avis Budget Group, Inc.</w:t>
      </w:r>
    </w:p>
    <w:p>
      <w:pPr>
        <w:spacing w:after="0" w:line="32" w:lineRule="exact"/>
        <w:rPr>
          <w:sz w:val="20"/>
          <w:szCs w:val="20"/>
          <w:color w:val="auto"/>
        </w:rPr>
      </w:pPr>
    </w:p>
    <w:p>
      <w:pPr>
        <w:ind w:left="1020" w:hanging="994"/>
        <w:spacing w:after="0"/>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Cendant Car Rental Group, LLC (formerly known as Cendant Car Rental Group, Inc.) is now known as Avis Budget Car Rental, LLC.</w:t>
      </w:r>
    </w:p>
    <w:p>
      <w:pPr>
        <w:spacing w:after="0" w:line="32" w:lineRule="exact"/>
        <w:rPr>
          <w:rFonts w:ascii="Arial" w:cs="Arial" w:eastAsia="Arial" w:hAnsi="Arial"/>
          <w:sz w:val="16"/>
          <w:szCs w:val="16"/>
          <w:color w:val="auto"/>
        </w:rPr>
      </w:pPr>
    </w:p>
    <w:p>
      <w:pPr>
        <w:ind w:left="1020" w:right="280" w:hanging="994"/>
        <w:spacing w:after="0" w:line="232" w:lineRule="auto"/>
        <w:tabs>
          <w:tab w:leader="none" w:pos="10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Cendant Rental Car Funding (AESOP) LLC, formerly known as AESOP Funding II L.L.C, is now known as Avis Budget Rental Car Funding (AESOP) LLC.</w:t>
      </w:r>
    </w:p>
    <w:p>
      <w:pPr>
        <w:spacing w:after="0" w:line="22" w:lineRule="exact"/>
        <w:rPr>
          <w:rFonts w:ascii="Arial" w:cs="Arial" w:eastAsia="Arial" w:hAnsi="Arial"/>
          <w:sz w:val="16"/>
          <w:szCs w:val="16"/>
          <w:color w:val="auto"/>
        </w:rPr>
      </w:pPr>
    </w:p>
    <w:p>
      <w:pPr>
        <w:ind w:left="1020" w:hanging="994"/>
        <w:spacing w:after="0"/>
        <w:tabs>
          <w:tab w:leader="none" w:pos="10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Avis Rent A Car System, Inc. is now known as Avis Rent A Car System, LLC.</w:t>
      </w:r>
    </w:p>
    <w:p>
      <w:pPr>
        <w:spacing w:after="0" w:line="32" w:lineRule="exact"/>
        <w:rPr>
          <w:sz w:val="20"/>
          <w:szCs w:val="20"/>
          <w:color w:val="auto"/>
        </w:rPr>
      </w:pPr>
    </w:p>
    <w:p>
      <w:pPr>
        <w:ind w:left="1020" w:hanging="994"/>
        <w:spacing w:after="0"/>
        <w:tabs>
          <w:tab w:leader="none" w:pos="10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Denotes management contract or compensatory plan.</w:t>
      </w:r>
    </w:p>
    <w:p>
      <w:pPr>
        <w:spacing w:after="0" w:line="32" w:lineRule="exact"/>
        <w:rPr>
          <w:sz w:val="20"/>
          <w:szCs w:val="20"/>
          <w:color w:val="auto"/>
        </w:rPr>
      </w:pPr>
    </w:p>
    <w:p>
      <w:pPr>
        <w:ind w:left="1020" w:right="200" w:hanging="994"/>
        <w:spacing w:after="0" w:line="232" w:lineRule="auto"/>
        <w:tabs>
          <w:tab w:leader="none" w:pos="10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Confidential treatment has been requested for certain portions of this Exhibit pursuant to Rule 24b-2 of the Securities Exchange Act of 1934, as amended, which portions have been omitted and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H-5</w:t>
      </w:r>
    </w:p>
    <w:p>
      <w:pPr>
        <w:sectPr>
          <w:pgSz w:w="11900" w:h="16838" w:orient="portrait"/>
          <w:cols w:equalWidth="0" w:num="1">
            <w:col w:w="11260"/>
          </w:cols>
          <w:pgMar w:left="320" w:top="140" w:right="319" w:bottom="1440" w:gutter="0" w:footer="0" w:header="0"/>
        </w:sectPr>
      </w:pPr>
    </w:p>
    <w:bookmarkStart w:id="110" w:name="page111"/>
    <w:bookmarkEnd w:id="110"/>
    <w:p>
      <w:pPr>
        <w:ind w:left="10400"/>
        <w:spacing w:after="0"/>
        <w:rPr>
          <w:sz w:val="20"/>
          <w:szCs w:val="20"/>
          <w:color w:val="auto"/>
        </w:rPr>
      </w:pPr>
      <w:r>
        <w:rPr>
          <w:rFonts w:ascii="Arial" w:cs="Arial" w:eastAsia="Arial" w:hAnsi="Arial"/>
          <w:sz w:val="16"/>
          <w:szCs w:val="16"/>
          <w:b w:val="1"/>
          <w:bCs w:val="1"/>
          <w:color w:val="auto"/>
        </w:rPr>
        <w:t>Exhibit 4.8</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w:t>
      </w:r>
    </w:p>
    <w:p>
      <w:pPr>
        <w:spacing w:after="0" w:line="166" w:lineRule="exact"/>
        <w:rPr>
          <w:sz w:val="20"/>
          <w:szCs w:val="20"/>
          <w:color w:val="auto"/>
        </w:rPr>
      </w:pPr>
    </w:p>
    <w:p>
      <w:pPr>
        <w:ind w:right="560" w:firstLine="170"/>
        <w:spacing w:after="0" w:line="277" w:lineRule="auto"/>
        <w:rPr>
          <w:sz w:val="20"/>
          <w:szCs w:val="20"/>
          <w:color w:val="auto"/>
        </w:rPr>
      </w:pPr>
      <w:r>
        <w:rPr>
          <w:rFonts w:ascii="Arial" w:cs="Arial" w:eastAsia="Arial" w:hAnsi="Arial"/>
          <w:sz w:val="18"/>
          <w:szCs w:val="18"/>
          <w:color w:val="auto"/>
        </w:rPr>
        <w:t>Avis Budget Group, Inc., a Delaware corporation (the “Company”), has the following classes of securities registered pursuant to Section 12 of the Securities Exchange Act of 1934, as amended.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description of the Company’s common stock, par value $0.01 per share (the “Common Stock”), is a summary and does not purport to be complete. It is subject to and qualified in its entirety by reference to the Company’s amended and restated certificate of incorporation (the “Certificate of Incorporation”) and amended and restated bylaws (the “Bylaws”), which are incorporated by reference as exhibits to the Annual Report on Form 10-K of which this exhibit is a part, and which we encourage you to refer to. In addition, you should refer to the General Corporation Law of Delaware, as amended (the “DGCL”), which may also affect the terms of the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 of Capital Stock</w:t>
      </w:r>
    </w:p>
    <w:p>
      <w:pPr>
        <w:spacing w:after="0" w:line="229"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The amended and restated certificate of incorporation of the Company authorizes the Company to issue 260,000,000 shares, consisting of 250,000,000 shares of Common Stock and 10,000,000 shares of preferred stock, par value $0.01 per share (the “Preferred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 Paid and Nonassessable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outstanding shares of Common Stock are fully paid and non-assessable.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jc w:val="both"/>
        <w:ind w:right="320" w:firstLine="648"/>
        <w:spacing w:after="0" w:line="342" w:lineRule="auto"/>
        <w:rPr>
          <w:sz w:val="20"/>
          <w:szCs w:val="20"/>
          <w:color w:val="auto"/>
        </w:rPr>
      </w:pPr>
      <w:r>
        <w:rPr>
          <w:rFonts w:ascii="Arial" w:cs="Arial" w:eastAsia="Arial" w:hAnsi="Arial"/>
          <w:sz w:val="16"/>
          <w:szCs w:val="16"/>
          <w:color w:val="auto"/>
        </w:rPr>
        <w:t>The holder of each share of Common Stock is entitled to cast one vote on all matters submitted to a vote of stockholders. Holders of Common Stock do not have cumulative voting rights. Each share will continue to have one vote following a stock split, stock dividend or similar reclassification.</w:t>
      </w:r>
    </w:p>
    <w:p>
      <w:pPr>
        <w:spacing w:after="0" w:line="124"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affirmative vote of the holders of at least 80% of the voting power of all shares of Common Stock shall be required to alter, amend, adopt any provision inconsistent with, or repeal certain provisions in the Company’s Certificate of Incorporation related to the election of directors, stockholder nomination of directors, newly created directorships and vacancies, stockholder action, by-law amendments or charter amendments, and certain provisions in the Bylaws related to annual or special meetings of stockholders or stockholder action.</w:t>
      </w:r>
    </w:p>
    <w:p>
      <w:pPr>
        <w:spacing w:after="0" w:line="17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addition, as further described below, the affirmative vote of the holders of at least 80% of the voting power of all shares of Common Stock shall be required to approve certain transactions with an interested stockholder or affiliate thereof, unless such transaction meets certain pricing requirements and is approved by a majority of disinterested directors. This voting requirement is notwithstanding the requirements of any law, agreement with any national securities exchange or otherwise. An “interested stockholder” is any person that (i) is the beneficial owner of 5% or more of the Common Stock, (ii) is an affiliate of the Company and within the last two years was the beneficial owner of 5% or more of the Common Stock or (iii) is an assignee of or successor to shares of Common Stock which were owned by such persons within the last two years. The Board of Directors of the Company (the “Board”), by majority vote, has the power and authority to determine whether a person is an “interested stockholder” or an affiliate thereof, the beneficial ownership of such person, and whether any transaction meets the pricing requirements referred to above.</w:t>
      </w:r>
    </w:p>
    <w:p>
      <w:pPr>
        <w:sectPr>
          <w:pgSz w:w="11900" w:h="16838" w:orient="portrait"/>
          <w:cols w:equalWidth="0" w:num="1">
            <w:col w:w="11240"/>
          </w:cols>
          <w:pgMar w:left="320" w:top="1431"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Dividend Rights</w:t>
      </w:r>
    </w:p>
    <w:p>
      <w:pPr>
        <w:spacing w:after="0" w:line="229" w:lineRule="exact"/>
        <w:rPr>
          <w:sz w:val="20"/>
          <w:szCs w:val="20"/>
          <w:color w:val="auto"/>
        </w:rPr>
      </w:pPr>
    </w:p>
    <w:p>
      <w:pPr>
        <w:ind w:right="100" w:firstLine="180"/>
        <w:spacing w:after="0" w:line="277" w:lineRule="auto"/>
        <w:rPr>
          <w:sz w:val="20"/>
          <w:szCs w:val="20"/>
          <w:color w:val="auto"/>
        </w:rPr>
      </w:pPr>
      <w:r>
        <w:rPr>
          <w:rFonts w:ascii="Arial" w:cs="Arial" w:eastAsia="Arial" w:hAnsi="Arial"/>
          <w:sz w:val="18"/>
          <w:szCs w:val="18"/>
          <w:color w:val="auto"/>
        </w:rPr>
        <w:t>Subject to the rights of the holders of Preferred Stock, the Company is permitted to pay dividends from time to time on Common Stock out of the assets or funds of the Company legally available for the payment of dividends under Delaware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After payment of or provision for all liabilities, including contingent liabilities, of the Company and payment of the liquidation preference payable to any holders of Preferred Stock, if any, holders of Common Stock are entitled, upon voluntary or involuntary liquidation, dissolution or winding-up of the Company, to receive their proportionate interest in the net assets of the Company, if any, remaining for distribution to stockholders.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w:t>
      </w:r>
    </w:p>
    <w:p>
      <w:pPr>
        <w:spacing w:after="0" w:line="229"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The holders of Common Stock have no preemptive or conversion rights and are not subject to further calls or assessments. There are no redemption or sinking fund provisions or restrictions on alienability applicable to the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Takeover Defense</w:t>
      </w:r>
    </w:p>
    <w:p>
      <w:pPr>
        <w:spacing w:after="0" w:line="229" w:lineRule="exact"/>
        <w:rPr>
          <w:sz w:val="20"/>
          <w:szCs w:val="20"/>
          <w:color w:val="auto"/>
        </w:rPr>
      </w:pPr>
    </w:p>
    <w:p>
      <w:pPr>
        <w:jc w:val="both"/>
        <w:ind w:right="100" w:firstLine="648"/>
        <w:spacing w:after="0" w:line="311" w:lineRule="auto"/>
        <w:rPr>
          <w:sz w:val="20"/>
          <w:szCs w:val="20"/>
          <w:color w:val="auto"/>
        </w:rPr>
      </w:pPr>
      <w:r>
        <w:rPr>
          <w:rFonts w:ascii="Arial" w:cs="Arial" w:eastAsia="Arial" w:hAnsi="Arial"/>
          <w:sz w:val="16"/>
          <w:szCs w:val="16"/>
          <w:color w:val="auto"/>
        </w:rPr>
        <w:t>Certain provisions of the Certificate of Incorporation, the By-laws and the DGCL have anti-takeover effects and could delay, discourage, defer or prevent a tender offer or takeover attempt that a shareholder might consider to be in the shareholder’s best interests, including attempts that might result in a premium over the market price for the shares held by shareholders, and may make removal of the incumbent management and directors more difficult.</w:t>
      </w:r>
    </w:p>
    <w:p>
      <w:pPr>
        <w:spacing w:after="0" w:line="149"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i w:val="1"/>
          <w:iCs w:val="1"/>
          <w:color w:val="auto"/>
        </w:rPr>
        <w:t>Authorized Shares</w:t>
      </w:r>
      <w:r>
        <w:rPr>
          <w:rFonts w:ascii="Arial" w:cs="Arial" w:eastAsia="Arial" w:hAnsi="Arial"/>
          <w:sz w:val="16"/>
          <w:szCs w:val="16"/>
          <w:color w:val="auto"/>
        </w:rPr>
        <w:t>. The authorized but unissued shares of Common Stock and Preferred Stock will be available for future issuance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the Company by means of a proxy contest, tender offer, merger or otherwise.</w:t>
      </w:r>
    </w:p>
    <w:p>
      <w:pPr>
        <w:spacing w:after="0" w:line="15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Board will have the sole authority to determine the terms of any one or more series of Preferred Stock, including voting rights, dividend rates, conversion and redemption rights and liquidation preferences. As a result of the ability to fix voting rights for a series of Preferred Stock, the Board will have the power to the extent consistent with its legal duties to issue a series of Preferred Stock to persons friendly to management in order to attempt to block a tender offer, merger or other transaction by which a third-party seeks control of the Company, and thereby assist members of management to retain their positions.</w:t>
      </w:r>
    </w:p>
    <w:p>
      <w:pPr>
        <w:spacing w:after="0" w:line="188"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i w:val="1"/>
          <w:iCs w:val="1"/>
          <w:color w:val="auto"/>
        </w:rPr>
        <w:t>No Stockholder Action by Written Consent; Special Meetings</w:t>
      </w:r>
      <w:r>
        <w:rPr>
          <w:rFonts w:ascii="Arial" w:cs="Arial" w:eastAsia="Arial" w:hAnsi="Arial"/>
          <w:sz w:val="16"/>
          <w:szCs w:val="16"/>
          <w:color w:val="auto"/>
        </w:rPr>
        <w:t>. Any action required or permitted to be taken by the stockholders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must be duly effected at an annual or special meeting of such holders and may not be taken by any consent in writing by such holders. Special meetings of stockholders of the Company may be called only by the Chairman of the Board, the President or a majority of the full Board pursuant to a resolution stating the purpose or purposes of the special meeting. No business other than that stated in the notice shall be transacted at any special meeting.</w:t>
      </w:r>
    </w:p>
    <w:p>
      <w:pPr>
        <w:spacing w:after="0" w:line="157" w:lineRule="exact"/>
        <w:rPr>
          <w:sz w:val="20"/>
          <w:szCs w:val="20"/>
          <w:color w:val="auto"/>
        </w:rPr>
      </w:pPr>
    </w:p>
    <w:p>
      <w:pPr>
        <w:jc w:val="both"/>
        <w:ind w:right="60" w:firstLine="648"/>
        <w:spacing w:after="0" w:line="275" w:lineRule="auto"/>
        <w:rPr>
          <w:sz w:val="20"/>
          <w:szCs w:val="20"/>
          <w:color w:val="auto"/>
        </w:rPr>
      </w:pPr>
      <w:r>
        <w:rPr>
          <w:rFonts w:ascii="Arial" w:cs="Arial" w:eastAsia="Arial" w:hAnsi="Arial"/>
          <w:sz w:val="17"/>
          <w:szCs w:val="17"/>
          <w:i w:val="1"/>
          <w:iCs w:val="1"/>
          <w:color w:val="auto"/>
        </w:rPr>
        <w:t>Advance Notice for Stockholder Nominations and Proposals of New Business</w:t>
      </w:r>
      <w:r>
        <w:rPr>
          <w:rFonts w:ascii="Arial" w:cs="Arial" w:eastAsia="Arial" w:hAnsi="Arial"/>
          <w:sz w:val="17"/>
          <w:szCs w:val="17"/>
          <w:color w:val="auto"/>
        </w:rPr>
        <w:t>. The Bylaws establish an advance notice procedure. This procedure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stockholders to deliver to the Company notice of any proposal to be presented at an annual meeting of stockholders not less than 60 nor more than 90 days prior to the anniversary of the preceding annual meeting of stockholders, and notice of a candidate to be nominated for election as a director of the Company at an annual meeting of stockholders not less than 90 days prior to such anniversary. However, in both instances, if the date of the meeting is not within 25 days of such anniversary or with respect to director nominations</w:t>
      </w:r>
    </w:p>
    <w:p>
      <w:pPr>
        <w:sectPr>
          <w:pgSz w:w="11900" w:h="16838" w:orient="portrait"/>
          <w:cols w:equalWidth="0" w:num="1">
            <w:col w:w="11220"/>
          </w:cols>
          <w:pgMar w:left="320" w:top="1417" w:right="359" w:bottom="1440" w:gutter="0" w:footer="0" w:header="0"/>
        </w:sectPr>
      </w:pPr>
    </w:p>
    <w:bookmarkStart w:id="112" w:name="page113"/>
    <w:bookmarkEnd w:id="112"/>
    <w:p>
      <w:pPr>
        <w:ind w:right="220"/>
        <w:spacing w:after="0" w:line="277" w:lineRule="auto"/>
        <w:rPr>
          <w:sz w:val="20"/>
          <w:szCs w:val="20"/>
          <w:color w:val="auto"/>
        </w:rPr>
      </w:pPr>
      <w:r>
        <w:rPr>
          <w:rFonts w:ascii="Arial" w:cs="Arial" w:eastAsia="Arial" w:hAnsi="Arial"/>
          <w:sz w:val="18"/>
          <w:szCs w:val="18"/>
          <w:color w:val="auto"/>
        </w:rPr>
        <w:t>for an election to be held at a special meeting of stockholders, advance notice shall be given not later than 10 days after the actual meeting date is first so announced or notice thereof was mailed, whichever first occurs.</w:t>
      </w:r>
    </w:p>
    <w:p>
      <w:pPr>
        <w:spacing w:after="0" w:line="170"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i w:val="1"/>
          <w:iCs w:val="1"/>
          <w:color w:val="auto"/>
        </w:rPr>
        <w:t>Delaware Business Combination Statute</w:t>
      </w:r>
      <w:r>
        <w:rPr>
          <w:rFonts w:ascii="Arial" w:cs="Arial" w:eastAsia="Arial" w:hAnsi="Arial"/>
          <w:sz w:val="16"/>
          <w:szCs w:val="16"/>
          <w:color w:val="auto"/>
        </w:rPr>
        <w:t>. The Company is subject to Section 203 of the DGCL, an anti-takeover law. In general, Section 203</w:t>
      </w:r>
      <w:r>
        <w:rPr>
          <w:rFonts w:ascii="Arial" w:cs="Arial" w:eastAsia="Arial" w:hAnsi="Arial"/>
          <w:sz w:val="16"/>
          <w:szCs w:val="16"/>
          <w:i w:val="1"/>
          <w:iCs w:val="1"/>
          <w:color w:val="auto"/>
        </w:rPr>
        <w:t xml:space="preserve"> </w:t>
      </w:r>
      <w:r>
        <w:rPr>
          <w:rFonts w:ascii="Arial" w:cs="Arial" w:eastAsia="Arial" w:hAnsi="Arial"/>
          <w:sz w:val="16"/>
          <w:szCs w:val="16"/>
          <w:color w:val="auto"/>
        </w:rPr>
        <w:t>prohibits a publicly held Delaware corporation from engaging in a business combination with an interested stockholder for a period of three years following the date such person becomes an interested stockholder, unless the business combination or the transaction in which such person becomes an interested stockholder is approved in a prescribed manner. Generally, a “business combination” includes a merger, asset or stock sale, or other transaction resulting in a financial benefit to the interested stockholder. Generally, an “interested stockholder” is a person that, together with affiliates and associates, owns, or within three years prior to the determination of interested stockholder status did own, 15% or more of a corporation’s voting stock. The existence of this provision may have an anti-takeover effect with respect to transactions not approved in advance by the Board and the anti-takeover effect includes discouraging attempts that might result in a premium over the market price for the shares of Common Stock.</w:t>
      </w:r>
    </w:p>
    <w:p>
      <w:pPr>
        <w:spacing w:after="0" w:line="16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addition to the approval requirements under Delaware law, the Certificate of Incorporation includes additional requirements concerning certain “business combinations” which is defined in the Certificate of Incorporation to include any of the following:</w:t>
      </w:r>
    </w:p>
    <w:p>
      <w:pPr>
        <w:spacing w:after="0" w:line="184" w:lineRule="exact"/>
        <w:rPr>
          <w:sz w:val="20"/>
          <w:szCs w:val="20"/>
          <w:color w:val="auto"/>
        </w:rPr>
      </w:pPr>
    </w:p>
    <w:p>
      <w:pPr>
        <w:ind w:left="980" w:hanging="324"/>
        <w:spacing w:after="0" w:line="266" w:lineRule="auto"/>
        <w:tabs>
          <w:tab w:leader="none" w:pos="97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merger or consolidation of the Company or any majority-owned subsidiary with (a) any interested stockholder or (b) any other corporation (whether or not itself an interested stockholder) that is, or after such merger or consolidation would be, an affiliate of an interested stockholder;</w:t>
      </w:r>
    </w:p>
    <w:p>
      <w:pPr>
        <w:spacing w:after="0" w:line="13" w:lineRule="exact"/>
        <w:rPr>
          <w:rFonts w:ascii="Arial" w:cs="Arial" w:eastAsia="Arial" w:hAnsi="Arial"/>
          <w:sz w:val="18"/>
          <w:szCs w:val="18"/>
          <w:color w:val="auto"/>
        </w:rPr>
      </w:pPr>
    </w:p>
    <w:p>
      <w:pPr>
        <w:ind w:left="980" w:right="40" w:hanging="324"/>
        <w:spacing w:after="0" w:line="261" w:lineRule="auto"/>
        <w:tabs>
          <w:tab w:leader="none" w:pos="905" w:val="left"/>
        </w:tabs>
        <w:numPr>
          <w:ilvl w:val="0"/>
          <w:numId w:val="83"/>
        </w:numPr>
        <w:rPr>
          <w:rFonts w:ascii="Arial" w:cs="Arial" w:eastAsia="Arial" w:hAnsi="Arial"/>
          <w:sz w:val="20"/>
          <w:szCs w:val="20"/>
          <w:color w:val="auto"/>
        </w:rPr>
      </w:pPr>
      <w:r>
        <w:rPr>
          <w:rFonts w:ascii="Arial" w:cs="Arial" w:eastAsia="Arial" w:hAnsi="Arial"/>
          <w:sz w:val="18"/>
          <w:szCs w:val="18"/>
          <w:color w:val="auto"/>
        </w:rPr>
        <w:t>any sale, lease, exchange, mortgage, pledge, transfer or other disposition (in one transaction or a series of transactions) to or with any interested stockholder or any affiliate of any interested stockholder of any assets of the Company or any majority-owned subsidiary having an aggregate fair market value of $10 million or more;</w:t>
      </w:r>
    </w:p>
    <w:p>
      <w:pPr>
        <w:spacing w:after="0" w:line="15" w:lineRule="exact"/>
        <w:rPr>
          <w:rFonts w:ascii="Arial" w:cs="Arial" w:eastAsia="Arial" w:hAnsi="Arial"/>
          <w:sz w:val="20"/>
          <w:szCs w:val="20"/>
          <w:color w:val="auto"/>
        </w:rPr>
      </w:pPr>
    </w:p>
    <w:p>
      <w:pPr>
        <w:ind w:left="980" w:right="60" w:hanging="324"/>
        <w:spacing w:after="0" w:line="276" w:lineRule="auto"/>
        <w:tabs>
          <w:tab w:leader="none" w:pos="905" w:val="left"/>
        </w:tabs>
        <w:numPr>
          <w:ilvl w:val="0"/>
          <w:numId w:val="83"/>
        </w:numPr>
        <w:rPr>
          <w:rFonts w:ascii="Arial" w:cs="Arial" w:eastAsia="Arial" w:hAnsi="Arial"/>
          <w:sz w:val="19"/>
          <w:szCs w:val="19"/>
          <w:color w:val="auto"/>
        </w:rPr>
      </w:pPr>
      <w:r>
        <w:rPr>
          <w:rFonts w:ascii="Arial" w:cs="Arial" w:eastAsia="Arial" w:hAnsi="Arial"/>
          <w:sz w:val="17"/>
          <w:szCs w:val="17"/>
          <w:color w:val="auto"/>
        </w:rPr>
        <w:t>the issuance or transfer by the Company or any majority-owned subsidiary (in one transaction or series of transactions) of any securities of the Company or any majority-owned subsidiary to any interested stockholder or to any affiliate of any interested stockholder in exchange for cash, securities or other property (or a combination thereof) having an aggregate fair market value of $10 million or more;</w:t>
      </w:r>
    </w:p>
    <w:p>
      <w:pPr>
        <w:spacing w:after="0" w:line="14" w:lineRule="exact"/>
        <w:rPr>
          <w:rFonts w:ascii="Arial" w:cs="Arial" w:eastAsia="Arial" w:hAnsi="Arial"/>
          <w:sz w:val="19"/>
          <w:szCs w:val="19"/>
          <w:color w:val="auto"/>
        </w:rPr>
      </w:pPr>
    </w:p>
    <w:p>
      <w:pPr>
        <w:ind w:left="980" w:right="160" w:hanging="324"/>
        <w:spacing w:after="0" w:line="259" w:lineRule="auto"/>
        <w:tabs>
          <w:tab w:leader="none" w:pos="905" w:val="left"/>
        </w:tabs>
        <w:numPr>
          <w:ilvl w:val="0"/>
          <w:numId w:val="83"/>
        </w:numPr>
        <w:rPr>
          <w:rFonts w:ascii="Arial" w:cs="Arial" w:eastAsia="Arial" w:hAnsi="Arial"/>
          <w:sz w:val="20"/>
          <w:szCs w:val="20"/>
          <w:color w:val="auto"/>
        </w:rPr>
      </w:pPr>
      <w:r>
        <w:rPr>
          <w:rFonts w:ascii="Arial" w:cs="Arial" w:eastAsia="Arial" w:hAnsi="Arial"/>
          <w:sz w:val="18"/>
          <w:szCs w:val="18"/>
          <w:color w:val="auto"/>
        </w:rPr>
        <w:t>the adoption of any plan or proposal for the liquidation or dissolution of the Company proposed by or on behalf of any interested stockholder or any affiliate of any interested stockholder; or</w:t>
      </w:r>
    </w:p>
    <w:p>
      <w:pPr>
        <w:spacing w:after="0" w:line="14" w:lineRule="exact"/>
        <w:rPr>
          <w:rFonts w:ascii="Arial" w:cs="Arial" w:eastAsia="Arial" w:hAnsi="Arial"/>
          <w:sz w:val="20"/>
          <w:szCs w:val="20"/>
          <w:color w:val="auto"/>
        </w:rPr>
      </w:pPr>
    </w:p>
    <w:p>
      <w:pPr>
        <w:ind w:left="980" w:right="100" w:hanging="324"/>
        <w:spacing w:after="0" w:line="294" w:lineRule="auto"/>
        <w:tabs>
          <w:tab w:leader="none" w:pos="905" w:val="left"/>
        </w:tabs>
        <w:numPr>
          <w:ilvl w:val="0"/>
          <w:numId w:val="83"/>
        </w:numPr>
        <w:rPr>
          <w:rFonts w:ascii="Arial" w:cs="Arial" w:eastAsia="Arial" w:hAnsi="Arial"/>
          <w:sz w:val="18"/>
          <w:szCs w:val="18"/>
          <w:color w:val="auto"/>
        </w:rPr>
      </w:pPr>
      <w:r>
        <w:rPr>
          <w:rFonts w:ascii="Arial" w:cs="Arial" w:eastAsia="Arial" w:hAnsi="Arial"/>
          <w:sz w:val="16"/>
          <w:szCs w:val="16"/>
          <w:color w:val="auto"/>
        </w:rPr>
        <w:t>any reclassification of securities (including any reverse stock split) or recapitalization of the Company or any merger or consolidation of the Company with any of its majority-owned subsidiaries or any other transaction (whether or not with or into or otherwise involving an interested stockholder) which has the effect, directly or indirectly, of increasing the proportionate share of the outstanding shares of any class of equity security of the Company or any majority-owned subsidiary that is directly or indirectly owned by any interested stockholder or any</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affiliate of any interested stockholder.</w:t>
      </w:r>
    </w:p>
    <w:p>
      <w:pPr>
        <w:spacing w:after="0" w:line="23" w:lineRule="exact"/>
        <w:rPr>
          <w:sz w:val="20"/>
          <w:szCs w:val="20"/>
          <w:color w:val="auto"/>
        </w:rPr>
      </w:pPr>
    </w:p>
    <w:p>
      <w:pPr>
        <w:ind w:right="40" w:firstLine="445"/>
        <w:spacing w:after="0" w:line="290" w:lineRule="auto"/>
        <w:rPr>
          <w:sz w:val="20"/>
          <w:szCs w:val="20"/>
          <w:color w:val="auto"/>
        </w:rPr>
      </w:pPr>
      <w:r>
        <w:rPr>
          <w:rFonts w:ascii="Arial" w:cs="Arial" w:eastAsia="Arial" w:hAnsi="Arial"/>
          <w:sz w:val="17"/>
          <w:szCs w:val="17"/>
          <w:color w:val="auto"/>
        </w:rPr>
        <w:t>Any business combination defined above requires approval by the affirmative vote of at least 80% of the voting power of the then outstanding shares of the Company’s capital stock entitled to vote generally in the election of directors, voting together as a single class, unless:</w:t>
      </w:r>
    </w:p>
    <w:p>
      <w:pPr>
        <w:spacing w:after="0" w:line="161" w:lineRule="exact"/>
        <w:rPr>
          <w:sz w:val="20"/>
          <w:szCs w:val="20"/>
          <w:color w:val="auto"/>
        </w:rPr>
      </w:pPr>
    </w:p>
    <w:p>
      <w:pPr>
        <w:ind w:left="1100" w:hanging="323"/>
        <w:spacing w:after="0"/>
        <w:tabs>
          <w:tab w:leader="none" w:pos="11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business combination is approved by a majority of the disinterested directors; or</w:t>
      </w:r>
    </w:p>
    <w:p>
      <w:pPr>
        <w:spacing w:after="0" w:line="23" w:lineRule="exact"/>
        <w:rPr>
          <w:rFonts w:ascii="Arial" w:cs="Arial" w:eastAsia="Arial" w:hAnsi="Arial"/>
          <w:sz w:val="18"/>
          <w:szCs w:val="18"/>
          <w:color w:val="auto"/>
        </w:rPr>
      </w:pPr>
    </w:p>
    <w:p>
      <w:pPr>
        <w:ind w:left="1100" w:hanging="323"/>
        <w:spacing w:after="0"/>
        <w:tabs>
          <w:tab w:leader="none" w:pos="11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certain minimum price criteria and procedural requirements are satisfied.</w:t>
      </w:r>
    </w:p>
    <w:p>
      <w:pPr>
        <w:spacing w:after="0" w:line="9" w:lineRule="exact"/>
        <w:rPr>
          <w:sz w:val="20"/>
          <w:szCs w:val="20"/>
          <w:color w:val="auto"/>
        </w:rPr>
      </w:pPr>
    </w:p>
    <w:p>
      <w:pPr>
        <w:ind w:right="40" w:firstLine="445"/>
        <w:spacing w:after="0" w:line="260" w:lineRule="auto"/>
        <w:rPr>
          <w:sz w:val="20"/>
          <w:szCs w:val="20"/>
          <w:color w:val="auto"/>
        </w:rPr>
      </w:pPr>
      <w:r>
        <w:rPr>
          <w:rFonts w:ascii="Arial" w:cs="Arial" w:eastAsia="Arial" w:hAnsi="Arial"/>
          <w:sz w:val="18"/>
          <w:szCs w:val="18"/>
          <w:color w:val="auto"/>
        </w:rPr>
        <w:t>In general, a “disinterested director” means a director that is not affiliated with the interested stockholder and was a member of the board of directors prior to the time that the interested stockholder became an interested stockholder.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Common Stock has been listed on the NASDAQ Global Select Market under the ticker symbol “CAR”.</w:t>
      </w:r>
    </w:p>
    <w:p>
      <w:pPr>
        <w:sectPr>
          <w:pgSz w:w="11900" w:h="16838" w:orient="portrait"/>
          <w:cols w:equalWidth="0" w:num="1">
            <w:col w:w="11220"/>
          </w:cols>
          <w:pgMar w:left="320" w:top="1421" w:right="3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jc w:val="right"/>
        <w:ind w:right="5139"/>
        <w:spacing w:after="0"/>
        <w:rPr>
          <w:sz w:val="20"/>
          <w:szCs w:val="20"/>
          <w:color w:val="auto"/>
        </w:rPr>
      </w:pPr>
      <w:r>
        <w:rPr>
          <w:rFonts w:ascii="Arial" w:cs="Arial" w:eastAsia="Arial" w:hAnsi="Arial"/>
          <w:sz w:val="18"/>
          <w:szCs w:val="18"/>
          <w:color w:val="auto"/>
        </w:rPr>
        <w:t>The transfer agent for the Common Stock is Computershare.</w:t>
      </w:r>
    </w:p>
    <w:p>
      <w:pPr>
        <w:sectPr>
          <w:pgSz w:w="11900" w:h="16838" w:orient="portrait"/>
          <w:cols w:equalWidth="0" w:num="1">
            <w:col w:w="10139"/>
          </w:cols>
          <w:pgMar w:left="320" w:top="1417" w:right="1440" w:bottom="1440" w:gutter="0" w:footer="0" w:header="0"/>
        </w:sectPr>
      </w:pPr>
    </w:p>
    <w:bookmarkStart w:id="114" w:name="page115"/>
    <w:bookmarkEnd w:id="114"/>
    <w:p>
      <w:pPr>
        <w:jc w:val="right"/>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486025" cy="3257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2486025" cy="325755"/>
                    </a:xfrm>
                    <a:prstGeom prst="rect">
                      <a:avLst/>
                    </a:prstGeom>
                    <a:noFill/>
                  </pic:spPr>
                </pic:pic>
              </a:graphicData>
            </a:graphic>
          </wp:anchor>
        </w:drawing>
        <w:t>Exhibit 10.6</w:t>
      </w:r>
    </w:p>
    <w:p>
      <w:pPr>
        <w:spacing w:after="0"/>
        <w:rPr>
          <w:sz w:val="20"/>
          <w:szCs w:val="20"/>
          <w:color w:val="auto"/>
        </w:rPr>
      </w:pPr>
      <w:r>
        <w:rPr>
          <w:rFonts w:ascii="Arial" w:cs="Arial" w:eastAsia="Arial" w:hAnsi="Arial"/>
          <w:sz w:val="20"/>
          <w:szCs w:val="20"/>
          <w:color w:val="auto"/>
        </w:rPr>
        <w:t>February 4, 2021</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Veresh Sita</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Dear Veresh,</w:t>
      </w:r>
    </w:p>
    <w:p>
      <w:pPr>
        <w:spacing w:after="0" w:line="202" w:lineRule="exact"/>
        <w:rPr>
          <w:sz w:val="20"/>
          <w:szCs w:val="20"/>
          <w:color w:val="auto"/>
        </w:rPr>
      </w:pPr>
    </w:p>
    <w:p>
      <w:pPr>
        <w:ind w:right="40"/>
        <w:spacing w:after="0" w:line="209" w:lineRule="auto"/>
        <w:rPr>
          <w:sz w:val="20"/>
          <w:szCs w:val="20"/>
          <w:color w:val="auto"/>
        </w:rPr>
      </w:pPr>
      <w:r>
        <w:rPr>
          <w:rFonts w:ascii="Arial" w:cs="Arial" w:eastAsia="Arial" w:hAnsi="Arial"/>
          <w:sz w:val="20"/>
          <w:szCs w:val="20"/>
          <w:color w:val="auto"/>
        </w:rPr>
        <w:t>We are pleased to confirm our offer of employment with Avis Budget Group, Inc. (“Avis Budget” or “the Company”), as Executive Vice President, Chief Digital &amp; Innovation Officer. Your start date will be on or around April 1, 2021 and you will report directly to Joseph Ferraro, President and Chief Executive Officer. Your base salary will be $19,230.77 paid on a bi-weekly basis, which equates to an annualized salary of $500,000.</w:t>
      </w:r>
    </w:p>
    <w:p>
      <w:pPr>
        <w:spacing w:after="0" w:line="198" w:lineRule="exact"/>
        <w:rPr>
          <w:sz w:val="20"/>
          <w:szCs w:val="20"/>
          <w:color w:val="auto"/>
        </w:rPr>
      </w:pPr>
    </w:p>
    <w:p>
      <w:pPr>
        <w:ind w:right="260"/>
        <w:spacing w:after="0" w:line="207" w:lineRule="auto"/>
        <w:rPr>
          <w:sz w:val="20"/>
          <w:szCs w:val="20"/>
          <w:color w:val="auto"/>
        </w:rPr>
      </w:pPr>
      <w:r>
        <w:rPr>
          <w:rFonts w:ascii="Arial" w:cs="Arial" w:eastAsia="Arial" w:hAnsi="Arial"/>
          <w:sz w:val="20"/>
          <w:szCs w:val="20"/>
          <w:color w:val="auto"/>
        </w:rPr>
        <w:t>You will be eligible to participate in our annual incentive program. Your target under the program will be 100% of your base salary and will be prorated, if applicable, for actual days employed. Actual payouts will be determined by the Compensation Committee of the Board of Directors of the Company (the “Compensation Committee”) based upon the terms of the program. The Company retains the right in its sole discretion to amend, modify, suspend or rescind the program at any time and for any reason.</w:t>
      </w:r>
    </w:p>
    <w:p>
      <w:pPr>
        <w:spacing w:after="0" w:line="196" w:lineRule="exact"/>
        <w:rPr>
          <w:sz w:val="20"/>
          <w:szCs w:val="20"/>
          <w:color w:val="auto"/>
        </w:rPr>
      </w:pPr>
    </w:p>
    <w:p>
      <w:pPr>
        <w:ind w:right="40"/>
        <w:spacing w:after="0" w:line="209" w:lineRule="auto"/>
        <w:rPr>
          <w:sz w:val="20"/>
          <w:szCs w:val="20"/>
          <w:color w:val="auto"/>
        </w:rPr>
      </w:pPr>
      <w:r>
        <w:rPr>
          <w:rFonts w:ascii="Arial" w:cs="Arial" w:eastAsia="Arial" w:hAnsi="Arial"/>
          <w:sz w:val="20"/>
          <w:szCs w:val="20"/>
          <w:color w:val="auto"/>
        </w:rPr>
        <w:t>You will receive a one-time sign-on cash bonus in the amount of $500,000, less applicable taxes and withholdings, payable after 90 days of employment. In the event you voluntarily resign employment or are terminated for cause within one year of your start date, you agree that you will not have earned this bonus, and you therefore agree to repay the net amount of the bonus to the Company within 30 days of your last day of employment.</w:t>
      </w:r>
    </w:p>
    <w:p>
      <w:pPr>
        <w:spacing w:after="0" w:line="198" w:lineRule="exact"/>
        <w:rPr>
          <w:sz w:val="20"/>
          <w:szCs w:val="20"/>
          <w:color w:val="auto"/>
        </w:rPr>
      </w:pPr>
    </w:p>
    <w:p>
      <w:pPr>
        <w:ind w:right="20"/>
        <w:spacing w:after="0" w:line="203" w:lineRule="auto"/>
        <w:rPr>
          <w:sz w:val="20"/>
          <w:szCs w:val="20"/>
          <w:color w:val="auto"/>
        </w:rPr>
      </w:pPr>
      <w:r>
        <w:rPr>
          <w:rFonts w:ascii="Arial" w:cs="Arial" w:eastAsia="Arial" w:hAnsi="Arial"/>
          <w:sz w:val="20"/>
          <w:szCs w:val="20"/>
          <w:color w:val="auto"/>
        </w:rPr>
        <w:t>You will receive a time-based restricted stock unit sign-on award of $1,500,000, upon approval by the Board, with an anticipated grant date in April 2021. The restricted stock units will cliff vest on the third anniversary of the grant date, subject to your continued employment through the vesting date. You will be eligible to participate in the Company’s Long Term Incentive Plan (“LTIP”) program with an annual target award value of $1,000,000. It is anticipated that your first annual LTIP award will occur in March 2022. Equity awards under the Company’s LTIP program are determined by the Compensation Committee and in its sole discretion. The equity awards described in this paragraph will be subject to the terms and conditions of the Avis Budget Group, Inc. Amended and Restated Equity and Incentive Plan and the applicable award agreements, which include restricted covenants (including non-compete, non-solicit and confidentiality provisions).</w:t>
      </w:r>
    </w:p>
    <w:p>
      <w:pPr>
        <w:spacing w:after="0" w:line="199" w:lineRule="exact"/>
        <w:rPr>
          <w:sz w:val="20"/>
          <w:szCs w:val="20"/>
          <w:color w:val="auto"/>
        </w:rPr>
      </w:pPr>
    </w:p>
    <w:p>
      <w:pPr>
        <w:ind w:right="180"/>
        <w:spacing w:after="0" w:line="205" w:lineRule="auto"/>
        <w:rPr>
          <w:sz w:val="20"/>
          <w:szCs w:val="20"/>
          <w:color w:val="auto"/>
        </w:rPr>
      </w:pPr>
      <w:r>
        <w:rPr>
          <w:rFonts w:ascii="Arial" w:cs="Arial" w:eastAsia="Arial" w:hAnsi="Arial"/>
          <w:sz w:val="20"/>
          <w:szCs w:val="20"/>
          <w:color w:val="auto"/>
        </w:rPr>
        <w:t>Health and welfare benefits will become effective on the first calendar day of the month following your date of hire. You will be eligible to participate in the 401K plan as soon as administratively possible, following your start date and subject to the terms and conditions of the plan guidelines. After one year of service, the Company will match individual contributions $1 for $1 up to 6% of your annual salary. You will also be entitled to participate in certain executive level perquisite programs including Executive Car, Vehicle Lease, Financial Planning, Deferred Compensation, Executive Physical, and Umbrella Liability Insurance. Details of these benefits will be provided.</w:t>
      </w:r>
    </w:p>
    <w:p>
      <w:pPr>
        <w:spacing w:after="0" w:line="198" w:lineRule="exact"/>
        <w:rPr>
          <w:sz w:val="20"/>
          <w:szCs w:val="20"/>
          <w:color w:val="auto"/>
        </w:rPr>
      </w:pPr>
    </w:p>
    <w:p>
      <w:pPr>
        <w:ind w:right="340"/>
        <w:spacing w:after="0" w:line="213" w:lineRule="auto"/>
        <w:rPr>
          <w:sz w:val="20"/>
          <w:szCs w:val="20"/>
          <w:color w:val="auto"/>
        </w:rPr>
      </w:pPr>
      <w:r>
        <w:rPr>
          <w:rFonts w:ascii="Arial" w:cs="Arial" w:eastAsia="Arial" w:hAnsi="Arial"/>
          <w:sz w:val="20"/>
          <w:szCs w:val="20"/>
          <w:color w:val="auto"/>
        </w:rPr>
        <w:t>This offer is contingent upon verification of your education, previous employment and satisfactory references, passing a drug test, a background check, and presentation of legally required documentation establishing your right to work in the United States, including compliance with Federal immigration and employment law requirements.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Your employment with the Company is also contingent upon the following terms:</w:t>
      </w:r>
    </w:p>
    <w:p>
      <w:pPr>
        <w:spacing w:after="0" w:line="202" w:lineRule="exact"/>
        <w:rPr>
          <w:sz w:val="20"/>
          <w:szCs w:val="20"/>
          <w:color w:val="auto"/>
        </w:rPr>
      </w:pPr>
    </w:p>
    <w:p>
      <w:pPr>
        <w:ind w:left="500" w:right="20" w:hanging="6"/>
        <w:spacing w:after="0" w:line="222" w:lineRule="auto"/>
        <w:tabs>
          <w:tab w:leader="none" w:pos="733" w:val="left"/>
        </w:tabs>
        <w:numPr>
          <w:ilvl w:val="0"/>
          <w:numId w:val="85"/>
        </w:numPr>
        <w:rPr>
          <w:rFonts w:ascii="Arial" w:cs="Arial" w:eastAsia="Arial" w:hAnsi="Arial"/>
          <w:sz w:val="20"/>
          <w:szCs w:val="20"/>
          <w:color w:val="auto"/>
        </w:rPr>
      </w:pPr>
      <w:r>
        <w:rPr>
          <w:rFonts w:ascii="Arial" w:cs="Arial" w:eastAsia="Arial" w:hAnsi="Arial"/>
          <w:sz w:val="20"/>
          <w:szCs w:val="20"/>
          <w:color w:val="auto"/>
        </w:rPr>
        <w:t>During your employment with the Company you will not engage in any activity that competes with or adversely affects the Company, nor will you begin to organize or develop any competing entity (or assist anyone else in doing so).</w:t>
      </w:r>
    </w:p>
    <w:p>
      <w:pPr>
        <w:spacing w:after="0" w:line="195" w:lineRule="exact"/>
        <w:rPr>
          <w:rFonts w:ascii="Arial" w:cs="Arial" w:eastAsia="Arial" w:hAnsi="Arial"/>
          <w:sz w:val="20"/>
          <w:szCs w:val="20"/>
          <w:color w:val="auto"/>
        </w:rPr>
      </w:pPr>
    </w:p>
    <w:p>
      <w:pPr>
        <w:ind w:left="500" w:right="20" w:hanging="6"/>
        <w:spacing w:after="0" w:line="222" w:lineRule="auto"/>
        <w:tabs>
          <w:tab w:leader="none" w:pos="772" w:val="left"/>
        </w:tabs>
        <w:numPr>
          <w:ilvl w:val="0"/>
          <w:numId w:val="85"/>
        </w:numPr>
        <w:rPr>
          <w:rFonts w:ascii="Arial" w:cs="Arial" w:eastAsia="Arial" w:hAnsi="Arial"/>
          <w:sz w:val="20"/>
          <w:szCs w:val="20"/>
          <w:color w:val="auto"/>
        </w:rPr>
      </w:pPr>
      <w:r>
        <w:rPr>
          <w:rFonts w:ascii="Arial" w:cs="Arial" w:eastAsia="Arial" w:hAnsi="Arial"/>
          <w:sz w:val="20"/>
          <w:szCs w:val="20"/>
          <w:color w:val="auto"/>
        </w:rPr>
        <w:t>You will not disclose at any time (except for business purposes on behalf of the Company) any confidential or proprietary material of the Company. That material shall include, but is not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400"/>
        <w:spacing w:after="0"/>
        <w:rPr>
          <w:sz w:val="20"/>
          <w:szCs w:val="20"/>
          <w:color w:val="auto"/>
        </w:rPr>
      </w:pPr>
      <w:r>
        <w:rPr>
          <w:sz w:val="1"/>
          <w:szCs w:val="1"/>
          <w:color w:val="auto"/>
        </w:rPr>
        <w:drawing>
          <wp:inline distT="0" distB="0" distL="0" distR="0">
            <wp:extent cx="1440180" cy="26543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0">
                      <a:extLst>
                        <a:ext uri="{28A0092B-C50C-407E-A947-70E740481C1C}"/>
                      </a:extLst>
                    </a:blip>
                    <a:srcRect/>
                    <a:stretch>
                      <a:fillRect/>
                    </a:stretch>
                  </pic:blipFill>
                  <pic:spPr bwMode="auto">
                    <a:xfrm>
                      <a:off x="0" y="0"/>
                      <a:ext cx="1440180" cy="265430"/>
                    </a:xfrm>
                    <a:prstGeom prst="rect">
                      <a:avLst/>
                    </a:prstGeom>
                    <a:noFill/>
                    <a:ln>
                      <a:noFill/>
                    </a:ln>
                  </pic:spPr>
                </pic:pic>
              </a:graphicData>
            </a:graphic>
          </wp:inline>
        </w:drawing>
      </w:r>
      <w:r>
        <w:rPr>
          <w:rFonts w:ascii="Arial" w:cs="Arial" w:eastAsia="Arial" w:hAnsi="Arial"/>
          <w:sz w:val="14"/>
          <w:szCs w:val="14"/>
          <w:color w:val="606A74"/>
        </w:rPr>
        <w:t xml:space="preserve"> Avis Budget Group, Inc. 6 Sylvan Way Parsippany, New Jersey 07054</w:t>
      </w:r>
    </w:p>
    <w:p>
      <w:pPr>
        <w:sectPr>
          <w:pgSz w:w="11900" w:h="16838" w:orient="portrait"/>
          <w:cols w:equalWidth="0" w:num="1">
            <w:col w:w="11240"/>
          </w:cols>
          <w:pgMar w:left="320" w:top="1377" w:right="339" w:bottom="1440" w:gutter="0" w:footer="0" w:header="0"/>
        </w:sectPr>
      </w:pPr>
    </w:p>
    <w:bookmarkStart w:id="115" w:name="page116"/>
    <w:bookmarkEnd w:id="115"/>
    <w:p>
      <w:pPr>
        <w:ind w:left="500"/>
        <w:spacing w:after="0" w:line="222"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486025" cy="3257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2486025" cy="325755"/>
                    </a:xfrm>
                    <a:prstGeom prst="rect">
                      <a:avLst/>
                    </a:prstGeom>
                    <a:noFill/>
                  </pic:spPr>
                </pic:pic>
              </a:graphicData>
            </a:graphic>
          </wp:anchor>
        </w:drawing>
        <w:t>to, the names and addresses of customers, customer contacts, contracts, bidding information, business strategies, pricing information, and the Company’s policies and procedures.</w:t>
      </w:r>
    </w:p>
    <w:p>
      <w:pPr>
        <w:spacing w:after="0" w:line="196" w:lineRule="exact"/>
        <w:rPr>
          <w:sz w:val="20"/>
          <w:szCs w:val="20"/>
          <w:color w:val="auto"/>
        </w:rPr>
      </w:pPr>
    </w:p>
    <w:p>
      <w:pPr>
        <w:ind w:left="500" w:right="20" w:hanging="6"/>
        <w:spacing w:after="0" w:line="222" w:lineRule="auto"/>
        <w:tabs>
          <w:tab w:leader="none" w:pos="722" w:val="left"/>
        </w:tabs>
        <w:numPr>
          <w:ilvl w:val="0"/>
          <w:numId w:val="86"/>
        </w:numPr>
        <w:rPr>
          <w:rFonts w:ascii="Arial" w:cs="Arial" w:eastAsia="Arial" w:hAnsi="Arial"/>
          <w:sz w:val="20"/>
          <w:szCs w:val="20"/>
          <w:color w:val="auto"/>
        </w:rPr>
      </w:pPr>
      <w:r>
        <w:rPr>
          <w:rFonts w:ascii="Arial" w:cs="Arial" w:eastAsia="Arial" w:hAnsi="Arial"/>
          <w:sz w:val="20"/>
          <w:szCs w:val="20"/>
          <w:color w:val="auto"/>
        </w:rPr>
        <w:t>You agree that all documents (paper or electronic) and other information related in any way to the Company shall be the property of the Company, and will be returned to the Company upon the end of your employment with the Company.</w:t>
      </w:r>
    </w:p>
    <w:p>
      <w:pPr>
        <w:spacing w:after="0" w:line="196" w:lineRule="exact"/>
        <w:rPr>
          <w:sz w:val="20"/>
          <w:szCs w:val="20"/>
          <w:color w:val="auto"/>
        </w:rPr>
      </w:pPr>
    </w:p>
    <w:p>
      <w:pPr>
        <w:ind w:right="80"/>
        <w:spacing w:after="0" w:line="205" w:lineRule="auto"/>
        <w:rPr>
          <w:sz w:val="20"/>
          <w:szCs w:val="20"/>
          <w:color w:val="auto"/>
        </w:rPr>
      </w:pPr>
      <w:r>
        <w:rPr>
          <w:rFonts w:ascii="Arial" w:cs="Arial" w:eastAsia="Arial" w:hAnsi="Arial"/>
          <w:sz w:val="20"/>
          <w:szCs w:val="20"/>
          <w:color w:val="auto"/>
        </w:rPr>
        <w:t>Please indicate your acceptance of this offer by signing below and returning an executed copy of this letter to me. Per the Company’s standard policy, this letter is not intended nor should it be considered as an employment contract for a definite for indefinite period of time. Employment with the Company is at will, and either you or the Company may terminate employment at any time, with or without cause. In addition by signing this letter, you acknowledge that this letter sets forth the entire agreement between you and the Company, regarding your employment with the Company, and fully supersedes any prior agreements or understanding, whether written or oral.</w:t>
      </w:r>
    </w:p>
    <w:p>
      <w:pPr>
        <w:spacing w:after="0" w:line="198" w:lineRule="exact"/>
        <w:rPr>
          <w:sz w:val="20"/>
          <w:szCs w:val="20"/>
          <w:color w:val="auto"/>
        </w:rPr>
      </w:pPr>
    </w:p>
    <w:p>
      <w:pPr>
        <w:ind w:right="440"/>
        <w:spacing w:after="0" w:line="222" w:lineRule="auto"/>
        <w:rPr>
          <w:sz w:val="20"/>
          <w:szCs w:val="20"/>
          <w:color w:val="auto"/>
        </w:rPr>
      </w:pPr>
      <w:r>
        <w:rPr>
          <w:rFonts w:ascii="Arial" w:cs="Arial" w:eastAsia="Arial" w:hAnsi="Arial"/>
          <w:sz w:val="20"/>
          <w:szCs w:val="20"/>
          <w:color w:val="auto"/>
        </w:rPr>
        <w:t>Veresh, we are excited that you will be joining our Company. If there is anything further I can do to assist you, please do not hesitate to contact me at 973-496-3710.</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Best Regards,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Ned Linnen</w:t>
      </w:r>
    </w:p>
    <w:p>
      <w:pPr>
        <w:spacing w:after="0" w:line="197" w:lineRule="auto"/>
        <w:rPr>
          <w:sz w:val="20"/>
          <w:szCs w:val="20"/>
          <w:color w:val="auto"/>
        </w:rPr>
      </w:pPr>
      <w:r>
        <w:rPr>
          <w:rFonts w:ascii="Arial" w:cs="Arial" w:eastAsia="Arial" w:hAnsi="Arial"/>
          <w:sz w:val="20"/>
          <w:szCs w:val="20"/>
          <w:color w:val="auto"/>
        </w:rPr>
        <w:t>EVP &amp; CHRO</w:t>
      </w:r>
    </w:p>
    <w:p>
      <w:pPr>
        <w:spacing w:after="0"/>
        <w:rPr>
          <w:sz w:val="20"/>
          <w:szCs w:val="20"/>
          <w:color w:val="auto"/>
        </w:rPr>
      </w:pPr>
      <w:r>
        <w:rPr>
          <w:rFonts w:ascii="Arial" w:cs="Arial" w:eastAsia="Arial" w:hAnsi="Arial"/>
          <w:sz w:val="20"/>
          <w:szCs w:val="20"/>
          <w:color w:val="auto"/>
        </w:rPr>
        <w:t>Avis Budget Group</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Understood and accepted:</w:t>
      </w: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line="234" w:lineRule="auto"/>
        <w:rPr>
          <w:sz w:val="20"/>
          <w:szCs w:val="20"/>
          <w:color w:val="auto"/>
        </w:rPr>
      </w:pPr>
      <w:r>
        <w:rPr>
          <w:rFonts w:ascii="Arial" w:cs="Arial" w:eastAsia="Arial" w:hAnsi="Arial"/>
          <w:sz w:val="19"/>
          <w:szCs w:val="19"/>
          <w:color w:val="auto"/>
        </w:rPr>
        <w:t>/s/ Veresh Sita Veresh Sita</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left="260"/>
        <w:spacing w:after="0"/>
        <w:rPr>
          <w:sz w:val="20"/>
          <w:szCs w:val="20"/>
          <w:color w:val="auto"/>
        </w:rPr>
      </w:pPr>
      <w:r>
        <w:rPr>
          <w:rFonts w:ascii="Arial" w:cs="Arial" w:eastAsia="Arial" w:hAnsi="Arial"/>
          <w:sz w:val="19"/>
          <w:szCs w:val="19"/>
          <w:color w:val="auto"/>
        </w:rPr>
        <w:t>2/4/21</w:t>
      </w:r>
    </w:p>
    <w:p>
      <w:pPr>
        <w:spacing w:after="0"/>
        <w:rPr>
          <w:sz w:val="20"/>
          <w:szCs w:val="20"/>
          <w:color w:val="auto"/>
        </w:rPr>
      </w:pPr>
      <w:r>
        <w:rPr>
          <w:rFonts w:ascii="Arial" w:cs="Arial" w:eastAsia="Arial" w:hAnsi="Arial"/>
          <w:sz w:val="20"/>
          <w:szCs w:val="20"/>
          <w:color w:val="auto"/>
        </w:rPr>
        <w:t>Date</w:t>
      </w:r>
    </w:p>
    <w:p>
      <w:pPr>
        <w:spacing w:after="0" w:line="161" w:lineRule="exact"/>
        <w:rPr>
          <w:sz w:val="20"/>
          <w:szCs w:val="20"/>
          <w:color w:val="auto"/>
        </w:rPr>
      </w:pPr>
    </w:p>
    <w:p>
      <w:pPr>
        <w:sectPr>
          <w:pgSz w:w="11900" w:h="16838" w:orient="portrait"/>
          <w:cols w:equalWidth="0" w:num="2">
            <w:col w:w="1280" w:space="460"/>
            <w:col w:w="9500"/>
          </w:cols>
          <w:pgMar w:left="320" w:top="1418" w:right="339" w:bottom="1440" w:gutter="0" w:footer="0" w:header="0"/>
          <w:type w:val="continuous"/>
        </w:sectPr>
      </w:pPr>
    </w:p>
    <w:p>
      <w:pPr>
        <w:spacing w:after="0"/>
        <w:rPr>
          <w:sz w:val="20"/>
          <w:szCs w:val="20"/>
          <w:color w:val="auto"/>
        </w:rPr>
      </w:pPr>
      <w:r>
        <w:rPr>
          <w:rFonts w:ascii="Arial" w:cs="Arial" w:eastAsia="Arial" w:hAnsi="Arial"/>
          <w:sz w:val="20"/>
          <w:szCs w:val="20"/>
          <w:color w:val="auto"/>
        </w:rPr>
        <w:t>Enclosures</w:t>
      </w:r>
    </w:p>
    <w:p>
      <w:pPr>
        <w:ind w:left="480" w:hanging="472"/>
        <w:spacing w:after="0"/>
        <w:tabs>
          <w:tab w:leader="none" w:pos="480" w:val="left"/>
        </w:tabs>
        <w:numPr>
          <w:ilvl w:val="0"/>
          <w:numId w:val="87"/>
        </w:numPr>
        <w:rPr>
          <w:rFonts w:ascii="Arial" w:cs="Arial" w:eastAsia="Arial" w:hAnsi="Arial"/>
          <w:sz w:val="20"/>
          <w:szCs w:val="20"/>
          <w:color w:val="auto"/>
        </w:rPr>
      </w:pPr>
      <w:r>
        <w:rPr>
          <w:rFonts w:ascii="Arial" w:cs="Arial" w:eastAsia="Arial" w:hAnsi="Arial"/>
          <w:sz w:val="20"/>
          <w:szCs w:val="20"/>
          <w:color w:val="auto"/>
        </w:rPr>
        <w:t>J. Ferraro / B. Hees / J. Sera / K. Richards / K. Sarma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7132320" cy="2997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2">
                      <a:extLst>
                        <a:ext uri="{28A0092B-C50C-407E-A947-70E740481C1C}"/>
                      </a:extLst>
                    </a:blip>
                    <a:srcRect/>
                    <a:stretch>
                      <a:fillRect/>
                    </a:stretch>
                  </pic:blipFill>
                  <pic:spPr bwMode="auto">
                    <a:xfrm>
                      <a:off x="0" y="0"/>
                      <a:ext cx="7132320"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sz w:val="1"/>
          <w:szCs w:val="1"/>
          <w:color w:val="auto"/>
        </w:rPr>
        <w:drawing>
          <wp:inline distT="0" distB="0" distL="0" distR="0">
            <wp:extent cx="531495" cy="188595"/>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3">
                      <a:extLst>
                        <a:ext uri="{28A0092B-C50C-407E-A947-70E740481C1C}"/>
                      </a:extLst>
                    </a:blip>
                    <a:srcRect/>
                    <a:stretch>
                      <a:fillRect/>
                    </a:stretch>
                  </pic:blipFill>
                  <pic:spPr bwMode="auto">
                    <a:xfrm>
                      <a:off x="0" y="0"/>
                      <a:ext cx="531495" cy="188595"/>
                    </a:xfrm>
                    <a:prstGeom prst="rect">
                      <a:avLst/>
                    </a:prstGeom>
                    <a:noFill/>
                    <a:ln>
                      <a:noFill/>
                    </a:ln>
                  </pic:spPr>
                </pic:pic>
              </a:graphicData>
            </a:graphic>
          </wp:inline>
        </w:drawing>
      </w:r>
      <w:r>
        <w:rPr>
          <w:rFonts w:ascii="Arial" w:cs="Arial" w:eastAsia="Arial" w:hAnsi="Arial"/>
          <w:sz w:val="14"/>
          <w:szCs w:val="14"/>
          <w:color w:val="606A74"/>
        </w:rPr>
        <w:t xml:space="preserve"> Avis Budget Group, Inc. 6 Sylvan Way Parsippany, New Jersey 07054</w:t>
      </w:r>
    </w:p>
    <w:p>
      <w:pPr>
        <w:sectPr>
          <w:pgSz w:w="11900" w:h="16838" w:orient="portrait"/>
          <w:cols w:equalWidth="0" w:num="1">
            <w:col w:w="11240"/>
          </w:cols>
          <w:pgMar w:left="320" w:top="1418" w:right="339" w:bottom="1440" w:gutter="0" w:footer="0" w:header="0"/>
          <w:type w:val="continuous"/>
        </w:sectPr>
      </w:pPr>
    </w:p>
    <w:bookmarkStart w:id="116" w:name="page117"/>
    <w:bookmarkEnd w:id="116"/>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EXHIBIT 21</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Subsidiary</w:t>
            </w:r>
          </w:p>
        </w:tc>
        <w:tc>
          <w:tcPr>
            <w:tcW w:w="300" w:type="dxa"/>
            <w:vAlign w:val="bottom"/>
            <w:tcBorders>
              <w:bottom w:val="single" w:sz="8" w:color="CCEEFF"/>
            </w:tcBorders>
            <w:shd w:val="clear" w:color="auto" w:fill="CCEEFF"/>
          </w:tcPr>
          <w:p>
            <w:pPr>
              <w:spacing w:after="0"/>
              <w:rPr>
                <w:sz w:val="19"/>
                <w:szCs w:val="19"/>
                <w:color w:val="auto"/>
              </w:rPr>
            </w:pPr>
          </w:p>
        </w:tc>
        <w:tc>
          <w:tcPr>
            <w:tcW w:w="4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Jurisdiction of Incorporation</w:t>
            </w:r>
          </w:p>
        </w:tc>
      </w:tr>
      <w:tr>
        <w:trPr>
          <w:trHeight w:val="210"/>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2233516 Ontario, Inc.</w:t>
            </w:r>
          </w:p>
        </w:tc>
        <w:tc>
          <w:tcPr>
            <w:tcW w:w="4120" w:type="dxa"/>
            <w:vAlign w:val="bottom"/>
          </w:tcPr>
          <w:p>
            <w:pPr>
              <w:ind w:left="20"/>
              <w:spacing w:after="0"/>
              <w:rPr>
                <w:sz w:val="20"/>
                <w:szCs w:val="20"/>
                <w:color w:val="auto"/>
              </w:rPr>
            </w:pPr>
            <w:r>
              <w:rPr>
                <w:rFonts w:ascii="Arial" w:cs="Arial" w:eastAsia="Arial" w:hAnsi="Arial"/>
                <w:sz w:val="16"/>
                <w:szCs w:val="16"/>
                <w:color w:val="auto"/>
              </w:rPr>
              <w:t>Canada</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AAA France Cars SAS</w:t>
            </w:r>
          </w:p>
        </w:tc>
        <w:tc>
          <w:tcPr>
            <w:tcW w:w="4120" w:type="dxa"/>
            <w:vAlign w:val="bottom"/>
          </w:tcPr>
          <w:p>
            <w:pPr>
              <w:ind w:left="20"/>
              <w:spacing w:after="0"/>
              <w:rPr>
                <w:sz w:val="20"/>
                <w:szCs w:val="20"/>
                <w:color w:val="auto"/>
              </w:rPr>
            </w:pPr>
            <w:r>
              <w:rPr>
                <w:rFonts w:ascii="Arial" w:cs="Arial" w:eastAsia="Arial" w:hAnsi="Arial"/>
                <w:sz w:val="16"/>
                <w:szCs w:val="16"/>
                <w:color w:val="auto"/>
              </w:rPr>
              <w:t>France</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AB Canada Holdings I Limited Partnership</w:t>
            </w:r>
          </w:p>
        </w:tc>
        <w:tc>
          <w:tcPr>
            <w:tcW w:w="4120" w:type="dxa"/>
            <w:vAlign w:val="bottom"/>
          </w:tcPr>
          <w:p>
            <w:pPr>
              <w:ind w:left="20"/>
              <w:spacing w:after="0"/>
              <w:rPr>
                <w:sz w:val="20"/>
                <w:szCs w:val="20"/>
                <w:color w:val="auto"/>
              </w:rPr>
            </w:pPr>
            <w:r>
              <w:rPr>
                <w:rFonts w:ascii="Arial" w:cs="Arial" w:eastAsia="Arial" w:hAnsi="Arial"/>
                <w:sz w:val="16"/>
                <w:szCs w:val="16"/>
                <w:color w:val="auto"/>
              </w:rPr>
              <w:t>Canada</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AB Canada Holdings II Partnership</w:t>
            </w:r>
          </w:p>
        </w:tc>
        <w:tc>
          <w:tcPr>
            <w:tcW w:w="4120" w:type="dxa"/>
            <w:vAlign w:val="bottom"/>
          </w:tcPr>
          <w:p>
            <w:pPr>
              <w:ind w:left="20"/>
              <w:spacing w:after="0"/>
              <w:rPr>
                <w:sz w:val="20"/>
                <w:szCs w:val="20"/>
                <w:color w:val="auto"/>
              </w:rPr>
            </w:pPr>
            <w:r>
              <w:rPr>
                <w:rFonts w:ascii="Arial" w:cs="Arial" w:eastAsia="Arial" w:hAnsi="Arial"/>
                <w:sz w:val="16"/>
                <w:szCs w:val="16"/>
                <w:color w:val="auto"/>
              </w:rPr>
              <w:t>Canada</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AB Canada Holdings III Limited Partnership</w:t>
            </w:r>
          </w:p>
        </w:tc>
        <w:tc>
          <w:tcPr>
            <w:tcW w:w="4120" w:type="dxa"/>
            <w:vAlign w:val="bottom"/>
          </w:tcPr>
          <w:p>
            <w:pPr>
              <w:ind w:left="20"/>
              <w:spacing w:after="0"/>
              <w:rPr>
                <w:sz w:val="20"/>
                <w:szCs w:val="20"/>
                <w:color w:val="auto"/>
              </w:rPr>
            </w:pPr>
            <w:r>
              <w:rPr>
                <w:rFonts w:ascii="Arial" w:cs="Arial" w:eastAsia="Arial" w:hAnsi="Arial"/>
                <w:sz w:val="16"/>
                <w:szCs w:val="16"/>
                <w:color w:val="auto"/>
              </w:rPr>
              <w:t>Canada</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AB Car Rental Services, Inc.</w:t>
            </w:r>
          </w:p>
        </w:tc>
        <w:tc>
          <w:tcPr>
            <w:tcW w:w="41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AB FleetCo SAS</w:t>
            </w:r>
          </w:p>
        </w:tc>
        <w:tc>
          <w:tcPr>
            <w:tcW w:w="4120" w:type="dxa"/>
            <w:vAlign w:val="bottom"/>
          </w:tcPr>
          <w:p>
            <w:pPr>
              <w:ind w:left="20"/>
              <w:spacing w:after="0"/>
              <w:rPr>
                <w:sz w:val="20"/>
                <w:szCs w:val="20"/>
                <w:color w:val="auto"/>
              </w:rPr>
            </w:pPr>
            <w:r>
              <w:rPr>
                <w:rFonts w:ascii="Arial" w:cs="Arial" w:eastAsia="Arial" w:hAnsi="Arial"/>
                <w:sz w:val="16"/>
                <w:szCs w:val="16"/>
                <w:color w:val="auto"/>
              </w:rPr>
              <w:t>France</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AB Funding Pty Ltd.</w:t>
            </w:r>
          </w:p>
        </w:tc>
        <w:tc>
          <w:tcPr>
            <w:tcW w:w="4120" w:type="dxa"/>
            <w:vAlign w:val="bottom"/>
          </w:tcPr>
          <w:p>
            <w:pPr>
              <w:ind w:left="20"/>
              <w:spacing w:after="0"/>
              <w:rPr>
                <w:sz w:val="20"/>
                <w:szCs w:val="20"/>
                <w:color w:val="auto"/>
              </w:rPr>
            </w:pPr>
            <w:r>
              <w:rPr>
                <w:rFonts w:ascii="Arial" w:cs="Arial" w:eastAsia="Arial" w:hAnsi="Arial"/>
                <w:sz w:val="16"/>
                <w:szCs w:val="16"/>
                <w:color w:val="auto"/>
              </w:rPr>
              <w:t>Australia</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AB Group Financial Services Limited</w:t>
            </w:r>
          </w:p>
        </w:tc>
        <w:tc>
          <w:tcPr>
            <w:tcW w:w="4120" w:type="dxa"/>
            <w:vAlign w:val="bottom"/>
          </w:tcPr>
          <w:p>
            <w:pPr>
              <w:ind w:left="20"/>
              <w:spacing w:after="0"/>
              <w:rPr>
                <w:sz w:val="20"/>
                <w:szCs w:val="20"/>
                <w:color w:val="auto"/>
              </w:rPr>
            </w:pPr>
            <w:r>
              <w:rPr>
                <w:rFonts w:ascii="Arial" w:cs="Arial" w:eastAsia="Arial" w:hAnsi="Arial"/>
                <w:sz w:val="16"/>
                <w:szCs w:val="16"/>
                <w:color w:val="auto"/>
              </w:rPr>
              <w:t>England and Wales</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AB Luxembourg Holdings S.á r.l.</w:t>
            </w:r>
          </w:p>
        </w:tc>
        <w:tc>
          <w:tcPr>
            <w:tcW w:w="4120" w:type="dxa"/>
            <w:vAlign w:val="bottom"/>
          </w:tcPr>
          <w:p>
            <w:pPr>
              <w:ind w:left="20"/>
              <w:spacing w:after="0"/>
              <w:rPr>
                <w:sz w:val="20"/>
                <w:szCs w:val="20"/>
                <w:color w:val="auto"/>
              </w:rPr>
            </w:pPr>
            <w:r>
              <w:rPr>
                <w:rFonts w:ascii="Arial" w:cs="Arial" w:eastAsia="Arial" w:hAnsi="Arial"/>
                <w:sz w:val="16"/>
                <w:szCs w:val="16"/>
                <w:color w:val="auto"/>
              </w:rPr>
              <w:t>Luxembourg</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AB Scotland Finance I, LP</w:t>
            </w:r>
          </w:p>
        </w:tc>
        <w:tc>
          <w:tcPr>
            <w:tcW w:w="4120" w:type="dxa"/>
            <w:vAlign w:val="bottom"/>
          </w:tcPr>
          <w:p>
            <w:pPr>
              <w:ind w:left="20"/>
              <w:spacing w:after="0"/>
              <w:rPr>
                <w:sz w:val="20"/>
                <w:szCs w:val="20"/>
                <w:color w:val="auto"/>
              </w:rPr>
            </w:pPr>
            <w:r>
              <w:rPr>
                <w:rFonts w:ascii="Arial" w:cs="Arial" w:eastAsia="Arial" w:hAnsi="Arial"/>
                <w:sz w:val="16"/>
                <w:szCs w:val="16"/>
                <w:color w:val="auto"/>
              </w:rPr>
              <w:t>Scotland</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AB Scotland Finance II, LP</w:t>
            </w:r>
          </w:p>
        </w:tc>
        <w:tc>
          <w:tcPr>
            <w:tcW w:w="4120" w:type="dxa"/>
            <w:vAlign w:val="bottom"/>
          </w:tcPr>
          <w:p>
            <w:pPr>
              <w:ind w:left="20"/>
              <w:spacing w:after="0"/>
              <w:rPr>
                <w:sz w:val="20"/>
                <w:szCs w:val="20"/>
                <w:color w:val="auto"/>
              </w:rPr>
            </w:pPr>
            <w:r>
              <w:rPr>
                <w:rFonts w:ascii="Arial" w:cs="Arial" w:eastAsia="Arial" w:hAnsi="Arial"/>
                <w:sz w:val="16"/>
                <w:szCs w:val="16"/>
                <w:color w:val="auto"/>
              </w:rPr>
              <w:t>Scotland</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ABG Car Services Holdings, LLC</w:t>
            </w:r>
          </w:p>
        </w:tc>
        <w:tc>
          <w:tcPr>
            <w:tcW w:w="41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ABG Commerce Consultancy (Shanghai) Co., Ltd.</w:t>
            </w:r>
          </w:p>
        </w:tc>
        <w:tc>
          <w:tcPr>
            <w:tcW w:w="4120" w:type="dxa"/>
            <w:vAlign w:val="bottom"/>
          </w:tcPr>
          <w:p>
            <w:pPr>
              <w:ind w:left="20"/>
              <w:spacing w:after="0"/>
              <w:rPr>
                <w:sz w:val="20"/>
                <w:szCs w:val="20"/>
                <w:color w:val="auto"/>
              </w:rPr>
            </w:pPr>
            <w:r>
              <w:rPr>
                <w:rFonts w:ascii="Arial" w:cs="Arial" w:eastAsia="Arial" w:hAnsi="Arial"/>
                <w:sz w:val="16"/>
                <w:szCs w:val="16"/>
                <w:color w:val="auto"/>
              </w:rPr>
              <w:t>China</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ABG Scandinavia Holdings AS</w:t>
            </w:r>
          </w:p>
        </w:tc>
        <w:tc>
          <w:tcPr>
            <w:tcW w:w="4120" w:type="dxa"/>
            <w:vAlign w:val="bottom"/>
          </w:tcPr>
          <w:p>
            <w:pPr>
              <w:ind w:left="20"/>
              <w:spacing w:after="0"/>
              <w:rPr>
                <w:sz w:val="20"/>
                <w:szCs w:val="20"/>
                <w:color w:val="auto"/>
              </w:rPr>
            </w:pPr>
            <w:r>
              <w:rPr>
                <w:rFonts w:ascii="Arial" w:cs="Arial" w:eastAsia="Arial" w:hAnsi="Arial"/>
                <w:sz w:val="16"/>
                <w:szCs w:val="16"/>
                <w:color w:val="auto"/>
              </w:rPr>
              <w:t>Norway</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ACL Hire Limited</w:t>
            </w:r>
          </w:p>
        </w:tc>
        <w:tc>
          <w:tcPr>
            <w:tcW w:w="4120" w:type="dxa"/>
            <w:vAlign w:val="bottom"/>
          </w:tcPr>
          <w:p>
            <w:pPr>
              <w:ind w:left="20"/>
              <w:spacing w:after="0"/>
              <w:rPr>
                <w:sz w:val="20"/>
                <w:szCs w:val="20"/>
                <w:color w:val="auto"/>
              </w:rPr>
            </w:pPr>
            <w:r>
              <w:rPr>
                <w:rFonts w:ascii="Arial" w:cs="Arial" w:eastAsia="Arial" w:hAnsi="Arial"/>
                <w:sz w:val="16"/>
                <w:szCs w:val="16"/>
                <w:color w:val="auto"/>
              </w:rPr>
              <w:t>Scotland</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Advance Ross Corporation</w:t>
            </w:r>
          </w:p>
        </w:tc>
        <w:tc>
          <w:tcPr>
            <w:tcW w:w="41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Advance Ross Intermediate Corporation</w:t>
            </w:r>
          </w:p>
        </w:tc>
        <w:tc>
          <w:tcPr>
            <w:tcW w:w="41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Advance Ross Sub Company</w:t>
            </w:r>
          </w:p>
        </w:tc>
        <w:tc>
          <w:tcPr>
            <w:tcW w:w="41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AE Consolidation Limited</w:t>
            </w:r>
          </w:p>
        </w:tc>
        <w:tc>
          <w:tcPr>
            <w:tcW w:w="4120" w:type="dxa"/>
            <w:vAlign w:val="bottom"/>
          </w:tcPr>
          <w:p>
            <w:pPr>
              <w:ind w:left="20"/>
              <w:spacing w:after="0"/>
              <w:rPr>
                <w:sz w:val="20"/>
                <w:szCs w:val="20"/>
                <w:color w:val="auto"/>
              </w:rPr>
            </w:pPr>
            <w:r>
              <w:rPr>
                <w:rFonts w:ascii="Arial" w:cs="Arial" w:eastAsia="Arial" w:hAnsi="Arial"/>
                <w:sz w:val="16"/>
                <w:szCs w:val="16"/>
                <w:color w:val="auto"/>
              </w:rPr>
              <w:t>England and Wales</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AE Holdco Limited</w:t>
            </w:r>
          </w:p>
        </w:tc>
        <w:tc>
          <w:tcPr>
            <w:tcW w:w="4120" w:type="dxa"/>
            <w:vAlign w:val="bottom"/>
          </w:tcPr>
          <w:p>
            <w:pPr>
              <w:ind w:left="20"/>
              <w:spacing w:after="0"/>
              <w:rPr>
                <w:sz w:val="20"/>
                <w:szCs w:val="20"/>
                <w:color w:val="auto"/>
              </w:rPr>
            </w:pPr>
            <w:r>
              <w:rPr>
                <w:rFonts w:ascii="Arial" w:cs="Arial" w:eastAsia="Arial" w:hAnsi="Arial"/>
                <w:sz w:val="16"/>
                <w:szCs w:val="16"/>
                <w:color w:val="auto"/>
              </w:rPr>
              <w:t>England and Wales</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Aegis Motor Insurance Limited</w:t>
            </w:r>
          </w:p>
        </w:tc>
        <w:tc>
          <w:tcPr>
            <w:tcW w:w="4120" w:type="dxa"/>
            <w:vAlign w:val="bottom"/>
          </w:tcPr>
          <w:p>
            <w:pPr>
              <w:ind w:left="20"/>
              <w:spacing w:after="0"/>
              <w:rPr>
                <w:sz w:val="20"/>
                <w:szCs w:val="20"/>
                <w:color w:val="auto"/>
              </w:rPr>
            </w:pPr>
            <w:r>
              <w:rPr>
                <w:rFonts w:ascii="Arial" w:cs="Arial" w:eastAsia="Arial" w:hAnsi="Arial"/>
                <w:sz w:val="16"/>
                <w:szCs w:val="16"/>
                <w:color w:val="auto"/>
              </w:rPr>
              <w:t>Isle of Man</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AESOP Funding Corp.</w:t>
            </w:r>
          </w:p>
        </w:tc>
        <w:tc>
          <w:tcPr>
            <w:tcW w:w="41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AESOP Leasing Corp.</w:t>
            </w:r>
          </w:p>
        </w:tc>
        <w:tc>
          <w:tcPr>
            <w:tcW w:w="41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AESOP Leasing Corp. II</w:t>
            </w:r>
          </w:p>
        </w:tc>
        <w:tc>
          <w:tcPr>
            <w:tcW w:w="41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AESOP Leasing L.P.</w:t>
            </w:r>
          </w:p>
        </w:tc>
        <w:tc>
          <w:tcPr>
            <w:tcW w:w="41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Apex Car Rentals</w:t>
            </w:r>
          </w:p>
        </w:tc>
        <w:tc>
          <w:tcPr>
            <w:tcW w:w="4120" w:type="dxa"/>
            <w:vAlign w:val="bottom"/>
          </w:tcPr>
          <w:p>
            <w:pPr>
              <w:ind w:left="20"/>
              <w:spacing w:after="0"/>
              <w:rPr>
                <w:sz w:val="20"/>
                <w:szCs w:val="20"/>
                <w:color w:val="auto"/>
              </w:rPr>
            </w:pPr>
            <w:r>
              <w:rPr>
                <w:rFonts w:ascii="Arial" w:cs="Arial" w:eastAsia="Arial" w:hAnsi="Arial"/>
                <w:sz w:val="16"/>
                <w:szCs w:val="16"/>
                <w:color w:val="auto"/>
              </w:rPr>
              <w:t>New Zealand</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Apex Car Rentals Pty Ltd.</w:t>
            </w:r>
          </w:p>
        </w:tc>
        <w:tc>
          <w:tcPr>
            <w:tcW w:w="4120" w:type="dxa"/>
            <w:vAlign w:val="bottom"/>
          </w:tcPr>
          <w:p>
            <w:pPr>
              <w:ind w:left="20"/>
              <w:spacing w:after="0"/>
              <w:rPr>
                <w:sz w:val="20"/>
                <w:szCs w:val="20"/>
                <w:color w:val="auto"/>
              </w:rPr>
            </w:pPr>
            <w:r>
              <w:rPr>
                <w:rFonts w:ascii="Arial" w:cs="Arial" w:eastAsia="Arial" w:hAnsi="Arial"/>
                <w:sz w:val="16"/>
                <w:szCs w:val="16"/>
                <w:color w:val="auto"/>
              </w:rPr>
              <w:t>Australia</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AU Holdco Pty Ltd.</w:t>
            </w:r>
          </w:p>
        </w:tc>
        <w:tc>
          <w:tcPr>
            <w:tcW w:w="4120" w:type="dxa"/>
            <w:vAlign w:val="bottom"/>
          </w:tcPr>
          <w:p>
            <w:pPr>
              <w:ind w:left="20"/>
              <w:spacing w:after="0"/>
              <w:rPr>
                <w:sz w:val="20"/>
                <w:szCs w:val="20"/>
                <w:color w:val="auto"/>
              </w:rPr>
            </w:pPr>
            <w:r>
              <w:rPr>
                <w:rFonts w:ascii="Arial" w:cs="Arial" w:eastAsia="Arial" w:hAnsi="Arial"/>
                <w:sz w:val="16"/>
                <w:szCs w:val="16"/>
                <w:color w:val="auto"/>
              </w:rPr>
              <w:t>Australia</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Auto Accident Consultants Pty. Limited</w:t>
            </w:r>
          </w:p>
        </w:tc>
        <w:tc>
          <w:tcPr>
            <w:tcW w:w="4120" w:type="dxa"/>
            <w:vAlign w:val="bottom"/>
          </w:tcPr>
          <w:p>
            <w:pPr>
              <w:ind w:left="20"/>
              <w:spacing w:after="0"/>
              <w:rPr>
                <w:sz w:val="20"/>
                <w:szCs w:val="20"/>
                <w:color w:val="auto"/>
              </w:rPr>
            </w:pPr>
            <w:r>
              <w:rPr>
                <w:rFonts w:ascii="Arial" w:cs="Arial" w:eastAsia="Arial" w:hAnsi="Arial"/>
                <w:sz w:val="16"/>
                <w:szCs w:val="16"/>
                <w:color w:val="auto"/>
              </w:rPr>
              <w:t>Australia</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Auto-Hall S.A.</w:t>
            </w:r>
          </w:p>
        </w:tc>
        <w:tc>
          <w:tcPr>
            <w:tcW w:w="4120" w:type="dxa"/>
            <w:vAlign w:val="bottom"/>
          </w:tcPr>
          <w:p>
            <w:pPr>
              <w:ind w:left="20"/>
              <w:spacing w:after="0"/>
              <w:rPr>
                <w:sz w:val="20"/>
                <w:szCs w:val="20"/>
                <w:color w:val="auto"/>
              </w:rPr>
            </w:pPr>
            <w:r>
              <w:rPr>
                <w:rFonts w:ascii="Arial" w:cs="Arial" w:eastAsia="Arial" w:hAnsi="Arial"/>
                <w:sz w:val="16"/>
                <w:szCs w:val="16"/>
                <w:color w:val="auto"/>
              </w:rPr>
              <w:t>Monaco</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Avis Africa Limited</w:t>
            </w:r>
          </w:p>
        </w:tc>
        <w:tc>
          <w:tcPr>
            <w:tcW w:w="4120" w:type="dxa"/>
            <w:vAlign w:val="bottom"/>
          </w:tcPr>
          <w:p>
            <w:pPr>
              <w:ind w:left="20"/>
              <w:spacing w:after="0"/>
              <w:rPr>
                <w:sz w:val="20"/>
                <w:szCs w:val="20"/>
                <w:color w:val="auto"/>
              </w:rPr>
            </w:pPr>
            <w:r>
              <w:rPr>
                <w:rFonts w:ascii="Arial" w:cs="Arial" w:eastAsia="Arial" w:hAnsi="Arial"/>
                <w:sz w:val="16"/>
                <w:szCs w:val="16"/>
                <w:color w:val="auto"/>
              </w:rPr>
              <w:t>England and Wales</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Avis Alquile un Coche SA</w:t>
            </w:r>
          </w:p>
        </w:tc>
        <w:tc>
          <w:tcPr>
            <w:tcW w:w="4120" w:type="dxa"/>
            <w:vAlign w:val="bottom"/>
          </w:tcPr>
          <w:p>
            <w:pPr>
              <w:ind w:left="20"/>
              <w:spacing w:after="0"/>
              <w:rPr>
                <w:sz w:val="20"/>
                <w:szCs w:val="20"/>
                <w:color w:val="auto"/>
              </w:rPr>
            </w:pPr>
            <w:r>
              <w:rPr>
                <w:rFonts w:ascii="Arial" w:cs="Arial" w:eastAsia="Arial" w:hAnsi="Arial"/>
                <w:sz w:val="16"/>
                <w:szCs w:val="16"/>
                <w:color w:val="auto"/>
              </w:rPr>
              <w:t>Spain</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Avis Asia Limited</w:t>
            </w:r>
          </w:p>
        </w:tc>
        <w:tc>
          <w:tcPr>
            <w:tcW w:w="4120" w:type="dxa"/>
            <w:vAlign w:val="bottom"/>
          </w:tcPr>
          <w:p>
            <w:pPr>
              <w:ind w:left="20"/>
              <w:spacing w:after="0"/>
              <w:rPr>
                <w:sz w:val="20"/>
                <w:szCs w:val="20"/>
                <w:color w:val="auto"/>
              </w:rPr>
            </w:pPr>
            <w:r>
              <w:rPr>
                <w:rFonts w:ascii="Arial" w:cs="Arial" w:eastAsia="Arial" w:hAnsi="Arial"/>
                <w:sz w:val="16"/>
                <w:szCs w:val="16"/>
                <w:color w:val="auto"/>
              </w:rPr>
              <w:t>England and Wales</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Avis Autovermietung Beteiligungsgesellschaft mbH</w:t>
            </w:r>
          </w:p>
        </w:tc>
        <w:tc>
          <w:tcPr>
            <w:tcW w:w="4120" w:type="dxa"/>
            <w:vAlign w:val="bottom"/>
          </w:tcPr>
          <w:p>
            <w:pPr>
              <w:ind w:left="20"/>
              <w:spacing w:after="0"/>
              <w:rPr>
                <w:sz w:val="20"/>
                <w:szCs w:val="20"/>
                <w:color w:val="auto"/>
              </w:rPr>
            </w:pPr>
            <w:r>
              <w:rPr>
                <w:rFonts w:ascii="Arial" w:cs="Arial" w:eastAsia="Arial" w:hAnsi="Arial"/>
                <w:sz w:val="16"/>
                <w:szCs w:val="16"/>
                <w:color w:val="auto"/>
              </w:rPr>
              <w:t>Germany</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Avis Autovermietung Gesellschaft m.b.H.</w:t>
            </w:r>
          </w:p>
        </w:tc>
        <w:tc>
          <w:tcPr>
            <w:tcW w:w="4120" w:type="dxa"/>
            <w:vAlign w:val="bottom"/>
          </w:tcPr>
          <w:p>
            <w:pPr>
              <w:ind w:left="20"/>
              <w:spacing w:after="0"/>
              <w:rPr>
                <w:sz w:val="20"/>
                <w:szCs w:val="20"/>
                <w:color w:val="auto"/>
              </w:rPr>
            </w:pPr>
            <w:r>
              <w:rPr>
                <w:rFonts w:ascii="Arial" w:cs="Arial" w:eastAsia="Arial" w:hAnsi="Arial"/>
                <w:sz w:val="16"/>
                <w:szCs w:val="16"/>
                <w:color w:val="auto"/>
              </w:rPr>
              <w:t>Austria</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Avis Belgium SA</w:t>
            </w:r>
          </w:p>
        </w:tc>
        <w:tc>
          <w:tcPr>
            <w:tcW w:w="4120" w:type="dxa"/>
            <w:vAlign w:val="bottom"/>
          </w:tcPr>
          <w:p>
            <w:pPr>
              <w:ind w:left="20"/>
              <w:spacing w:after="0"/>
              <w:rPr>
                <w:sz w:val="20"/>
                <w:szCs w:val="20"/>
                <w:color w:val="auto"/>
              </w:rPr>
            </w:pPr>
            <w:r>
              <w:rPr>
                <w:rFonts w:ascii="Arial" w:cs="Arial" w:eastAsia="Arial" w:hAnsi="Arial"/>
                <w:sz w:val="16"/>
                <w:szCs w:val="16"/>
                <w:color w:val="auto"/>
              </w:rPr>
              <w:t>Belgium</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Avis Budget Autoverhuur BV</w:t>
            </w:r>
          </w:p>
        </w:tc>
        <w:tc>
          <w:tcPr>
            <w:tcW w:w="4120" w:type="dxa"/>
            <w:vAlign w:val="bottom"/>
          </w:tcPr>
          <w:p>
            <w:pPr>
              <w:ind w:left="20"/>
              <w:spacing w:after="0"/>
              <w:rPr>
                <w:sz w:val="20"/>
                <w:szCs w:val="20"/>
                <w:color w:val="auto"/>
              </w:rPr>
            </w:pPr>
            <w:r>
              <w:rPr>
                <w:rFonts w:ascii="Arial" w:cs="Arial" w:eastAsia="Arial" w:hAnsi="Arial"/>
                <w:sz w:val="16"/>
                <w:szCs w:val="16"/>
                <w:color w:val="auto"/>
              </w:rPr>
              <w:t>The Netherlands</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Avis Budget Autovermietung AG</w:t>
            </w:r>
          </w:p>
        </w:tc>
        <w:tc>
          <w:tcPr>
            <w:tcW w:w="4120" w:type="dxa"/>
            <w:vAlign w:val="bottom"/>
          </w:tcPr>
          <w:p>
            <w:pPr>
              <w:ind w:left="20"/>
              <w:spacing w:after="0"/>
              <w:rPr>
                <w:sz w:val="20"/>
                <w:szCs w:val="20"/>
                <w:color w:val="auto"/>
              </w:rPr>
            </w:pPr>
            <w:r>
              <w:rPr>
                <w:rFonts w:ascii="Arial" w:cs="Arial" w:eastAsia="Arial" w:hAnsi="Arial"/>
                <w:sz w:val="16"/>
                <w:szCs w:val="16"/>
                <w:color w:val="auto"/>
              </w:rPr>
              <w:t>Switzerland</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Avis Budget Autovermietung GmbH &amp; Co KG</w:t>
            </w:r>
          </w:p>
        </w:tc>
        <w:tc>
          <w:tcPr>
            <w:tcW w:w="4120" w:type="dxa"/>
            <w:vAlign w:val="bottom"/>
          </w:tcPr>
          <w:p>
            <w:pPr>
              <w:ind w:left="20"/>
              <w:spacing w:after="0"/>
              <w:rPr>
                <w:sz w:val="20"/>
                <w:szCs w:val="20"/>
                <w:color w:val="auto"/>
              </w:rPr>
            </w:pPr>
            <w:r>
              <w:rPr>
                <w:rFonts w:ascii="Arial" w:cs="Arial" w:eastAsia="Arial" w:hAnsi="Arial"/>
                <w:sz w:val="16"/>
                <w:szCs w:val="16"/>
                <w:color w:val="auto"/>
              </w:rPr>
              <w:t>Germany</w:t>
            </w:r>
          </w:p>
        </w:tc>
      </w:tr>
    </w:tbl>
    <w:p>
      <w:pPr>
        <w:sectPr>
          <w:pgSz w:w="11900" w:h="16838" w:orient="portrait"/>
          <w:cols w:equalWidth="0" w:num="1">
            <w:col w:w="10800"/>
          </w:cols>
          <w:pgMar w:left="760" w:top="1440" w:right="339" w:bottom="1440" w:gutter="0" w:footer="0" w:header="0"/>
        </w:sectPr>
      </w:pPr>
    </w:p>
    <w:bookmarkStart w:id="117" w:name="page118"/>
    <w:bookmarkEnd w:id="117"/>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60" w:type="dxa"/>
            <w:vAlign w:val="bottom"/>
          </w:tcPr>
          <w:p>
            <w:pPr>
              <w:spacing w:after="0"/>
              <w:rPr>
                <w:sz w:val="20"/>
                <w:szCs w:val="20"/>
                <w:color w:val="auto"/>
              </w:rPr>
            </w:pPr>
            <w:r>
              <w:rPr>
                <w:rFonts w:ascii="Arial" w:cs="Arial" w:eastAsia="Arial" w:hAnsi="Arial"/>
                <w:sz w:val="16"/>
                <w:szCs w:val="16"/>
                <w:color w:val="auto"/>
              </w:rPr>
              <w:t>Avis Budget Autovermietung Verwaltungsgesellschaft mbH</w:t>
            </w:r>
          </w:p>
        </w:tc>
        <w:tc>
          <w:tcPr>
            <w:tcW w:w="2680" w:type="dxa"/>
            <w:vAlign w:val="bottom"/>
          </w:tcPr>
          <w:p>
            <w:pPr>
              <w:ind w:left="1000"/>
              <w:spacing w:after="0"/>
              <w:rPr>
                <w:sz w:val="20"/>
                <w:szCs w:val="20"/>
                <w:color w:val="auto"/>
              </w:rPr>
            </w:pPr>
            <w:r>
              <w:rPr>
                <w:rFonts w:ascii="Arial" w:cs="Arial" w:eastAsia="Arial" w:hAnsi="Arial"/>
                <w:sz w:val="16"/>
                <w:szCs w:val="16"/>
                <w:color w:val="auto"/>
              </w:rPr>
              <w:t>Germany</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Budget Brasil S.A.</w:t>
            </w:r>
          </w:p>
        </w:tc>
        <w:tc>
          <w:tcPr>
            <w:tcW w:w="2680" w:type="dxa"/>
            <w:vAlign w:val="bottom"/>
          </w:tcPr>
          <w:p>
            <w:pPr>
              <w:ind w:left="1000"/>
              <w:spacing w:after="0"/>
              <w:rPr>
                <w:sz w:val="20"/>
                <w:szCs w:val="20"/>
                <w:color w:val="auto"/>
              </w:rPr>
            </w:pPr>
            <w:r>
              <w:rPr>
                <w:rFonts w:ascii="Arial" w:cs="Arial" w:eastAsia="Arial" w:hAnsi="Arial"/>
                <w:sz w:val="16"/>
                <w:szCs w:val="16"/>
                <w:color w:val="auto"/>
              </w:rPr>
              <w:t>Brazil</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Budget Car Rental Canada ULC</w:t>
            </w:r>
          </w:p>
        </w:tc>
        <w:tc>
          <w:tcPr>
            <w:tcW w:w="2680" w:type="dxa"/>
            <w:vAlign w:val="bottom"/>
          </w:tcPr>
          <w:p>
            <w:pPr>
              <w:ind w:left="1000"/>
              <w:spacing w:after="0"/>
              <w:rPr>
                <w:sz w:val="20"/>
                <w:szCs w:val="20"/>
                <w:color w:val="auto"/>
              </w:rPr>
            </w:pPr>
            <w:r>
              <w:rPr>
                <w:rFonts w:ascii="Arial" w:cs="Arial" w:eastAsia="Arial" w:hAnsi="Arial"/>
                <w:sz w:val="16"/>
                <w:szCs w:val="16"/>
                <w:color w:val="auto"/>
              </w:rPr>
              <w:t>Canada</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Budget Car Rental, LLC</w:t>
            </w:r>
          </w:p>
        </w:tc>
        <w:tc>
          <w:tcPr>
            <w:tcW w:w="2680" w:type="dxa"/>
            <w:vAlign w:val="bottom"/>
          </w:tcPr>
          <w:p>
            <w:pPr>
              <w:ind w:left="1000"/>
              <w:spacing w:after="0"/>
              <w:rPr>
                <w:sz w:val="20"/>
                <w:szCs w:val="20"/>
                <w:color w:val="auto"/>
              </w:rPr>
            </w:pPr>
            <w:r>
              <w:rPr>
                <w:rFonts w:ascii="Arial" w:cs="Arial" w:eastAsia="Arial" w:hAnsi="Arial"/>
                <w:sz w:val="16"/>
                <w:szCs w:val="16"/>
                <w:color w:val="auto"/>
              </w:rPr>
              <w:t>Delaware</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Budget Contact Centers Inc.</w:t>
            </w:r>
          </w:p>
        </w:tc>
        <w:tc>
          <w:tcPr>
            <w:tcW w:w="2680" w:type="dxa"/>
            <w:vAlign w:val="bottom"/>
          </w:tcPr>
          <w:p>
            <w:pPr>
              <w:ind w:left="1000"/>
              <w:spacing w:after="0"/>
              <w:rPr>
                <w:sz w:val="20"/>
                <w:szCs w:val="20"/>
                <w:color w:val="auto"/>
              </w:rPr>
            </w:pPr>
            <w:r>
              <w:rPr>
                <w:rFonts w:ascii="Arial" w:cs="Arial" w:eastAsia="Arial" w:hAnsi="Arial"/>
                <w:sz w:val="16"/>
                <w:szCs w:val="16"/>
                <w:color w:val="auto"/>
              </w:rPr>
              <w:t>Canada</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Budget de Puerto Rico, Inc.</w:t>
            </w:r>
          </w:p>
        </w:tc>
        <w:tc>
          <w:tcPr>
            <w:tcW w:w="2680" w:type="dxa"/>
            <w:vAlign w:val="bottom"/>
          </w:tcPr>
          <w:p>
            <w:pPr>
              <w:ind w:left="1000"/>
              <w:spacing w:after="0"/>
              <w:rPr>
                <w:sz w:val="20"/>
                <w:szCs w:val="20"/>
                <w:color w:val="auto"/>
              </w:rPr>
            </w:pPr>
            <w:r>
              <w:rPr>
                <w:rFonts w:ascii="Arial" w:cs="Arial" w:eastAsia="Arial" w:hAnsi="Arial"/>
                <w:sz w:val="16"/>
                <w:szCs w:val="16"/>
                <w:color w:val="auto"/>
              </w:rPr>
              <w:t>Puerto Rico</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Budget Denmark A/S</w:t>
            </w:r>
          </w:p>
        </w:tc>
        <w:tc>
          <w:tcPr>
            <w:tcW w:w="2680" w:type="dxa"/>
            <w:vAlign w:val="bottom"/>
          </w:tcPr>
          <w:p>
            <w:pPr>
              <w:ind w:left="1000"/>
              <w:spacing w:after="0"/>
              <w:rPr>
                <w:sz w:val="20"/>
                <w:szCs w:val="20"/>
                <w:color w:val="auto"/>
              </w:rPr>
            </w:pPr>
            <w:r>
              <w:rPr>
                <w:rFonts w:ascii="Arial" w:cs="Arial" w:eastAsia="Arial" w:hAnsi="Arial"/>
                <w:sz w:val="16"/>
                <w:szCs w:val="16"/>
                <w:color w:val="auto"/>
              </w:rPr>
              <w:t>Denmark</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Budget EMEA Limited</w:t>
            </w:r>
          </w:p>
        </w:tc>
        <w:tc>
          <w:tcPr>
            <w:tcW w:w="2680" w:type="dxa"/>
            <w:vAlign w:val="bottom"/>
          </w:tcPr>
          <w:p>
            <w:pPr>
              <w:ind w:left="1000"/>
              <w:spacing w:after="0"/>
              <w:rPr>
                <w:sz w:val="20"/>
                <w:szCs w:val="20"/>
                <w:color w:val="auto"/>
              </w:rPr>
            </w:pPr>
            <w:r>
              <w:rPr>
                <w:rFonts w:ascii="Arial" w:cs="Arial" w:eastAsia="Arial" w:hAnsi="Arial"/>
                <w:sz w:val="16"/>
                <w:szCs w:val="16"/>
                <w:color w:val="auto"/>
              </w:rPr>
              <w:t>England and Wales</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Budget Europe International Reinsurance Limited</w:t>
            </w:r>
          </w:p>
        </w:tc>
        <w:tc>
          <w:tcPr>
            <w:tcW w:w="2680" w:type="dxa"/>
            <w:vAlign w:val="bottom"/>
          </w:tcPr>
          <w:p>
            <w:pPr>
              <w:ind w:left="1000"/>
              <w:spacing w:after="0"/>
              <w:rPr>
                <w:sz w:val="20"/>
                <w:szCs w:val="20"/>
                <w:color w:val="auto"/>
              </w:rPr>
            </w:pPr>
            <w:r>
              <w:rPr>
                <w:rFonts w:ascii="Arial" w:cs="Arial" w:eastAsia="Arial" w:hAnsi="Arial"/>
                <w:sz w:val="16"/>
                <w:szCs w:val="16"/>
                <w:color w:val="auto"/>
              </w:rPr>
              <w:t>Isle of Man</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Budget Finance plc</w:t>
            </w:r>
          </w:p>
        </w:tc>
        <w:tc>
          <w:tcPr>
            <w:tcW w:w="2680" w:type="dxa"/>
            <w:vAlign w:val="bottom"/>
          </w:tcPr>
          <w:p>
            <w:pPr>
              <w:ind w:left="1000"/>
              <w:spacing w:after="0"/>
              <w:rPr>
                <w:sz w:val="20"/>
                <w:szCs w:val="20"/>
                <w:color w:val="auto"/>
              </w:rPr>
            </w:pPr>
            <w:r>
              <w:rPr>
                <w:rFonts w:ascii="Arial" w:cs="Arial" w:eastAsia="Arial" w:hAnsi="Arial"/>
                <w:sz w:val="16"/>
                <w:szCs w:val="16"/>
                <w:color w:val="auto"/>
                <w:w w:val="99"/>
              </w:rPr>
              <w:t>Jersey Channel Islands</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Budget Finance, Inc.</w:t>
            </w:r>
          </w:p>
        </w:tc>
        <w:tc>
          <w:tcPr>
            <w:tcW w:w="2680" w:type="dxa"/>
            <w:vAlign w:val="bottom"/>
          </w:tcPr>
          <w:p>
            <w:pPr>
              <w:ind w:left="1000"/>
              <w:spacing w:after="0"/>
              <w:rPr>
                <w:sz w:val="20"/>
                <w:szCs w:val="20"/>
                <w:color w:val="auto"/>
              </w:rPr>
            </w:pPr>
            <w:r>
              <w:rPr>
                <w:rFonts w:ascii="Arial" w:cs="Arial" w:eastAsia="Arial" w:hAnsi="Arial"/>
                <w:sz w:val="16"/>
                <w:szCs w:val="16"/>
                <w:color w:val="auto"/>
              </w:rPr>
              <w:t>Delaware</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Budget Group Business Support Centre Szolgaltato Kft</w:t>
            </w:r>
          </w:p>
        </w:tc>
        <w:tc>
          <w:tcPr>
            <w:tcW w:w="2680" w:type="dxa"/>
            <w:vAlign w:val="bottom"/>
          </w:tcPr>
          <w:p>
            <w:pPr>
              <w:ind w:left="1000"/>
              <w:spacing w:after="0"/>
              <w:rPr>
                <w:sz w:val="20"/>
                <w:szCs w:val="20"/>
                <w:color w:val="auto"/>
              </w:rPr>
            </w:pPr>
            <w:r>
              <w:rPr>
                <w:rFonts w:ascii="Arial" w:cs="Arial" w:eastAsia="Arial" w:hAnsi="Arial"/>
                <w:sz w:val="16"/>
                <w:szCs w:val="16"/>
                <w:color w:val="auto"/>
              </w:rPr>
              <w:t>Hungary</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Budget Group Contact Centre EMEA S.A.</w:t>
            </w:r>
          </w:p>
        </w:tc>
        <w:tc>
          <w:tcPr>
            <w:tcW w:w="2680" w:type="dxa"/>
            <w:vAlign w:val="bottom"/>
          </w:tcPr>
          <w:p>
            <w:pPr>
              <w:ind w:left="1000"/>
              <w:spacing w:after="0"/>
              <w:rPr>
                <w:sz w:val="20"/>
                <w:szCs w:val="20"/>
                <w:color w:val="auto"/>
              </w:rPr>
            </w:pPr>
            <w:r>
              <w:rPr>
                <w:rFonts w:ascii="Arial" w:cs="Arial" w:eastAsia="Arial" w:hAnsi="Arial"/>
                <w:sz w:val="16"/>
                <w:szCs w:val="16"/>
                <w:color w:val="auto"/>
              </w:rPr>
              <w:t>Spain</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Budget Group Pty Limited</w:t>
            </w:r>
          </w:p>
        </w:tc>
        <w:tc>
          <w:tcPr>
            <w:tcW w:w="2680" w:type="dxa"/>
            <w:vAlign w:val="bottom"/>
          </w:tcPr>
          <w:p>
            <w:pPr>
              <w:ind w:left="1000"/>
              <w:spacing w:after="0"/>
              <w:rPr>
                <w:sz w:val="20"/>
                <w:szCs w:val="20"/>
                <w:color w:val="auto"/>
              </w:rPr>
            </w:pPr>
            <w:r>
              <w:rPr>
                <w:rFonts w:ascii="Arial" w:cs="Arial" w:eastAsia="Arial" w:hAnsi="Arial"/>
                <w:sz w:val="16"/>
                <w:szCs w:val="16"/>
                <w:color w:val="auto"/>
              </w:rPr>
              <w:t>Australia</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Budget Holdings, LLC</w:t>
            </w:r>
          </w:p>
        </w:tc>
        <w:tc>
          <w:tcPr>
            <w:tcW w:w="2680" w:type="dxa"/>
            <w:vAlign w:val="bottom"/>
          </w:tcPr>
          <w:p>
            <w:pPr>
              <w:ind w:left="1000"/>
              <w:spacing w:after="0"/>
              <w:rPr>
                <w:sz w:val="20"/>
                <w:szCs w:val="20"/>
                <w:color w:val="auto"/>
              </w:rPr>
            </w:pPr>
            <w:r>
              <w:rPr>
                <w:rFonts w:ascii="Arial" w:cs="Arial" w:eastAsia="Arial" w:hAnsi="Arial"/>
                <w:sz w:val="16"/>
                <w:szCs w:val="16"/>
                <w:color w:val="auto"/>
              </w:rPr>
              <w:t>Delaware</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Budget International Capital (Singapore) Pte. Ltd.</w:t>
            </w:r>
          </w:p>
        </w:tc>
        <w:tc>
          <w:tcPr>
            <w:tcW w:w="2680" w:type="dxa"/>
            <w:vAlign w:val="bottom"/>
          </w:tcPr>
          <w:p>
            <w:pPr>
              <w:ind w:left="1000"/>
              <w:spacing w:after="0"/>
              <w:rPr>
                <w:sz w:val="20"/>
                <w:szCs w:val="20"/>
                <w:color w:val="auto"/>
              </w:rPr>
            </w:pPr>
            <w:r>
              <w:rPr>
                <w:rFonts w:ascii="Arial" w:cs="Arial" w:eastAsia="Arial" w:hAnsi="Arial"/>
                <w:sz w:val="16"/>
                <w:szCs w:val="16"/>
                <w:color w:val="auto"/>
              </w:rPr>
              <w:t>Singapore</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Budget International Financing S.á r.l.</w:t>
            </w:r>
          </w:p>
        </w:tc>
        <w:tc>
          <w:tcPr>
            <w:tcW w:w="2680" w:type="dxa"/>
            <w:vAlign w:val="bottom"/>
          </w:tcPr>
          <w:p>
            <w:pPr>
              <w:ind w:left="1000"/>
              <w:spacing w:after="0"/>
              <w:rPr>
                <w:sz w:val="20"/>
                <w:szCs w:val="20"/>
                <w:color w:val="auto"/>
              </w:rPr>
            </w:pPr>
            <w:r>
              <w:rPr>
                <w:rFonts w:ascii="Arial" w:cs="Arial" w:eastAsia="Arial" w:hAnsi="Arial"/>
                <w:sz w:val="16"/>
                <w:szCs w:val="16"/>
                <w:color w:val="auto"/>
              </w:rPr>
              <w:t>Luxembourg</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Budget Italia S.P.A.</w:t>
            </w:r>
          </w:p>
        </w:tc>
        <w:tc>
          <w:tcPr>
            <w:tcW w:w="2680" w:type="dxa"/>
            <w:vAlign w:val="bottom"/>
          </w:tcPr>
          <w:p>
            <w:pPr>
              <w:ind w:left="1000"/>
              <w:spacing w:after="0"/>
              <w:rPr>
                <w:sz w:val="20"/>
                <w:szCs w:val="20"/>
                <w:color w:val="auto"/>
              </w:rPr>
            </w:pPr>
            <w:r>
              <w:rPr>
                <w:rFonts w:ascii="Arial" w:cs="Arial" w:eastAsia="Arial" w:hAnsi="Arial"/>
                <w:sz w:val="16"/>
                <w:szCs w:val="16"/>
                <w:color w:val="auto"/>
              </w:rPr>
              <w:t>Italy</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Budget Italia S.P.A. FleetCo S.A.P.A.</w:t>
            </w:r>
          </w:p>
        </w:tc>
        <w:tc>
          <w:tcPr>
            <w:tcW w:w="2680" w:type="dxa"/>
            <w:vAlign w:val="bottom"/>
          </w:tcPr>
          <w:p>
            <w:pPr>
              <w:ind w:left="1000"/>
              <w:spacing w:after="0"/>
              <w:rPr>
                <w:sz w:val="20"/>
                <w:szCs w:val="20"/>
                <w:color w:val="auto"/>
              </w:rPr>
            </w:pPr>
            <w:r>
              <w:rPr>
                <w:rFonts w:ascii="Arial" w:cs="Arial" w:eastAsia="Arial" w:hAnsi="Arial"/>
                <w:sz w:val="16"/>
                <w:szCs w:val="16"/>
                <w:color w:val="auto"/>
              </w:rPr>
              <w:t>Italy</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Budget Leasing Denmark A/S</w:t>
            </w:r>
          </w:p>
        </w:tc>
        <w:tc>
          <w:tcPr>
            <w:tcW w:w="2680" w:type="dxa"/>
            <w:vAlign w:val="bottom"/>
          </w:tcPr>
          <w:p>
            <w:pPr>
              <w:ind w:left="1000"/>
              <w:spacing w:after="0"/>
              <w:rPr>
                <w:sz w:val="20"/>
                <w:szCs w:val="20"/>
                <w:color w:val="auto"/>
              </w:rPr>
            </w:pPr>
            <w:r>
              <w:rPr>
                <w:rFonts w:ascii="Arial" w:cs="Arial" w:eastAsia="Arial" w:hAnsi="Arial"/>
                <w:sz w:val="16"/>
                <w:szCs w:val="16"/>
                <w:color w:val="auto"/>
              </w:rPr>
              <w:t>Denmark</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Budget Rental Car Funding (AESOP) LLC</w:t>
            </w:r>
          </w:p>
        </w:tc>
        <w:tc>
          <w:tcPr>
            <w:tcW w:w="2680" w:type="dxa"/>
            <w:vAlign w:val="bottom"/>
          </w:tcPr>
          <w:p>
            <w:pPr>
              <w:ind w:left="1000"/>
              <w:spacing w:after="0"/>
              <w:rPr>
                <w:sz w:val="20"/>
                <w:szCs w:val="20"/>
                <w:color w:val="auto"/>
              </w:rPr>
            </w:pPr>
            <w:r>
              <w:rPr>
                <w:rFonts w:ascii="Arial" w:cs="Arial" w:eastAsia="Arial" w:hAnsi="Arial"/>
                <w:sz w:val="16"/>
                <w:szCs w:val="16"/>
                <w:color w:val="auto"/>
              </w:rPr>
              <w:t>Delaware</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Budget Services Limited</w:t>
            </w:r>
          </w:p>
        </w:tc>
        <w:tc>
          <w:tcPr>
            <w:tcW w:w="2680" w:type="dxa"/>
            <w:vAlign w:val="bottom"/>
          </w:tcPr>
          <w:p>
            <w:pPr>
              <w:ind w:left="1000"/>
              <w:spacing w:after="0"/>
              <w:rPr>
                <w:sz w:val="20"/>
                <w:szCs w:val="20"/>
                <w:color w:val="auto"/>
              </w:rPr>
            </w:pPr>
            <w:r>
              <w:rPr>
                <w:rFonts w:ascii="Arial" w:cs="Arial" w:eastAsia="Arial" w:hAnsi="Arial"/>
                <w:sz w:val="16"/>
                <w:szCs w:val="16"/>
                <w:color w:val="auto"/>
              </w:rPr>
              <w:t>England and Wales</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Budget UK Limited</w:t>
            </w:r>
          </w:p>
        </w:tc>
        <w:tc>
          <w:tcPr>
            <w:tcW w:w="2680" w:type="dxa"/>
            <w:vAlign w:val="bottom"/>
          </w:tcPr>
          <w:p>
            <w:pPr>
              <w:ind w:left="1000"/>
              <w:spacing w:after="0"/>
              <w:rPr>
                <w:sz w:val="20"/>
                <w:szCs w:val="20"/>
                <w:color w:val="auto"/>
              </w:rPr>
            </w:pPr>
            <w:r>
              <w:rPr>
                <w:rFonts w:ascii="Arial" w:cs="Arial" w:eastAsia="Arial" w:hAnsi="Arial"/>
                <w:sz w:val="16"/>
                <w:szCs w:val="16"/>
                <w:color w:val="auto"/>
              </w:rPr>
              <w:t>England and Wales</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Car Rental Group, LLC</w:t>
            </w:r>
          </w:p>
        </w:tc>
        <w:tc>
          <w:tcPr>
            <w:tcW w:w="2680" w:type="dxa"/>
            <w:vAlign w:val="bottom"/>
          </w:tcPr>
          <w:p>
            <w:pPr>
              <w:ind w:left="1000"/>
              <w:spacing w:after="0"/>
              <w:rPr>
                <w:sz w:val="20"/>
                <w:szCs w:val="20"/>
                <w:color w:val="auto"/>
              </w:rPr>
            </w:pPr>
            <w:r>
              <w:rPr>
                <w:rFonts w:ascii="Arial" w:cs="Arial" w:eastAsia="Arial" w:hAnsi="Arial"/>
                <w:sz w:val="16"/>
                <w:szCs w:val="16"/>
                <w:color w:val="auto"/>
              </w:rPr>
              <w:t>Delaware</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Car Sales, LLC</w:t>
            </w:r>
          </w:p>
        </w:tc>
        <w:tc>
          <w:tcPr>
            <w:tcW w:w="2680" w:type="dxa"/>
            <w:vAlign w:val="bottom"/>
          </w:tcPr>
          <w:p>
            <w:pPr>
              <w:ind w:left="1000"/>
              <w:spacing w:after="0"/>
              <w:rPr>
                <w:sz w:val="20"/>
                <w:szCs w:val="20"/>
                <w:color w:val="auto"/>
              </w:rPr>
            </w:pPr>
            <w:r>
              <w:rPr>
                <w:rFonts w:ascii="Arial" w:cs="Arial" w:eastAsia="Arial" w:hAnsi="Arial"/>
                <w:sz w:val="16"/>
                <w:szCs w:val="16"/>
                <w:color w:val="auto"/>
              </w:rPr>
              <w:t>Delaware</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Car Sales UTD, LLC</w:t>
            </w:r>
          </w:p>
        </w:tc>
        <w:tc>
          <w:tcPr>
            <w:tcW w:w="2680" w:type="dxa"/>
            <w:vAlign w:val="bottom"/>
          </w:tcPr>
          <w:p>
            <w:pPr>
              <w:ind w:left="1000"/>
              <w:spacing w:after="0"/>
              <w:rPr>
                <w:sz w:val="20"/>
                <w:szCs w:val="20"/>
                <w:color w:val="auto"/>
              </w:rPr>
            </w:pPr>
            <w:r>
              <w:rPr>
                <w:rFonts w:ascii="Arial" w:cs="Arial" w:eastAsia="Arial" w:hAnsi="Arial"/>
                <w:sz w:val="16"/>
                <w:szCs w:val="16"/>
                <w:color w:val="auto"/>
              </w:rPr>
              <w:t>Delaware</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Caribbean, Limited</w:t>
            </w:r>
          </w:p>
        </w:tc>
        <w:tc>
          <w:tcPr>
            <w:tcW w:w="2680" w:type="dxa"/>
            <w:vAlign w:val="bottom"/>
          </w:tcPr>
          <w:p>
            <w:pPr>
              <w:ind w:left="1000"/>
              <w:spacing w:after="0"/>
              <w:rPr>
                <w:sz w:val="20"/>
                <w:szCs w:val="20"/>
                <w:color w:val="auto"/>
              </w:rPr>
            </w:pPr>
            <w:r>
              <w:rPr>
                <w:rFonts w:ascii="Arial" w:cs="Arial" w:eastAsia="Arial" w:hAnsi="Arial"/>
                <w:sz w:val="16"/>
                <w:szCs w:val="16"/>
                <w:color w:val="auto"/>
              </w:rPr>
              <w:t>Delaware</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Europe and Middle East Limited</w:t>
            </w:r>
          </w:p>
        </w:tc>
        <w:tc>
          <w:tcPr>
            <w:tcW w:w="2680" w:type="dxa"/>
            <w:vAlign w:val="bottom"/>
          </w:tcPr>
          <w:p>
            <w:pPr>
              <w:ind w:left="1000"/>
              <w:spacing w:after="0"/>
              <w:rPr>
                <w:sz w:val="20"/>
                <w:szCs w:val="20"/>
                <w:color w:val="auto"/>
              </w:rPr>
            </w:pPr>
            <w:r>
              <w:rPr>
                <w:rFonts w:ascii="Arial" w:cs="Arial" w:eastAsia="Arial" w:hAnsi="Arial"/>
                <w:sz w:val="16"/>
                <w:szCs w:val="16"/>
                <w:color w:val="auto"/>
              </w:rPr>
              <w:t>England and Wales</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Europe Group Holdings B.V.</w:t>
            </w:r>
          </w:p>
        </w:tc>
        <w:tc>
          <w:tcPr>
            <w:tcW w:w="2680" w:type="dxa"/>
            <w:vAlign w:val="bottom"/>
          </w:tcPr>
          <w:p>
            <w:pPr>
              <w:ind w:left="1000"/>
              <w:spacing w:after="0"/>
              <w:rPr>
                <w:sz w:val="20"/>
                <w:szCs w:val="20"/>
                <w:color w:val="auto"/>
              </w:rPr>
            </w:pPr>
            <w:r>
              <w:rPr>
                <w:rFonts w:ascii="Arial" w:cs="Arial" w:eastAsia="Arial" w:hAnsi="Arial"/>
                <w:sz w:val="16"/>
                <w:szCs w:val="16"/>
                <w:color w:val="auto"/>
              </w:rPr>
              <w:t>Netherlands</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Europe Holdings Limited</w:t>
            </w:r>
          </w:p>
        </w:tc>
        <w:tc>
          <w:tcPr>
            <w:tcW w:w="2680" w:type="dxa"/>
            <w:vAlign w:val="bottom"/>
          </w:tcPr>
          <w:p>
            <w:pPr>
              <w:ind w:left="1000"/>
              <w:spacing w:after="0"/>
              <w:rPr>
                <w:sz w:val="20"/>
                <w:szCs w:val="20"/>
                <w:color w:val="auto"/>
              </w:rPr>
            </w:pPr>
            <w:r>
              <w:rPr>
                <w:rFonts w:ascii="Arial" w:cs="Arial" w:eastAsia="Arial" w:hAnsi="Arial"/>
                <w:sz w:val="16"/>
                <w:szCs w:val="16"/>
                <w:color w:val="auto"/>
              </w:rPr>
              <w:t>England and Wales</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Europe Overseas Limited</w:t>
            </w:r>
          </w:p>
        </w:tc>
        <w:tc>
          <w:tcPr>
            <w:tcW w:w="2680" w:type="dxa"/>
            <w:vAlign w:val="bottom"/>
          </w:tcPr>
          <w:p>
            <w:pPr>
              <w:ind w:left="1000"/>
              <w:spacing w:after="0"/>
              <w:rPr>
                <w:sz w:val="20"/>
                <w:szCs w:val="20"/>
                <w:color w:val="auto"/>
              </w:rPr>
            </w:pPr>
            <w:r>
              <w:rPr>
                <w:rFonts w:ascii="Arial" w:cs="Arial" w:eastAsia="Arial" w:hAnsi="Arial"/>
                <w:sz w:val="16"/>
                <w:szCs w:val="16"/>
                <w:color w:val="auto"/>
              </w:rPr>
              <w:t>England and Wales</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Europe Risk Management Limited</w:t>
            </w:r>
          </w:p>
        </w:tc>
        <w:tc>
          <w:tcPr>
            <w:tcW w:w="2680" w:type="dxa"/>
            <w:vAlign w:val="bottom"/>
          </w:tcPr>
          <w:p>
            <w:pPr>
              <w:ind w:left="1000"/>
              <w:spacing w:after="0"/>
              <w:rPr>
                <w:sz w:val="20"/>
                <w:szCs w:val="20"/>
                <w:color w:val="auto"/>
              </w:rPr>
            </w:pPr>
            <w:r>
              <w:rPr>
                <w:rFonts w:ascii="Arial" w:cs="Arial" w:eastAsia="Arial" w:hAnsi="Arial"/>
                <w:sz w:val="16"/>
                <w:szCs w:val="16"/>
                <w:color w:val="auto"/>
              </w:rPr>
              <w:t>England and Wales</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Finance Company (No. 2) Limited</w:t>
            </w:r>
          </w:p>
        </w:tc>
        <w:tc>
          <w:tcPr>
            <w:tcW w:w="2680" w:type="dxa"/>
            <w:vAlign w:val="bottom"/>
          </w:tcPr>
          <w:p>
            <w:pPr>
              <w:ind w:left="1000"/>
              <w:spacing w:after="0"/>
              <w:rPr>
                <w:sz w:val="20"/>
                <w:szCs w:val="20"/>
                <w:color w:val="auto"/>
              </w:rPr>
            </w:pPr>
            <w:r>
              <w:rPr>
                <w:rFonts w:ascii="Arial" w:cs="Arial" w:eastAsia="Arial" w:hAnsi="Arial"/>
                <w:sz w:val="16"/>
                <w:szCs w:val="16"/>
                <w:color w:val="auto"/>
              </w:rPr>
              <w:t>England and Wales</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Finance Company (No. 3) Limited</w:t>
            </w:r>
          </w:p>
        </w:tc>
        <w:tc>
          <w:tcPr>
            <w:tcW w:w="2680" w:type="dxa"/>
            <w:vAlign w:val="bottom"/>
          </w:tcPr>
          <w:p>
            <w:pPr>
              <w:ind w:left="1000"/>
              <w:spacing w:after="0"/>
              <w:rPr>
                <w:sz w:val="20"/>
                <w:szCs w:val="20"/>
                <w:color w:val="auto"/>
              </w:rPr>
            </w:pPr>
            <w:r>
              <w:rPr>
                <w:rFonts w:ascii="Arial" w:cs="Arial" w:eastAsia="Arial" w:hAnsi="Arial"/>
                <w:sz w:val="16"/>
                <w:szCs w:val="16"/>
                <w:color w:val="auto"/>
                <w:w w:val="99"/>
              </w:rPr>
              <w:t>Jersey Channel Islands</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Finance Company Limited</w:t>
            </w:r>
          </w:p>
        </w:tc>
        <w:tc>
          <w:tcPr>
            <w:tcW w:w="2680" w:type="dxa"/>
            <w:vAlign w:val="bottom"/>
          </w:tcPr>
          <w:p>
            <w:pPr>
              <w:ind w:left="1000"/>
              <w:spacing w:after="0"/>
              <w:rPr>
                <w:sz w:val="20"/>
                <w:szCs w:val="20"/>
                <w:color w:val="auto"/>
              </w:rPr>
            </w:pPr>
            <w:r>
              <w:rPr>
                <w:rFonts w:ascii="Arial" w:cs="Arial" w:eastAsia="Arial" w:hAnsi="Arial"/>
                <w:sz w:val="16"/>
                <w:szCs w:val="16"/>
                <w:color w:val="auto"/>
              </w:rPr>
              <w:t>England and Wales</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Financement Vehicules SAS</w:t>
            </w:r>
          </w:p>
        </w:tc>
        <w:tc>
          <w:tcPr>
            <w:tcW w:w="2680" w:type="dxa"/>
            <w:vAlign w:val="bottom"/>
          </w:tcPr>
          <w:p>
            <w:pPr>
              <w:ind w:left="1000"/>
              <w:spacing w:after="0"/>
              <w:rPr>
                <w:sz w:val="20"/>
                <w:szCs w:val="20"/>
                <w:color w:val="auto"/>
              </w:rPr>
            </w:pPr>
            <w:r>
              <w:rPr>
                <w:rFonts w:ascii="Arial" w:cs="Arial" w:eastAsia="Arial" w:hAnsi="Arial"/>
                <w:sz w:val="16"/>
                <w:szCs w:val="16"/>
                <w:color w:val="auto"/>
              </w:rPr>
              <w:t>France</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Group Holdings, LLC</w:t>
            </w:r>
          </w:p>
        </w:tc>
        <w:tc>
          <w:tcPr>
            <w:tcW w:w="2680" w:type="dxa"/>
            <w:vAlign w:val="bottom"/>
          </w:tcPr>
          <w:p>
            <w:pPr>
              <w:ind w:left="1000"/>
              <w:spacing w:after="0"/>
              <w:rPr>
                <w:sz w:val="20"/>
                <w:szCs w:val="20"/>
                <w:color w:val="auto"/>
              </w:rPr>
            </w:pPr>
            <w:r>
              <w:rPr>
                <w:rFonts w:ascii="Arial" w:cs="Arial" w:eastAsia="Arial" w:hAnsi="Arial"/>
                <w:sz w:val="16"/>
                <w:szCs w:val="16"/>
                <w:color w:val="auto"/>
              </w:rPr>
              <w:t>Delaware</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India Investments Private Limited</w:t>
            </w:r>
          </w:p>
        </w:tc>
        <w:tc>
          <w:tcPr>
            <w:tcW w:w="2680" w:type="dxa"/>
            <w:vAlign w:val="bottom"/>
          </w:tcPr>
          <w:p>
            <w:pPr>
              <w:ind w:left="1000"/>
              <w:spacing w:after="0"/>
              <w:rPr>
                <w:sz w:val="20"/>
                <w:szCs w:val="20"/>
                <w:color w:val="auto"/>
              </w:rPr>
            </w:pPr>
            <w:r>
              <w:rPr>
                <w:rFonts w:ascii="Arial" w:cs="Arial" w:eastAsia="Arial" w:hAnsi="Arial"/>
                <w:sz w:val="16"/>
                <w:szCs w:val="16"/>
                <w:color w:val="auto"/>
              </w:rPr>
              <w:t>India</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International Holdings, LLC</w:t>
            </w:r>
          </w:p>
        </w:tc>
        <w:tc>
          <w:tcPr>
            <w:tcW w:w="2680" w:type="dxa"/>
            <w:vAlign w:val="bottom"/>
          </w:tcPr>
          <w:p>
            <w:pPr>
              <w:ind w:left="1000"/>
              <w:spacing w:after="0"/>
              <w:rPr>
                <w:sz w:val="20"/>
                <w:szCs w:val="20"/>
                <w:color w:val="auto"/>
              </w:rPr>
            </w:pPr>
            <w:r>
              <w:rPr>
                <w:rFonts w:ascii="Arial" w:cs="Arial" w:eastAsia="Arial" w:hAnsi="Arial"/>
                <w:sz w:val="16"/>
                <w:szCs w:val="16"/>
                <w:color w:val="auto"/>
              </w:rPr>
              <w:t>Delaware</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International, Ltd.</w:t>
            </w:r>
          </w:p>
        </w:tc>
        <w:tc>
          <w:tcPr>
            <w:tcW w:w="2680" w:type="dxa"/>
            <w:vAlign w:val="bottom"/>
          </w:tcPr>
          <w:p>
            <w:pPr>
              <w:ind w:left="1000"/>
              <w:spacing w:after="0"/>
              <w:rPr>
                <w:sz w:val="20"/>
                <w:szCs w:val="20"/>
                <w:color w:val="auto"/>
              </w:rPr>
            </w:pPr>
            <w:r>
              <w:rPr>
                <w:rFonts w:ascii="Arial" w:cs="Arial" w:eastAsia="Arial" w:hAnsi="Arial"/>
                <w:sz w:val="16"/>
                <w:szCs w:val="16"/>
                <w:color w:val="auto"/>
              </w:rPr>
              <w:t>Delaware</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Investment Services Limited</w:t>
            </w:r>
          </w:p>
        </w:tc>
        <w:tc>
          <w:tcPr>
            <w:tcW w:w="2680" w:type="dxa"/>
            <w:vAlign w:val="bottom"/>
          </w:tcPr>
          <w:p>
            <w:pPr>
              <w:ind w:left="1000"/>
              <w:spacing w:after="0"/>
              <w:rPr>
                <w:sz w:val="20"/>
                <w:szCs w:val="20"/>
                <w:color w:val="auto"/>
              </w:rPr>
            </w:pPr>
            <w:r>
              <w:rPr>
                <w:rFonts w:ascii="Arial" w:cs="Arial" w:eastAsia="Arial" w:hAnsi="Arial"/>
                <w:sz w:val="16"/>
                <w:szCs w:val="16"/>
                <w:color w:val="auto"/>
              </w:rPr>
              <w:t>England and Wales</w:t>
            </w:r>
          </w:p>
        </w:tc>
      </w:tr>
      <w:tr>
        <w:trPr>
          <w:trHeight w:val="229"/>
        </w:trPr>
        <w:tc>
          <w:tcPr>
            <w:tcW w:w="5260" w:type="dxa"/>
            <w:vAlign w:val="bottom"/>
          </w:tcPr>
          <w:p>
            <w:pPr>
              <w:spacing w:after="0"/>
              <w:rPr>
                <w:sz w:val="20"/>
                <w:szCs w:val="20"/>
                <w:color w:val="auto"/>
              </w:rPr>
            </w:pPr>
            <w:r>
              <w:rPr>
                <w:rFonts w:ascii="Arial" w:cs="Arial" w:eastAsia="Arial" w:hAnsi="Arial"/>
                <w:sz w:val="16"/>
                <w:szCs w:val="16"/>
                <w:color w:val="auto"/>
              </w:rPr>
              <w:t>Avis Location de Voitures S.à r.l</w:t>
            </w:r>
          </w:p>
        </w:tc>
        <w:tc>
          <w:tcPr>
            <w:tcW w:w="2680" w:type="dxa"/>
            <w:vAlign w:val="bottom"/>
          </w:tcPr>
          <w:p>
            <w:pPr>
              <w:ind w:left="1000"/>
              <w:spacing w:after="0"/>
              <w:rPr>
                <w:sz w:val="20"/>
                <w:szCs w:val="20"/>
                <w:color w:val="auto"/>
              </w:rPr>
            </w:pPr>
            <w:r>
              <w:rPr>
                <w:rFonts w:ascii="Arial" w:cs="Arial" w:eastAsia="Arial" w:hAnsi="Arial"/>
                <w:sz w:val="16"/>
                <w:szCs w:val="16"/>
                <w:color w:val="auto"/>
              </w:rPr>
              <w:t>Luxembourg</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Avis Location de Voitures SAS</w:t>
            </w:r>
          </w:p>
        </w:tc>
        <w:tc>
          <w:tcPr>
            <w:tcW w:w="2680" w:type="dxa"/>
            <w:vAlign w:val="bottom"/>
          </w:tcPr>
          <w:p>
            <w:pPr>
              <w:ind w:left="1000"/>
              <w:spacing w:after="0"/>
              <w:rPr>
                <w:sz w:val="20"/>
                <w:szCs w:val="20"/>
                <w:color w:val="auto"/>
              </w:rPr>
            </w:pPr>
            <w:r>
              <w:rPr>
                <w:rFonts w:ascii="Arial" w:cs="Arial" w:eastAsia="Arial" w:hAnsi="Arial"/>
                <w:sz w:val="16"/>
                <w:szCs w:val="16"/>
                <w:color w:val="auto"/>
              </w:rPr>
              <w:t>France</w:t>
            </w:r>
          </w:p>
        </w:tc>
      </w:tr>
    </w:tbl>
    <w:p>
      <w:pPr>
        <w:sectPr>
          <w:pgSz w:w="11900" w:h="16838" w:orient="portrait"/>
          <w:cols w:equalWidth="0" w:num="1">
            <w:col w:w="9679"/>
          </w:cols>
          <w:pgMar w:left="780" w:top="1440" w:right="1440" w:bottom="1440" w:gutter="0" w:footer="0" w:header="0"/>
        </w:sectPr>
      </w:pPr>
    </w:p>
    <w:bookmarkStart w:id="118" w:name="page119"/>
    <w:bookmarkEnd w:id="118"/>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Avis Management Pty.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Mobility Ventures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Pension Trustees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Rent A Car (Isle Of Man)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Rent A Car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Rent A Car Sdn. Bhd.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Rent A Car System,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AvisBudget Group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Aviscar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Bell’Aria S.p.A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Budget International,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Budget Rent A Car Australia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Budget Rent A Car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Budget Rent a Car Operations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Budget Rent A Car System,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Budget Truck Rental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Budgetcar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Rent A Car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Camfox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CCRG Servicios De Automoveis LTDA.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CD Intellectual Property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Cendant Finance Holding Company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Centre Point Funding,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Chaconne Pty.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Constellation Reinsurance Company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Garep AG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Gestlas – Gestão Automóvel, 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Jupol-Car Sp. z.o.o.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Maggiore Asset Management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Mercury Car Rentals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Milton Location de Voitures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Morini SpA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Motorent,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National Car Rentals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Payless Car Rental Canada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Payless Car Rental System,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Payless Car Rental,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Payless Car Sales,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Payless Parking,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 Holdco,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PV Holding Corp.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Quartx Fleet Management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RAC Norway AS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Isle of Man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Malaysia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Barbados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Portugal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Tennessee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Nevada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ectPr>
          <w:pgSz w:w="11900" w:h="16838" w:orient="portrait"/>
          <w:cols w:equalWidth="0" w:num="2">
            <w:col w:w="5540" w:space="720"/>
            <w:col w:w="3419"/>
          </w:cols>
          <w:pgMar w:left="780" w:top="1440" w:right="1440" w:bottom="1440" w:gutter="0" w:footer="0" w:header="0"/>
        </w:sectPr>
      </w:pPr>
    </w:p>
    <w:bookmarkStart w:id="119" w:name="page120"/>
    <w:bookmarkEnd w:id="119"/>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20" w:type="dxa"/>
            <w:vAlign w:val="bottom"/>
          </w:tcPr>
          <w:p>
            <w:pPr>
              <w:spacing w:after="0"/>
              <w:rPr>
                <w:sz w:val="20"/>
                <w:szCs w:val="20"/>
                <w:color w:val="auto"/>
              </w:rPr>
            </w:pPr>
            <w:r>
              <w:rPr>
                <w:rFonts w:ascii="Arial" w:cs="Arial" w:eastAsia="Arial" w:hAnsi="Arial"/>
                <w:sz w:val="16"/>
                <w:szCs w:val="16"/>
                <w:color w:val="auto"/>
              </w:rPr>
              <w:t>SCA sas</w:t>
            </w:r>
          </w:p>
        </w:tc>
        <w:tc>
          <w:tcPr>
            <w:tcW w:w="2340" w:type="dxa"/>
            <w:vAlign w:val="bottom"/>
          </w:tcPr>
          <w:p>
            <w:pPr>
              <w:ind w:left="940"/>
              <w:spacing w:after="0"/>
              <w:rPr>
                <w:sz w:val="20"/>
                <w:szCs w:val="20"/>
                <w:color w:val="auto"/>
              </w:rPr>
            </w:pPr>
            <w:r>
              <w:rPr>
                <w:rFonts w:ascii="Arial" w:cs="Arial" w:eastAsia="Arial" w:hAnsi="Arial"/>
                <w:sz w:val="16"/>
                <w:szCs w:val="16"/>
                <w:color w:val="auto"/>
              </w:rPr>
              <w:t>France</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Servicios Avis S.A.</w:t>
            </w:r>
          </w:p>
        </w:tc>
        <w:tc>
          <w:tcPr>
            <w:tcW w:w="2340" w:type="dxa"/>
            <w:vAlign w:val="bottom"/>
          </w:tcPr>
          <w:p>
            <w:pPr>
              <w:ind w:left="940"/>
              <w:spacing w:after="0"/>
              <w:rPr>
                <w:sz w:val="20"/>
                <w:szCs w:val="20"/>
                <w:color w:val="auto"/>
              </w:rPr>
            </w:pPr>
            <w:r>
              <w:rPr>
                <w:rFonts w:ascii="Arial" w:cs="Arial" w:eastAsia="Arial" w:hAnsi="Arial"/>
                <w:sz w:val="16"/>
                <w:szCs w:val="16"/>
                <w:color w:val="auto"/>
              </w:rPr>
              <w:t>Mexico</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Sovialma-Sociedade de Viaturas de Aluguer da Madeira LDA</w:t>
            </w:r>
          </w:p>
        </w:tc>
        <w:tc>
          <w:tcPr>
            <w:tcW w:w="2340" w:type="dxa"/>
            <w:vAlign w:val="bottom"/>
          </w:tcPr>
          <w:p>
            <w:pPr>
              <w:ind w:left="940"/>
              <w:spacing w:after="0"/>
              <w:rPr>
                <w:sz w:val="20"/>
                <w:szCs w:val="20"/>
                <w:color w:val="auto"/>
              </w:rPr>
            </w:pPr>
            <w:r>
              <w:rPr>
                <w:rFonts w:ascii="Arial" w:cs="Arial" w:eastAsia="Arial" w:hAnsi="Arial"/>
                <w:sz w:val="16"/>
                <w:szCs w:val="16"/>
                <w:color w:val="auto"/>
              </w:rPr>
              <w:t>Portugal</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Sovial Sociedade de Viaturas de Aluguer LDA</w:t>
            </w:r>
          </w:p>
        </w:tc>
        <w:tc>
          <w:tcPr>
            <w:tcW w:w="2340" w:type="dxa"/>
            <w:vAlign w:val="bottom"/>
          </w:tcPr>
          <w:p>
            <w:pPr>
              <w:ind w:left="940"/>
              <w:spacing w:after="0"/>
              <w:rPr>
                <w:sz w:val="20"/>
                <w:szCs w:val="20"/>
                <w:color w:val="auto"/>
              </w:rPr>
            </w:pPr>
            <w:r>
              <w:rPr>
                <w:rFonts w:ascii="Arial" w:cs="Arial" w:eastAsia="Arial" w:hAnsi="Arial"/>
                <w:sz w:val="16"/>
                <w:szCs w:val="16"/>
                <w:color w:val="auto"/>
              </w:rPr>
              <w:t>Portugal</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Sweden Rent A Car AB</w:t>
            </w:r>
          </w:p>
        </w:tc>
        <w:tc>
          <w:tcPr>
            <w:tcW w:w="2340" w:type="dxa"/>
            <w:vAlign w:val="bottom"/>
          </w:tcPr>
          <w:p>
            <w:pPr>
              <w:ind w:left="940"/>
              <w:spacing w:after="0"/>
              <w:rPr>
                <w:sz w:val="20"/>
                <w:szCs w:val="20"/>
                <w:color w:val="auto"/>
              </w:rPr>
            </w:pPr>
            <w:r>
              <w:rPr>
                <w:rFonts w:ascii="Arial" w:cs="Arial" w:eastAsia="Arial" w:hAnsi="Arial"/>
                <w:sz w:val="16"/>
                <w:szCs w:val="16"/>
                <w:color w:val="auto"/>
              </w:rPr>
              <w:t>Sweden</w:t>
            </w:r>
          </w:p>
        </w:tc>
      </w:tr>
      <w:tr>
        <w:trPr>
          <w:trHeight w:val="230"/>
        </w:trPr>
        <w:tc>
          <w:tcPr>
            <w:tcW w:w="5320" w:type="dxa"/>
            <w:vAlign w:val="bottom"/>
          </w:tcPr>
          <w:p>
            <w:pPr>
              <w:spacing w:after="0"/>
              <w:rPr>
                <w:sz w:val="20"/>
                <w:szCs w:val="20"/>
                <w:color w:val="auto"/>
              </w:rPr>
            </w:pPr>
            <w:r>
              <w:rPr>
                <w:rFonts w:ascii="Arial" w:cs="Arial" w:eastAsia="Arial" w:hAnsi="Arial"/>
                <w:sz w:val="16"/>
                <w:szCs w:val="16"/>
                <w:color w:val="auto"/>
              </w:rPr>
              <w:t>Transfercar4U AS</w:t>
            </w:r>
          </w:p>
        </w:tc>
        <w:tc>
          <w:tcPr>
            <w:tcW w:w="2340" w:type="dxa"/>
            <w:vAlign w:val="bottom"/>
          </w:tcPr>
          <w:p>
            <w:pPr>
              <w:ind w:left="940"/>
              <w:spacing w:after="0"/>
              <w:rPr>
                <w:sz w:val="20"/>
                <w:szCs w:val="20"/>
                <w:color w:val="auto"/>
              </w:rPr>
            </w:pPr>
            <w:r>
              <w:rPr>
                <w:rFonts w:ascii="Arial" w:cs="Arial" w:eastAsia="Arial" w:hAnsi="Arial"/>
                <w:sz w:val="16"/>
                <w:szCs w:val="16"/>
                <w:color w:val="auto"/>
              </w:rPr>
              <w:t>Norway</w:t>
            </w:r>
          </w:p>
        </w:tc>
      </w:tr>
      <w:tr>
        <w:trPr>
          <w:trHeight w:val="229"/>
        </w:trPr>
        <w:tc>
          <w:tcPr>
            <w:tcW w:w="5320" w:type="dxa"/>
            <w:vAlign w:val="bottom"/>
          </w:tcPr>
          <w:p>
            <w:pPr>
              <w:spacing w:after="0"/>
              <w:rPr>
                <w:sz w:val="20"/>
                <w:szCs w:val="20"/>
                <w:color w:val="auto"/>
              </w:rPr>
            </w:pPr>
            <w:r>
              <w:rPr>
                <w:rFonts w:ascii="Arial" w:cs="Arial" w:eastAsia="Arial" w:hAnsi="Arial"/>
                <w:sz w:val="16"/>
                <w:szCs w:val="16"/>
                <w:color w:val="auto"/>
              </w:rPr>
              <w:t>Turiscar Rent A Car, S.A.</w:t>
            </w:r>
          </w:p>
        </w:tc>
        <w:tc>
          <w:tcPr>
            <w:tcW w:w="2340" w:type="dxa"/>
            <w:vAlign w:val="bottom"/>
          </w:tcPr>
          <w:p>
            <w:pPr>
              <w:ind w:left="940"/>
              <w:spacing w:after="0"/>
              <w:rPr>
                <w:sz w:val="20"/>
                <w:szCs w:val="20"/>
                <w:color w:val="auto"/>
              </w:rPr>
            </w:pPr>
            <w:r>
              <w:rPr>
                <w:rFonts w:ascii="Arial" w:cs="Arial" w:eastAsia="Arial" w:hAnsi="Arial"/>
                <w:sz w:val="16"/>
                <w:szCs w:val="16"/>
                <w:color w:val="auto"/>
              </w:rPr>
              <w:t>Portugal</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Virgin Islands Enterprises, Inc.</w:t>
            </w:r>
          </w:p>
        </w:tc>
        <w:tc>
          <w:tcPr>
            <w:tcW w:w="2340" w:type="dxa"/>
            <w:vAlign w:val="bottom"/>
          </w:tcPr>
          <w:p>
            <w:pPr>
              <w:ind w:left="940"/>
              <w:spacing w:after="0"/>
              <w:rPr>
                <w:sz w:val="20"/>
                <w:szCs w:val="20"/>
                <w:color w:val="auto"/>
              </w:rPr>
            </w:pPr>
            <w:r>
              <w:rPr>
                <w:rFonts w:ascii="Arial" w:cs="Arial" w:eastAsia="Arial" w:hAnsi="Arial"/>
                <w:sz w:val="16"/>
                <w:szCs w:val="16"/>
                <w:color w:val="auto"/>
              </w:rPr>
              <w:t>Virgin Islands</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W.T.H. (Sub 1) Pty Ltd.</w:t>
            </w:r>
          </w:p>
        </w:tc>
        <w:tc>
          <w:tcPr>
            <w:tcW w:w="2340" w:type="dxa"/>
            <w:vAlign w:val="bottom"/>
          </w:tcPr>
          <w:p>
            <w:pPr>
              <w:ind w:left="940"/>
              <w:spacing w:after="0"/>
              <w:rPr>
                <w:sz w:val="20"/>
                <w:szCs w:val="20"/>
                <w:color w:val="auto"/>
              </w:rPr>
            </w:pPr>
            <w:r>
              <w:rPr>
                <w:rFonts w:ascii="Arial" w:cs="Arial" w:eastAsia="Arial" w:hAnsi="Arial"/>
                <w:sz w:val="16"/>
                <w:szCs w:val="16"/>
                <w:color w:val="auto"/>
              </w:rPr>
              <w:t>Australia</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W.T.H. (Sub 2) Limited</w:t>
            </w:r>
          </w:p>
        </w:tc>
        <w:tc>
          <w:tcPr>
            <w:tcW w:w="2340" w:type="dxa"/>
            <w:vAlign w:val="bottom"/>
          </w:tcPr>
          <w:p>
            <w:pPr>
              <w:ind w:left="940"/>
              <w:spacing w:after="0"/>
              <w:rPr>
                <w:sz w:val="20"/>
                <w:szCs w:val="20"/>
                <w:color w:val="auto"/>
              </w:rPr>
            </w:pPr>
            <w:r>
              <w:rPr>
                <w:rFonts w:ascii="Arial" w:cs="Arial" w:eastAsia="Arial" w:hAnsi="Arial"/>
                <w:sz w:val="16"/>
                <w:szCs w:val="16"/>
                <w:color w:val="auto"/>
              </w:rPr>
              <w:t>New Zealand</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W.T.H. Fleet Leasing Pty. Limited</w:t>
            </w:r>
          </w:p>
        </w:tc>
        <w:tc>
          <w:tcPr>
            <w:tcW w:w="2340" w:type="dxa"/>
            <w:vAlign w:val="bottom"/>
          </w:tcPr>
          <w:p>
            <w:pPr>
              <w:ind w:left="940"/>
              <w:spacing w:after="0"/>
              <w:rPr>
                <w:sz w:val="20"/>
                <w:szCs w:val="20"/>
                <w:color w:val="auto"/>
              </w:rPr>
            </w:pPr>
            <w:r>
              <w:rPr>
                <w:rFonts w:ascii="Arial" w:cs="Arial" w:eastAsia="Arial" w:hAnsi="Arial"/>
                <w:sz w:val="16"/>
                <w:szCs w:val="16"/>
                <w:color w:val="auto"/>
              </w:rPr>
              <w:t>Australia</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W.T.H. PTY. Limited</w:t>
            </w:r>
          </w:p>
        </w:tc>
        <w:tc>
          <w:tcPr>
            <w:tcW w:w="2340" w:type="dxa"/>
            <w:vAlign w:val="bottom"/>
          </w:tcPr>
          <w:p>
            <w:pPr>
              <w:ind w:left="940"/>
              <w:spacing w:after="0"/>
              <w:rPr>
                <w:sz w:val="20"/>
                <w:szCs w:val="20"/>
                <w:color w:val="auto"/>
              </w:rPr>
            </w:pPr>
            <w:r>
              <w:rPr>
                <w:rFonts w:ascii="Arial" w:cs="Arial" w:eastAsia="Arial" w:hAnsi="Arial"/>
                <w:sz w:val="16"/>
                <w:szCs w:val="16"/>
                <w:color w:val="auto"/>
              </w:rPr>
              <w:t>Australia</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We Try Harder Pty. Limited</w:t>
            </w:r>
          </w:p>
        </w:tc>
        <w:tc>
          <w:tcPr>
            <w:tcW w:w="2340" w:type="dxa"/>
            <w:vAlign w:val="bottom"/>
          </w:tcPr>
          <w:p>
            <w:pPr>
              <w:ind w:left="940"/>
              <w:spacing w:after="0"/>
              <w:rPr>
                <w:sz w:val="20"/>
                <w:szCs w:val="20"/>
                <w:color w:val="auto"/>
              </w:rPr>
            </w:pPr>
            <w:r>
              <w:rPr>
                <w:rFonts w:ascii="Arial" w:cs="Arial" w:eastAsia="Arial" w:hAnsi="Arial"/>
                <w:sz w:val="16"/>
                <w:szCs w:val="16"/>
                <w:color w:val="auto"/>
              </w:rPr>
              <w:t>Australia</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Wizard Co., Inc.</w:t>
            </w:r>
          </w:p>
        </w:tc>
        <w:tc>
          <w:tcPr>
            <w:tcW w:w="2340" w:type="dxa"/>
            <w:vAlign w:val="bottom"/>
          </w:tcPr>
          <w:p>
            <w:pPr>
              <w:ind w:left="940"/>
              <w:spacing w:after="0"/>
              <w:rPr>
                <w:sz w:val="20"/>
                <w:szCs w:val="20"/>
                <w:color w:val="auto"/>
              </w:rPr>
            </w:pPr>
            <w:r>
              <w:rPr>
                <w:rFonts w:ascii="Arial" w:cs="Arial" w:eastAsia="Arial" w:hAnsi="Arial"/>
                <w:sz w:val="16"/>
                <w:szCs w:val="16"/>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Wizard Services, Inc.</w:t>
            </w:r>
          </w:p>
        </w:tc>
        <w:tc>
          <w:tcPr>
            <w:tcW w:w="2340" w:type="dxa"/>
            <w:vAlign w:val="bottom"/>
          </w:tcPr>
          <w:p>
            <w:pPr>
              <w:ind w:left="940"/>
              <w:spacing w:after="0"/>
              <w:rPr>
                <w:sz w:val="20"/>
                <w:szCs w:val="20"/>
                <w:color w:val="auto"/>
              </w:rPr>
            </w:pPr>
            <w:r>
              <w:rPr>
                <w:rFonts w:ascii="Arial" w:cs="Arial" w:eastAsia="Arial" w:hAnsi="Arial"/>
                <w:sz w:val="16"/>
                <w:szCs w:val="16"/>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WTH Canada, Inc.</w:t>
            </w:r>
          </w:p>
        </w:tc>
        <w:tc>
          <w:tcPr>
            <w:tcW w:w="2340" w:type="dxa"/>
            <w:vAlign w:val="bottom"/>
          </w:tcPr>
          <w:p>
            <w:pPr>
              <w:ind w:left="940"/>
              <w:spacing w:after="0"/>
              <w:rPr>
                <w:sz w:val="20"/>
                <w:szCs w:val="20"/>
                <w:color w:val="auto"/>
              </w:rPr>
            </w:pPr>
            <w:r>
              <w:rPr>
                <w:rFonts w:ascii="Arial" w:cs="Arial" w:eastAsia="Arial" w:hAnsi="Arial"/>
                <w:sz w:val="16"/>
                <w:szCs w:val="16"/>
                <w:color w:val="auto"/>
              </w:rPr>
              <w:t>Canada</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WTH Car Rental ULC</w:t>
            </w:r>
          </w:p>
        </w:tc>
        <w:tc>
          <w:tcPr>
            <w:tcW w:w="2340" w:type="dxa"/>
            <w:vAlign w:val="bottom"/>
          </w:tcPr>
          <w:p>
            <w:pPr>
              <w:ind w:left="940"/>
              <w:spacing w:after="0"/>
              <w:rPr>
                <w:sz w:val="20"/>
                <w:szCs w:val="20"/>
                <w:color w:val="auto"/>
              </w:rPr>
            </w:pPr>
            <w:r>
              <w:rPr>
                <w:rFonts w:ascii="Arial" w:cs="Arial" w:eastAsia="Arial" w:hAnsi="Arial"/>
                <w:sz w:val="16"/>
                <w:szCs w:val="16"/>
                <w:color w:val="auto"/>
              </w:rPr>
              <w:t>Canada</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WTH Funding Limited Partnership</w:t>
            </w:r>
          </w:p>
        </w:tc>
        <w:tc>
          <w:tcPr>
            <w:tcW w:w="2340" w:type="dxa"/>
            <w:vAlign w:val="bottom"/>
          </w:tcPr>
          <w:p>
            <w:pPr>
              <w:ind w:left="940"/>
              <w:spacing w:after="0"/>
              <w:rPr>
                <w:sz w:val="20"/>
                <w:szCs w:val="20"/>
                <w:color w:val="auto"/>
              </w:rPr>
            </w:pPr>
            <w:r>
              <w:rPr>
                <w:rFonts w:ascii="Arial" w:cs="Arial" w:eastAsia="Arial" w:hAnsi="Arial"/>
                <w:sz w:val="16"/>
                <w:szCs w:val="16"/>
                <w:color w:val="auto"/>
              </w:rPr>
              <w:t>Canada</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Yourway Rent A Car Pty Limited</w:t>
            </w:r>
          </w:p>
        </w:tc>
        <w:tc>
          <w:tcPr>
            <w:tcW w:w="2340" w:type="dxa"/>
            <w:vAlign w:val="bottom"/>
          </w:tcPr>
          <w:p>
            <w:pPr>
              <w:ind w:left="940"/>
              <w:spacing w:after="0"/>
              <w:rPr>
                <w:sz w:val="20"/>
                <w:szCs w:val="20"/>
                <w:color w:val="auto"/>
              </w:rPr>
            </w:pPr>
            <w:r>
              <w:rPr>
                <w:rFonts w:ascii="Arial" w:cs="Arial" w:eastAsia="Arial" w:hAnsi="Arial"/>
                <w:sz w:val="16"/>
                <w:szCs w:val="16"/>
                <w:color w:val="auto"/>
              </w:rPr>
              <w:t>Australia</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Zipcar Australia Pty Ltd</w:t>
            </w:r>
          </w:p>
        </w:tc>
        <w:tc>
          <w:tcPr>
            <w:tcW w:w="2340" w:type="dxa"/>
            <w:vAlign w:val="bottom"/>
          </w:tcPr>
          <w:p>
            <w:pPr>
              <w:ind w:left="940"/>
              <w:spacing w:after="0"/>
              <w:rPr>
                <w:sz w:val="20"/>
                <w:szCs w:val="20"/>
                <w:color w:val="auto"/>
              </w:rPr>
            </w:pPr>
            <w:r>
              <w:rPr>
                <w:rFonts w:ascii="Arial" w:cs="Arial" w:eastAsia="Arial" w:hAnsi="Arial"/>
                <w:sz w:val="16"/>
                <w:szCs w:val="16"/>
                <w:color w:val="auto"/>
              </w:rPr>
              <w:t>Australia</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Zipcar, Inc.</w:t>
            </w:r>
          </w:p>
        </w:tc>
        <w:tc>
          <w:tcPr>
            <w:tcW w:w="2340" w:type="dxa"/>
            <w:vAlign w:val="bottom"/>
          </w:tcPr>
          <w:p>
            <w:pPr>
              <w:ind w:left="940"/>
              <w:spacing w:after="0"/>
              <w:rPr>
                <w:sz w:val="20"/>
                <w:szCs w:val="20"/>
                <w:color w:val="auto"/>
              </w:rPr>
            </w:pPr>
            <w:r>
              <w:rPr>
                <w:rFonts w:ascii="Arial" w:cs="Arial" w:eastAsia="Arial" w:hAnsi="Arial"/>
                <w:sz w:val="16"/>
                <w:szCs w:val="16"/>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Zipcar Canada Inc.</w:t>
            </w:r>
          </w:p>
        </w:tc>
        <w:tc>
          <w:tcPr>
            <w:tcW w:w="2340" w:type="dxa"/>
            <w:vAlign w:val="bottom"/>
          </w:tcPr>
          <w:p>
            <w:pPr>
              <w:ind w:left="940"/>
              <w:spacing w:after="0"/>
              <w:rPr>
                <w:sz w:val="20"/>
                <w:szCs w:val="20"/>
                <w:color w:val="auto"/>
              </w:rPr>
            </w:pPr>
            <w:r>
              <w:rPr>
                <w:rFonts w:ascii="Arial" w:cs="Arial" w:eastAsia="Arial" w:hAnsi="Arial"/>
                <w:sz w:val="16"/>
                <w:szCs w:val="16"/>
                <w:color w:val="auto"/>
              </w:rPr>
              <w:t>Canada</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Zipcar International Finance Company Limited</w:t>
            </w:r>
          </w:p>
        </w:tc>
        <w:tc>
          <w:tcPr>
            <w:tcW w:w="2340" w:type="dxa"/>
            <w:vAlign w:val="bottom"/>
          </w:tcPr>
          <w:p>
            <w:pPr>
              <w:ind w:left="940"/>
              <w:spacing w:after="0"/>
              <w:rPr>
                <w:sz w:val="20"/>
                <w:szCs w:val="20"/>
                <w:color w:val="auto"/>
              </w:rPr>
            </w:pPr>
            <w:r>
              <w:rPr>
                <w:rFonts w:ascii="Arial" w:cs="Arial" w:eastAsia="Arial" w:hAnsi="Arial"/>
                <w:sz w:val="16"/>
                <w:szCs w:val="16"/>
                <w:color w:val="auto"/>
                <w:w w:val="99"/>
              </w:rPr>
              <w:t>England and Wales</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Zipcar International Holdings Limited</w:t>
            </w:r>
          </w:p>
        </w:tc>
        <w:tc>
          <w:tcPr>
            <w:tcW w:w="2340" w:type="dxa"/>
            <w:vAlign w:val="bottom"/>
          </w:tcPr>
          <w:p>
            <w:pPr>
              <w:ind w:left="940"/>
              <w:spacing w:after="0"/>
              <w:rPr>
                <w:sz w:val="20"/>
                <w:szCs w:val="20"/>
                <w:color w:val="auto"/>
              </w:rPr>
            </w:pPr>
            <w:r>
              <w:rPr>
                <w:rFonts w:ascii="Arial" w:cs="Arial" w:eastAsia="Arial" w:hAnsi="Arial"/>
                <w:sz w:val="16"/>
                <w:szCs w:val="16"/>
                <w:color w:val="auto"/>
                <w:w w:val="99"/>
              </w:rPr>
              <w:t>England and Wales</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Zipcar Securities Corporation</w:t>
            </w:r>
          </w:p>
        </w:tc>
        <w:tc>
          <w:tcPr>
            <w:tcW w:w="2340" w:type="dxa"/>
            <w:vAlign w:val="bottom"/>
          </w:tcPr>
          <w:p>
            <w:pPr>
              <w:ind w:left="940"/>
              <w:spacing w:after="0"/>
              <w:rPr>
                <w:sz w:val="20"/>
                <w:szCs w:val="20"/>
                <w:color w:val="auto"/>
              </w:rPr>
            </w:pPr>
            <w:r>
              <w:rPr>
                <w:rFonts w:ascii="Arial" w:cs="Arial" w:eastAsia="Arial" w:hAnsi="Arial"/>
                <w:sz w:val="16"/>
                <w:szCs w:val="16"/>
                <w:color w:val="auto"/>
              </w:rPr>
              <w:t>Massachusetts</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Zipcar (UK) Limited</w:t>
            </w:r>
          </w:p>
        </w:tc>
        <w:tc>
          <w:tcPr>
            <w:tcW w:w="2340" w:type="dxa"/>
            <w:vAlign w:val="bottom"/>
          </w:tcPr>
          <w:p>
            <w:pPr>
              <w:ind w:left="940"/>
              <w:spacing w:after="0"/>
              <w:rPr>
                <w:sz w:val="20"/>
                <w:szCs w:val="20"/>
                <w:color w:val="auto"/>
              </w:rPr>
            </w:pPr>
            <w:r>
              <w:rPr>
                <w:rFonts w:ascii="Arial" w:cs="Arial" w:eastAsia="Arial" w:hAnsi="Arial"/>
                <w:sz w:val="16"/>
                <w:szCs w:val="16"/>
                <w:color w:val="auto"/>
                <w:w w:val="99"/>
              </w:rPr>
              <w:t>England and Wales</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Zipcar Technology Innovations Private Limited</w:t>
            </w:r>
          </w:p>
        </w:tc>
        <w:tc>
          <w:tcPr>
            <w:tcW w:w="2340" w:type="dxa"/>
            <w:vAlign w:val="bottom"/>
          </w:tcPr>
          <w:p>
            <w:pPr>
              <w:ind w:left="940"/>
              <w:spacing w:after="0"/>
              <w:rPr>
                <w:sz w:val="20"/>
                <w:szCs w:val="20"/>
                <w:color w:val="auto"/>
              </w:rPr>
            </w:pPr>
            <w:r>
              <w:rPr>
                <w:rFonts w:ascii="Arial" w:cs="Arial" w:eastAsia="Arial" w:hAnsi="Arial"/>
                <w:sz w:val="16"/>
                <w:szCs w:val="16"/>
                <w:color w:val="auto"/>
              </w:rPr>
              <w:t>India</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Zodiac Europe Finance Company Limited</w:t>
            </w:r>
          </w:p>
        </w:tc>
        <w:tc>
          <w:tcPr>
            <w:tcW w:w="2340" w:type="dxa"/>
            <w:vAlign w:val="bottom"/>
          </w:tcPr>
          <w:p>
            <w:pPr>
              <w:ind w:left="940"/>
              <w:spacing w:after="0"/>
              <w:rPr>
                <w:sz w:val="20"/>
                <w:szCs w:val="20"/>
                <w:color w:val="auto"/>
              </w:rPr>
            </w:pPr>
            <w:r>
              <w:rPr>
                <w:rFonts w:ascii="Arial" w:cs="Arial" w:eastAsia="Arial" w:hAnsi="Arial"/>
                <w:sz w:val="16"/>
                <w:szCs w:val="16"/>
                <w:color w:val="auto"/>
                <w:w w:val="99"/>
              </w:rPr>
              <w:t>England and Wales</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Zodiac Europe Investments Limited</w:t>
            </w:r>
          </w:p>
        </w:tc>
        <w:tc>
          <w:tcPr>
            <w:tcW w:w="2340" w:type="dxa"/>
            <w:vAlign w:val="bottom"/>
          </w:tcPr>
          <w:p>
            <w:pPr>
              <w:ind w:left="940"/>
              <w:spacing w:after="0"/>
              <w:rPr>
                <w:sz w:val="20"/>
                <w:szCs w:val="20"/>
                <w:color w:val="auto"/>
              </w:rPr>
            </w:pPr>
            <w:r>
              <w:rPr>
                <w:rFonts w:ascii="Arial" w:cs="Arial" w:eastAsia="Arial" w:hAnsi="Arial"/>
                <w:sz w:val="16"/>
                <w:szCs w:val="16"/>
                <w:color w:val="auto"/>
                <w:w w:val="99"/>
              </w:rPr>
              <w:t>England and Wales</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Zodiac Europe Limited</w:t>
            </w:r>
          </w:p>
        </w:tc>
        <w:tc>
          <w:tcPr>
            <w:tcW w:w="2340" w:type="dxa"/>
            <w:vAlign w:val="bottom"/>
          </w:tcPr>
          <w:p>
            <w:pPr>
              <w:ind w:left="940"/>
              <w:spacing w:after="0"/>
              <w:rPr>
                <w:sz w:val="20"/>
                <w:szCs w:val="20"/>
                <w:color w:val="auto"/>
              </w:rPr>
            </w:pPr>
            <w:r>
              <w:rPr>
                <w:rFonts w:ascii="Arial" w:cs="Arial" w:eastAsia="Arial" w:hAnsi="Arial"/>
                <w:sz w:val="16"/>
                <w:szCs w:val="16"/>
                <w:color w:val="auto"/>
                <w:w w:val="99"/>
              </w:rPr>
              <w:t>England and Wales</w:t>
            </w:r>
          </w:p>
        </w:tc>
      </w:tr>
    </w:tbl>
    <w:p>
      <w:pPr>
        <w:sectPr>
          <w:pgSz w:w="11900" w:h="16838" w:orient="portrait"/>
          <w:cols w:equalWidth="0" w:num="1">
            <w:col w:w="9679"/>
          </w:cols>
          <w:pgMar w:left="780" w:top="1440" w:right="1440"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04"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We consent to the incorporation by reference in Registration Statement No. 333-253195 on Form S-3 and Registration Statement Nos. 333-78475, 333-38638, 333-58670, 333-98933, 333-114744, 333-124925, 333-144143, 333-161418, 333-197770, 333-212706 and 333-233045 on Form S-8 of our reports dated February 17, 2022, relating to the financial statements of Avis Budget Group, Inc. and the effectiveness of Avis Budget Group, Inc.’s internal control over financial reporting appearing in this Annual Report on Form 10-K of Avis Budget Group, Inc. for the year ended December 31, 2021.</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2022</w:t>
      </w:r>
    </w:p>
    <w:p>
      <w:pPr>
        <w:sectPr>
          <w:pgSz w:w="11900" w:h="16838" w:orient="portrait"/>
          <w:cols w:equalWidth="0" w:num="1">
            <w:col w:w="11240"/>
          </w:cols>
          <w:pgMar w:left="320" w:top="1413"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Joseph A. Ferraro, certify that:</w:t>
      </w:r>
    </w:p>
    <w:p>
      <w:pPr>
        <w:spacing w:after="0" w:line="171" w:lineRule="exact"/>
        <w:rPr>
          <w:sz w:val="20"/>
          <w:szCs w:val="20"/>
          <w:color w:val="auto"/>
        </w:rPr>
      </w:pPr>
    </w:p>
    <w:p>
      <w:pPr>
        <w:ind w:left="640" w:hanging="308"/>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Avis Budget Group, Inc.;</w:t>
      </w:r>
    </w:p>
    <w:p>
      <w:pPr>
        <w:spacing w:after="0" w:line="171"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660" w:right="20" w:hanging="328"/>
        <w:spacing w:after="0" w:line="256" w:lineRule="auto"/>
        <w:tabs>
          <w:tab w:leader="none" w:pos="648"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hanging="320"/>
        <w:spacing w:after="0" w:line="256" w:lineRule="auto"/>
        <w:tabs>
          <w:tab w:leader="none" w:pos="1298"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540" w:hanging="320"/>
        <w:spacing w:after="0" w:line="278" w:lineRule="auto"/>
        <w:tabs>
          <w:tab w:leader="none" w:pos="1298" w:val="left"/>
        </w:tabs>
        <w:numPr>
          <w:ilvl w:val="1"/>
          <w:numId w:val="8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ind w:left="1300" w:right="300" w:hanging="320"/>
        <w:spacing w:after="0" w:line="256" w:lineRule="auto"/>
        <w:tabs>
          <w:tab w:leader="none" w:pos="1288" w:val="left"/>
        </w:tabs>
        <w:numPr>
          <w:ilvl w:val="1"/>
          <w:numId w:val="8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60" w:hanging="320"/>
        <w:spacing w:after="0" w:line="256" w:lineRule="auto"/>
        <w:tabs>
          <w:tab w:leader="none" w:pos="1298"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300" w:right="440" w:hanging="320"/>
        <w:spacing w:after="0" w:line="256" w:lineRule="auto"/>
        <w:tabs>
          <w:tab w:leader="none" w:pos="1298" w:val="left"/>
        </w:tabs>
        <w:numPr>
          <w:ilvl w:val="1"/>
          <w:numId w:val="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780" w:hanging="320"/>
        <w:spacing w:after="0" w:line="261" w:lineRule="auto"/>
        <w:tabs>
          <w:tab w:leader="none" w:pos="1298"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2022</w:t>
      </w:r>
    </w:p>
    <w:p>
      <w:pPr>
        <w:spacing w:after="0" w:line="50"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 Joseph A.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6350</wp:posOffset>
            </wp:positionV>
            <wp:extent cx="1534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4">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8"/>
          <w:szCs w:val="18"/>
          <w:color w:val="auto"/>
        </w:rPr>
        <w:t>President and Chief</w:t>
      </w:r>
    </w:p>
    <w:p>
      <w:pPr>
        <w:jc w:val="center"/>
        <w:ind w:right="-39"/>
        <w:spacing w:after="0"/>
        <w:rPr>
          <w:sz w:val="20"/>
          <w:szCs w:val="20"/>
          <w:color w:val="auto"/>
        </w:rPr>
      </w:pPr>
      <w:r>
        <w:rPr>
          <w:rFonts w:ascii="Arial" w:cs="Arial" w:eastAsia="Arial" w:hAnsi="Arial"/>
          <w:sz w:val="18"/>
          <w:szCs w:val="18"/>
          <w:color w:val="auto"/>
        </w:rPr>
        <w:t>Executive Officer</w:t>
      </w:r>
    </w:p>
    <w:p>
      <w:pPr>
        <w:sectPr>
          <w:pgSz w:w="11900" w:h="16838" w:orient="portrait"/>
          <w:cols w:equalWidth="0" w:num="1">
            <w:col w:w="11240"/>
          </w:cols>
          <w:pgMar w:left="320" w:top="886"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Brian Choi, certify that:</w:t>
      </w:r>
    </w:p>
    <w:p>
      <w:pPr>
        <w:spacing w:after="0" w:line="171" w:lineRule="exact"/>
        <w:rPr>
          <w:sz w:val="20"/>
          <w:szCs w:val="20"/>
          <w:color w:val="auto"/>
        </w:rPr>
      </w:pPr>
    </w:p>
    <w:p>
      <w:pPr>
        <w:ind w:left="640" w:hanging="308"/>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Avis Budget Group, Inc.;</w:t>
      </w:r>
    </w:p>
    <w:p>
      <w:pPr>
        <w:spacing w:after="0" w:line="171"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660" w:right="20" w:hanging="328"/>
        <w:spacing w:after="0" w:line="256" w:lineRule="auto"/>
        <w:tabs>
          <w:tab w:leader="none" w:pos="648"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hanging="320"/>
        <w:spacing w:after="0" w:line="256" w:lineRule="auto"/>
        <w:tabs>
          <w:tab w:leader="none" w:pos="1298"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left="1300" w:right="540" w:hanging="320"/>
        <w:spacing w:after="0" w:line="278" w:lineRule="auto"/>
        <w:tabs>
          <w:tab w:leader="none" w:pos="1298" w:val="left"/>
        </w:tabs>
        <w:numPr>
          <w:ilvl w:val="1"/>
          <w:numId w:val="8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7"/>
          <w:szCs w:val="17"/>
          <w:color w:val="auto"/>
        </w:rPr>
      </w:pPr>
    </w:p>
    <w:p>
      <w:pPr>
        <w:ind w:left="1300" w:right="300" w:hanging="320"/>
        <w:spacing w:after="0" w:line="256" w:lineRule="auto"/>
        <w:tabs>
          <w:tab w:leader="none" w:pos="1288" w:val="left"/>
        </w:tabs>
        <w:numPr>
          <w:ilvl w:val="1"/>
          <w:numId w:val="8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1300" w:right="60" w:hanging="320"/>
        <w:spacing w:after="0" w:line="256" w:lineRule="auto"/>
        <w:tabs>
          <w:tab w:leader="none" w:pos="1298"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1300" w:right="440" w:hanging="320"/>
        <w:spacing w:after="0" w:line="256" w:lineRule="auto"/>
        <w:tabs>
          <w:tab w:leader="none" w:pos="1298"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right="780" w:hanging="320"/>
        <w:spacing w:after="0" w:line="261" w:lineRule="auto"/>
        <w:tabs>
          <w:tab w:leader="none" w:pos="1298"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2022</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Brian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6350</wp:posOffset>
            </wp:positionV>
            <wp:extent cx="24517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5">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Executive Vice President and Chief Financial Officer</w:t>
      </w:r>
    </w:p>
    <w:p>
      <w:pPr>
        <w:sectPr>
          <w:pgSz w:w="11900" w:h="16838" w:orient="portrait"/>
          <w:cols w:equalWidth="0" w:num="1">
            <w:col w:w="11240"/>
          </w:cols>
          <w:pgMar w:left="320" w:top="886"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connection with the Annual Report of Avis Budget Group, Inc. (the “Company”) on Form 10-K for the period ended December 31, 2021, as filed with the Securities and Exchange Commission on the date hereof (the “Report”), Joseph A. Ferraro, as Chief Executive Officer of the Company, and Brian Choi, as Chief Financial Officer of the Company, each hereby certifies, pursuant to 18 U.S.C. Section 1350, as adopted pursuant to Section 906 of the Sarbanes-Oxley Act of 2002, that, to the best of his knowledge:</w:t>
      </w:r>
    </w:p>
    <w:p>
      <w:pPr>
        <w:spacing w:after="0" w:line="204" w:lineRule="exact"/>
        <w:rPr>
          <w:sz w:val="20"/>
          <w:szCs w:val="20"/>
          <w:color w:val="auto"/>
        </w:rPr>
      </w:pPr>
    </w:p>
    <w:p>
      <w:pPr>
        <w:ind w:left="640" w:hanging="308"/>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5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JOSEPH A.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41744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6">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Joseph A. Ferraro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17, 2022</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BRIAN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41744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7">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Choi</w:t>
      </w:r>
    </w:p>
    <w:p>
      <w:pPr>
        <w:ind w:left="20"/>
        <w:spacing w:after="0" w:line="229" w:lineRule="auto"/>
        <w:rPr>
          <w:sz w:val="20"/>
          <w:szCs w:val="20"/>
          <w:color w:val="auto"/>
        </w:rPr>
      </w:pPr>
      <w:r>
        <w:rPr>
          <w:rFonts w:ascii="Arial" w:cs="Arial" w:eastAsia="Arial" w:hAnsi="Arial"/>
          <w:sz w:val="18"/>
          <w:szCs w:val="18"/>
          <w:color w:val="auto"/>
        </w:rPr>
        <w:t>Executive Vice President and Chief Financial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17, 2022</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decimal"/>
      <w:start w:val="12"/>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lvl w:ilvl="1">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lvl w:ilvl="1">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1)"/>
      <w:numFmt w:val="lowerLetter"/>
      <w:start w:val="1"/>
    </w:lvl>
  </w:abstractNum>
  <w:abstractNum w:abstractNumId="20">
    <w:nsid w:val="649BB77C"/>
    <w:multiLevelType w:val="hybridMultilevel"/>
    <w:lvl w:ilvl="0">
      <w:lvlJc w:val="left"/>
      <w:lvlText w:val="(%1)"/>
      <w:numFmt w:val="lowerRoman"/>
      <w:start w:val="2"/>
    </w:lvl>
  </w:abstractNum>
  <w:abstractNum w:abstractNumId="21">
    <w:nsid w:val="275AC794"/>
    <w:multiLevelType w:val="hybridMultilevel"/>
    <w:lvl w:ilvl="0">
      <w:lvlJc w:val="left"/>
      <w:lvlText w:val="(%1)"/>
      <w:numFmt w:val="lowerLetter"/>
      <w:start w:val="1"/>
    </w:lvl>
  </w:abstractNum>
  <w:abstractNum w:abstractNumId="22">
    <w:nsid w:val="39386575"/>
    <w:multiLevelType w:val="hybridMultilevel"/>
    <w:lvl w:ilvl="0">
      <w:lvlJc w:val="left"/>
      <w:lvlText w:val="•"/>
      <w:numFmt w:val="bullet"/>
      <w:start w:val="1"/>
    </w:lvl>
    <w:lvl w:ilvl="1">
      <w:lvlJc w:val="left"/>
      <w:lvlText w:val="\endash "/>
      <w:numFmt w:val="bullet"/>
      <w:start w:val="1"/>
    </w:lvl>
  </w:abstractNum>
  <w:abstractNum w:abstractNumId="23">
    <w:nsid w:val="1CF10FD8"/>
    <w:multiLevelType w:val="hybridMultilevel"/>
    <w:lvl w:ilvl="0">
      <w:lvlJc w:val="left"/>
      <w:lvlText w:val="•"/>
      <w:numFmt w:val="bullet"/>
      <w:start w:val="1"/>
    </w:lvl>
    <w:lvl w:ilvl="1">
      <w:lvlJc w:val="left"/>
      <w:lvlText w:val="\endash "/>
      <w:numFmt w:val="bullet"/>
      <w:start w:val="1"/>
    </w:lvl>
  </w:abstractNum>
  <w:abstractNum w:abstractNumId="24">
    <w:nsid w:val="180115BE"/>
    <w:multiLevelType w:val="hybridMultilevel"/>
    <w:lvl w:ilvl="0">
      <w:lvlJc w:val="left"/>
      <w:lvlText w:val="•"/>
      <w:numFmt w:val="bullet"/>
      <w:start w:val="1"/>
    </w:lvl>
    <w:lvl w:ilvl="1">
      <w:lvlJc w:val="left"/>
      <w:lvlText w:val="\endash "/>
      <w:numFmt w:val="bullet"/>
      <w:start w:val="1"/>
    </w:lvl>
  </w:abstractNum>
  <w:abstractNum w:abstractNumId="25">
    <w:nsid w:val="235BA861"/>
    <w:multiLevelType w:val="hybridMultilevel"/>
    <w:lvl w:ilvl="0">
      <w:lvlJc w:val="left"/>
      <w:lvlText w:val="%1."/>
      <w:numFmt w:val="decimal"/>
      <w:start w:val="1"/>
    </w:lvl>
    <w:lvl w:ilvl="1">
      <w:lvlJc w:val="left"/>
      <w:lvlText w:val="•"/>
      <w:numFmt w:val="bullet"/>
      <w:start w:val="1"/>
    </w:lvl>
  </w:abstractNum>
  <w:abstractNum w:abstractNumId="26">
    <w:nsid w:val="47398C89"/>
    <w:multiLevelType w:val="hybridMultilevel"/>
    <w:lvl w:ilvl="0">
      <w:lvlJc w:val="left"/>
      <w:lvlText w:val="%1."/>
      <w:numFmt w:val="decimal"/>
      <w:start w:val="2"/>
    </w:lvl>
  </w:abstractNum>
  <w:abstractNum w:abstractNumId="27">
    <w:nsid w:val="354FE9F9"/>
    <w:multiLevelType w:val="hybridMultilevel"/>
    <w:lvl w:ilvl="0">
      <w:lvlJc w:val="left"/>
      <w:lvlText w:val="(%1)"/>
      <w:numFmt w:val="lowerLetter"/>
      <w:start w:val="1"/>
    </w:lvl>
  </w:abstractNum>
  <w:abstractNum w:abstractNumId="28">
    <w:nsid w:val="15B5AF5C"/>
    <w:multiLevelType w:val="hybridMultilevel"/>
    <w:lvl w:ilvl="0">
      <w:lvlJc w:val="left"/>
      <w:lvlText w:val="(%1)"/>
      <w:numFmt w:val="lowerRoman"/>
      <w:start w:val="1"/>
    </w:lvl>
  </w:abstractNum>
  <w:abstractNum w:abstractNumId="29">
    <w:nsid w:val="741226BB"/>
    <w:multiLevelType w:val="hybridMultilevel"/>
    <w:lvl w:ilvl="0">
      <w:lvlJc w:val="left"/>
      <w:lvlText w:val="%1."/>
      <w:numFmt w:val="decimal"/>
      <w:start w:val="3"/>
    </w:lvl>
  </w:abstractNum>
  <w:abstractNum w:abstractNumId="30">
    <w:nsid w:val="D34B6A8"/>
    <w:multiLevelType w:val="hybridMultilevel"/>
    <w:lvl w:ilvl="0">
      <w:lvlJc w:val="left"/>
      <w:lvlText w:val="(%1)"/>
      <w:numFmt w:val="lowerLetter"/>
      <w:start w:val="1"/>
    </w:lvl>
  </w:abstractNum>
  <w:abstractNum w:abstractNumId="31">
    <w:nsid w:val="10233C99"/>
    <w:multiLevelType w:val="hybridMultilevel"/>
    <w:lvl w:ilvl="0">
      <w:lvlJc w:val="left"/>
      <w:lvlText w:val="(%1)"/>
      <w:numFmt w:val="lowerLetter"/>
      <w:start w:val="1"/>
    </w:lvl>
  </w:abstractNum>
  <w:abstractNum w:abstractNumId="32">
    <w:nsid w:val="3F6AB60F"/>
    <w:multiLevelType w:val="hybridMultilevel"/>
    <w:lvl w:ilvl="0">
      <w:lvlJc w:val="left"/>
      <w:lvlText w:val="(%1)"/>
      <w:numFmt w:val="lowerLetter"/>
      <w:start w:val="1"/>
    </w:lvl>
  </w:abstractNum>
  <w:abstractNum w:abstractNumId="33">
    <w:nsid w:val="61574095"/>
    <w:multiLevelType w:val="hybridMultilevel"/>
    <w:lvl w:ilvl="0">
      <w:lvlJc w:val="left"/>
      <w:lvlText w:val="%1."/>
      <w:numFmt w:val="decimal"/>
      <w:start w:val="4"/>
    </w:lvl>
  </w:abstractNum>
  <w:abstractNum w:abstractNumId="34">
    <w:nsid w:val="7E0C57B1"/>
    <w:multiLevelType w:val="hybridMultilevel"/>
    <w:lvl w:ilvl="0">
      <w:lvlJc w:val="left"/>
      <w:lvlText w:val="%1"/>
      <w:numFmt w:val="decimal"/>
      <w:start w:val="1"/>
    </w:lvl>
    <w:lvl w:ilvl="1">
      <w:lvlJc w:val="left"/>
      <w:lvlText w:val="(%2)"/>
      <w:numFmt w:val="lowerLetter"/>
      <w:start w:val="1"/>
    </w:lvl>
  </w:abstractNum>
  <w:abstractNum w:abstractNumId="35">
    <w:nsid w:val="77AE35EB"/>
    <w:multiLevelType w:val="hybridMultilevel"/>
    <w:lvl w:ilvl="0">
      <w:lvlJc w:val="left"/>
      <w:lvlText w:val="%1."/>
      <w:numFmt w:val="decimal"/>
      <w:start w:val="5"/>
    </w:lvl>
    <w:lvl w:ilvl="1">
      <w:lvlJc w:val="left"/>
      <w:lvlText w:val="%2"/>
      <w:numFmt w:val="lowerLetter"/>
      <w:start w:val="1"/>
    </w:lvl>
  </w:abstractNum>
  <w:abstractNum w:abstractNumId="36">
    <w:nsid w:val="579BE4F1"/>
    <w:multiLevelType w:val="hybridMultilevel"/>
    <w:lvl w:ilvl="0">
      <w:lvlJc w:val="left"/>
      <w:lvlText w:val="%1."/>
      <w:numFmt w:val="decimal"/>
      <w:start w:val="6"/>
    </w:lvl>
  </w:abstractNum>
  <w:abstractNum w:abstractNumId="37">
    <w:nsid w:val="310C50B3"/>
    <w:multiLevelType w:val="hybridMultilevel"/>
    <w:lvl w:ilvl="0">
      <w:lvlJc w:val="left"/>
      <w:lvlText w:val="(%1)"/>
      <w:numFmt w:val="lowerLetter"/>
      <w:start w:val="1"/>
    </w:lvl>
  </w:abstractNum>
  <w:abstractNum w:abstractNumId="38">
    <w:nsid w:val="5FF87E05"/>
    <w:multiLevelType w:val="hybridMultilevel"/>
    <w:lvl w:ilvl="0">
      <w:lvlJc w:val="left"/>
      <w:lvlText w:val="%1."/>
      <w:numFmt w:val="decimal"/>
      <w:start w:val="8"/>
    </w:lvl>
  </w:abstractNum>
  <w:abstractNum w:abstractNumId="39">
    <w:nsid w:val="2F305DEF"/>
    <w:multiLevelType w:val="hybridMultilevel"/>
    <w:lvl w:ilvl="0">
      <w:lvlJc w:val="left"/>
      <w:lvlText w:val="(%1)"/>
      <w:numFmt w:val="lowerLetter"/>
      <w:start w:val="1"/>
    </w:lvl>
  </w:abstractNum>
  <w:abstractNum w:abstractNumId="40">
    <w:nsid w:val="25A70BF7"/>
    <w:multiLevelType w:val="hybridMultilevel"/>
    <w:lvl w:ilvl="0">
      <w:lvlJc w:val="left"/>
      <w:lvlText w:val="%1"/>
      <w:numFmt w:val="decimal"/>
      <w:start w:val="1"/>
    </w:lvl>
    <w:lvl w:ilvl="1">
      <w:lvlJc w:val="left"/>
      <w:lvlText w:val="(%2)"/>
      <w:numFmt w:val="lowerLetter"/>
      <w:start w:val="1"/>
    </w:lvl>
  </w:abstractNum>
  <w:abstractNum w:abstractNumId="41">
    <w:nsid w:val="1DBABF00"/>
    <w:multiLevelType w:val="hybridMultilevel"/>
    <w:lvl w:ilvl="0">
      <w:lvlJc w:val="left"/>
      <w:lvlText w:val="%1."/>
      <w:numFmt w:val="decimal"/>
      <w:start w:val="10"/>
    </w:lvl>
    <w:lvl w:ilvl="1">
      <w:lvlJc w:val="left"/>
      <w:lvlText w:val="%2"/>
      <w:numFmt w:val="lowerLetter"/>
      <w:start w:val="1"/>
    </w:lvl>
  </w:abstractNum>
  <w:abstractNum w:abstractNumId="42">
    <w:nsid w:val="4AD084E9"/>
    <w:multiLevelType w:val="hybridMultilevel"/>
    <w:lvl w:ilvl="0">
      <w:lvlJc w:val="left"/>
      <w:lvlText w:val="%1."/>
      <w:numFmt w:val="decimal"/>
      <w:start w:val="13"/>
    </w:lvl>
  </w:abstractNum>
  <w:abstractNum w:abstractNumId="43">
    <w:nsid w:val="1F48EAA1"/>
    <w:multiLevelType w:val="hybridMultilevel"/>
    <w:lvl w:ilvl="0">
      <w:lvlJc w:val="left"/>
      <w:lvlText w:val="(%1)"/>
      <w:numFmt w:val="lowerLetter"/>
      <w:start w:val="1"/>
    </w:lvl>
  </w:abstractNum>
  <w:abstractNum w:abstractNumId="44">
    <w:nsid w:val="1381823A"/>
    <w:multiLevelType w:val="hybridMultilevel"/>
    <w:lvl w:ilvl="0">
      <w:lvlJc w:val="left"/>
      <w:lvlText w:val="(%1)"/>
      <w:numFmt w:val="lowerLetter"/>
      <w:start w:val="1"/>
    </w:lvl>
  </w:abstractNum>
  <w:abstractNum w:abstractNumId="45">
    <w:nsid w:val="5DB70AE5"/>
    <w:multiLevelType w:val="hybridMultilevel"/>
    <w:lvl w:ilvl="0">
      <w:lvlJc w:val="left"/>
      <w:lvlText w:val="%1."/>
      <w:numFmt w:val="decimal"/>
      <w:start w:val="14"/>
    </w:lvl>
  </w:abstractNum>
  <w:abstractNum w:abstractNumId="46">
    <w:nsid w:val="100F8FCA"/>
    <w:multiLevelType w:val="hybridMultilevel"/>
    <w:lvl w:ilvl="0">
      <w:lvlJc w:val="left"/>
      <w:lvlText w:val="(%1)"/>
      <w:numFmt w:val="lowerLetter"/>
      <w:start w:val="1"/>
    </w:lvl>
  </w:abstractNum>
  <w:abstractNum w:abstractNumId="47">
    <w:nsid w:val="6590700B"/>
    <w:multiLevelType w:val="hybridMultilevel"/>
    <w:lvl w:ilvl="0">
      <w:lvlJc w:val="left"/>
      <w:lvlText w:val="(%1)"/>
      <w:numFmt w:val="lowerLetter"/>
      <w:start w:val="1"/>
    </w:lvl>
  </w:abstractNum>
  <w:abstractNum w:abstractNumId="48">
    <w:nsid w:val="15014ACB"/>
    <w:multiLevelType w:val="hybridMultilevel"/>
    <w:lvl w:ilvl="0">
      <w:lvlJc w:val="left"/>
      <w:lvlText w:val="(%1)"/>
      <w:numFmt w:val="lowerLetter"/>
      <w:start w:val="1"/>
    </w:lvl>
  </w:abstractNum>
  <w:abstractNum w:abstractNumId="49">
    <w:nsid w:val="5F5E7FD0"/>
    <w:multiLevelType w:val="hybridMultilevel"/>
    <w:lvl w:ilvl="0">
      <w:lvlJc w:val="left"/>
      <w:lvlText w:val="%1."/>
      <w:numFmt w:val="decimal"/>
      <w:start w:val="15"/>
    </w:lvl>
  </w:abstractNum>
  <w:abstractNum w:abstractNumId="50">
    <w:nsid w:val="98A3148"/>
    <w:multiLevelType w:val="hybridMultilevel"/>
    <w:lvl w:ilvl="0">
      <w:lvlJc w:val="left"/>
      <w:lvlText w:val="(%1)"/>
      <w:numFmt w:val="lowerRoman"/>
      <w:start w:val="2"/>
    </w:lvl>
  </w:abstractNum>
  <w:abstractNum w:abstractNumId="51">
    <w:nsid w:val="799D0247"/>
    <w:multiLevelType w:val="hybridMultilevel"/>
    <w:lvl w:ilvl="0">
      <w:lvlJc w:val="left"/>
      <w:lvlText w:val="(%1)"/>
      <w:numFmt w:val="lowerRoman"/>
      <w:start w:val="3"/>
    </w:lvl>
  </w:abstractNum>
  <w:abstractNum w:abstractNumId="52">
    <w:nsid w:val="6B94764"/>
    <w:multiLevelType w:val="hybridMultilevel"/>
    <w:lvl w:ilvl="0">
      <w:lvlJc w:val="left"/>
      <w:lvlText w:val="(%1)"/>
      <w:numFmt w:val="lowerRoman"/>
      <w:start w:val="2"/>
    </w:lvl>
  </w:abstractNum>
  <w:abstractNum w:abstractNumId="53">
    <w:nsid w:val="42C296BD"/>
    <w:multiLevelType w:val="hybridMultilevel"/>
    <w:lvl w:ilvl="0">
      <w:lvlJc w:val="left"/>
      <w:lvlText w:val="%1."/>
      <w:numFmt w:val="decimal"/>
      <w:start w:val="16"/>
    </w:lvl>
  </w:abstractNum>
  <w:abstractNum w:abstractNumId="54">
    <w:nsid w:val="168E121F"/>
    <w:multiLevelType w:val="hybridMultilevel"/>
    <w:lvl w:ilvl="0">
      <w:lvlJc w:val="left"/>
      <w:lvlText w:val="%1"/>
      <w:numFmt w:val="decimal"/>
      <w:start w:val="1"/>
    </w:lvl>
    <w:lvl w:ilvl="1">
      <w:lvlJc w:val="left"/>
      <w:lvlText w:val="(%2)"/>
      <w:numFmt w:val="lowerLetter"/>
      <w:start w:val="1"/>
    </w:lvl>
  </w:abstractNum>
  <w:abstractNum w:abstractNumId="55">
    <w:nsid w:val="1EBA5D23"/>
    <w:multiLevelType w:val="hybridMultilevel"/>
    <w:lvl w:ilvl="0">
      <w:lvlJc w:val="left"/>
      <w:lvlText w:val="%1."/>
      <w:numFmt w:val="decimal"/>
      <w:start w:val="17"/>
    </w:lvl>
    <w:lvl w:ilvl="1">
      <w:lvlJc w:val="left"/>
      <w:lvlText w:val="%2"/>
      <w:numFmt w:val="lowerLetter"/>
      <w:start w:val="1"/>
    </w:lvl>
  </w:abstractNum>
  <w:abstractNum w:abstractNumId="56">
    <w:nsid w:val="661E3F1E"/>
    <w:multiLevelType w:val="hybridMultilevel"/>
    <w:lvl w:ilvl="0">
      <w:lvlJc w:val="left"/>
      <w:lvlText w:val="%1."/>
      <w:numFmt w:val="decimal"/>
      <w:start w:val="18"/>
    </w:lvl>
  </w:abstractNum>
  <w:abstractNum w:abstractNumId="57">
    <w:nsid w:val="5DC79EA8"/>
    <w:multiLevelType w:val="hybridMultilevel"/>
    <w:lvl w:ilvl="0">
      <w:lvlJc w:val="left"/>
      <w:lvlText w:val="(%1)"/>
      <w:numFmt w:val="lowerLetter"/>
      <w:start w:val="1"/>
    </w:lvl>
  </w:abstractNum>
  <w:abstractNum w:abstractNumId="58">
    <w:nsid w:val="540A471C"/>
    <w:multiLevelType w:val="hybridMultilevel"/>
    <w:lvl w:ilvl="0">
      <w:lvlJc w:val="left"/>
      <w:lvlText w:val="%1."/>
      <w:numFmt w:val="decimal"/>
      <w:start w:val="19"/>
    </w:lvl>
  </w:abstractNum>
  <w:abstractNum w:abstractNumId="59">
    <w:nsid w:val="7BD3EE7B"/>
    <w:multiLevelType w:val="hybridMultilevel"/>
    <w:lvl w:ilvl="0">
      <w:lvlJc w:val="left"/>
      <w:lvlText w:val="(%1)"/>
      <w:numFmt w:val="lowerLetter"/>
      <w:start w:val="1"/>
    </w:lvl>
  </w:abstractNum>
  <w:abstractNum w:abstractNumId="60">
    <w:nsid w:val="51D9C564"/>
    <w:multiLevelType w:val="hybridMultilevel"/>
    <w:lvl w:ilvl="0">
      <w:lvlJc w:val="left"/>
      <w:lvlText w:val="%1"/>
      <w:numFmt w:val="decimal"/>
      <w:start w:val="1"/>
    </w:lvl>
    <w:lvl w:ilvl="1">
      <w:lvlJc w:val="left"/>
      <w:lvlText w:val="(%2)"/>
      <w:numFmt w:val="lowerRoman"/>
      <w:start w:val="1"/>
    </w:lvl>
  </w:abstractNum>
  <w:abstractNum w:abstractNumId="61">
    <w:nsid w:val="613EFDC5"/>
    <w:multiLevelType w:val="hybridMultilevel"/>
    <w:lvl w:ilvl="0">
      <w:lvlJc w:val="left"/>
      <w:lvlText w:val="%1."/>
      <w:numFmt w:val="decimal"/>
      <w:start w:val="20"/>
    </w:lvl>
    <w:lvl w:ilvl="1">
      <w:lvlJc w:val="left"/>
      <w:lvlText w:val="%2"/>
      <w:numFmt w:val="lowerRoman"/>
      <w:start w:val="1"/>
    </w:lvl>
  </w:abstractNum>
  <w:abstractNum w:abstractNumId="62">
    <w:nsid w:val="BF72B14"/>
    <w:multiLevelType w:val="hybridMultilevel"/>
    <w:lvl w:ilvl="0">
      <w:lvlJc w:val="left"/>
      <w:lvlText w:val="(%1)"/>
      <w:numFmt w:val="lowerLetter"/>
      <w:start w:val="1"/>
    </w:lvl>
  </w:abstractNum>
  <w:abstractNum w:abstractNumId="63">
    <w:nsid w:val="11447B73"/>
    <w:multiLevelType w:val="hybridMultilevel"/>
    <w:lvl w:ilvl="0">
      <w:lvlJc w:val="left"/>
      <w:lvlText w:val="(%1)"/>
      <w:numFmt w:val="lowerLetter"/>
      <w:start w:val="1"/>
    </w:lvl>
  </w:abstractNum>
  <w:abstractNum w:abstractNumId="64">
    <w:nsid w:val="42963E5A"/>
    <w:multiLevelType w:val="hybridMultilevel"/>
    <w:lvl w:ilvl="0">
      <w:lvlJc w:val="left"/>
      <w:lvlText w:val="(%1)"/>
      <w:numFmt w:val="lowerLetter"/>
      <w:start w:val="1"/>
    </w:lvl>
  </w:abstractNum>
  <w:abstractNum w:abstractNumId="65">
    <w:nsid w:val="A0382C5"/>
    <w:multiLevelType w:val="hybridMultilevel"/>
    <w:lvl w:ilvl="0">
      <w:lvlJc w:val="left"/>
      <w:lvlText w:val="%1"/>
      <w:numFmt w:val="decimal"/>
      <w:start w:val="1"/>
    </w:lvl>
    <w:lvl w:ilvl="1">
      <w:lvlJc w:val="left"/>
      <w:lvlText w:val="(%2)"/>
      <w:numFmt w:val="lowerLetter"/>
      <w:start w:val="1"/>
    </w:lvl>
  </w:abstractNum>
  <w:abstractNum w:abstractNumId="66">
    <w:nsid w:val="8F2B15E"/>
    <w:multiLevelType w:val="hybridMultilevel"/>
    <w:lvl w:ilvl="0">
      <w:lvlJc w:val="left"/>
      <w:lvlText w:val="%1."/>
      <w:numFmt w:val="decimal"/>
      <w:start w:val="21"/>
    </w:lvl>
    <w:lvl w:ilvl="1">
      <w:lvlJc w:val="left"/>
      <w:lvlText w:val="%2"/>
      <w:numFmt w:val="lowerLetter"/>
      <w:start w:val="1"/>
    </w:lvl>
  </w:abstractNum>
  <w:abstractNum w:abstractNumId="67">
    <w:nsid w:val="1A32234B"/>
    <w:multiLevelType w:val="hybridMultilevel"/>
    <w:lvl w:ilvl="0">
      <w:lvlJc w:val="left"/>
      <w:lvlText w:val="(%1)"/>
      <w:numFmt w:val="lowerLetter"/>
      <w:start w:val="1"/>
    </w:lvl>
  </w:abstractNum>
  <w:abstractNum w:abstractNumId="68">
    <w:nsid w:val="3B0FD379"/>
    <w:multiLevelType w:val="hybridMultilevel"/>
    <w:lvl w:ilvl="0">
      <w:lvlJc w:val="left"/>
      <w:lvlText w:val="(%1)"/>
      <w:numFmt w:val="lowerLetter"/>
      <w:start w:val="1"/>
    </w:lvl>
  </w:abstractNum>
  <w:abstractNum w:abstractNumId="69">
    <w:nsid w:val="68EB2F63"/>
    <w:multiLevelType w:val="hybridMultilevel"/>
    <w:lvl w:ilvl="0">
      <w:lvlJc w:val="left"/>
      <w:lvlText w:val="(%1)"/>
      <w:numFmt w:val="lowerLetter"/>
      <w:start w:val="1"/>
    </w:lvl>
  </w:abstractNum>
  <w:abstractNum w:abstractNumId="70">
    <w:nsid w:val="4962813B"/>
    <w:multiLevelType w:val="hybridMultilevel"/>
    <w:lvl w:ilvl="0">
      <w:lvlJc w:val="left"/>
      <w:lvlText w:val="(%1)"/>
      <w:numFmt w:val="lowerLetter"/>
      <w:start w:val="2"/>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1)"/>
      <w:numFmt w:val="lowerLetter"/>
      <w:start w:val="3"/>
    </w:lvl>
  </w:abstractNum>
  <w:abstractNum w:abstractNumId="75">
    <w:nsid w:val="1A27709E"/>
    <w:multiLevelType w:val="hybridMultilevel"/>
    <w:lvl w:ilvl="0">
      <w:lvlJc w:val="left"/>
      <w:lvlText w:val="(%1)"/>
      <w:numFmt w:val="lowerLetter"/>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
      <w:numFmt w:val="bullet"/>
      <w:start w:val="1"/>
    </w:lvl>
  </w:abstractNum>
  <w:abstractNum w:abstractNumId="83">
    <w:nsid w:val="76272110"/>
    <w:multiLevelType w:val="hybridMultilevel"/>
    <w:lvl w:ilvl="0">
      <w:lvlJc w:val="left"/>
      <w:lvlText w:val="•"/>
      <w:numFmt w:val="bullet"/>
      <w:start w:val="1"/>
    </w:lvl>
  </w:abstractNum>
  <w:abstractNum w:abstractNumId="84">
    <w:nsid w:val="4C04A8AF"/>
    <w:multiLevelType w:val="hybridMultilevel"/>
    <w:lvl w:ilvl="0">
      <w:lvlJc w:val="left"/>
      <w:lvlText w:val="%1."/>
      <w:numFmt w:val="decimal"/>
      <w:start w:val="1"/>
    </w:lvl>
  </w:abstractNum>
  <w:abstractNum w:abstractNumId="85">
    <w:nsid w:val="1716703B"/>
    <w:multiLevelType w:val="hybridMultilevel"/>
    <w:lvl w:ilvl="0">
      <w:lvlJc w:val="left"/>
      <w:lvlText w:val="%1."/>
      <w:numFmt w:val="decimal"/>
      <w:start w:val="3"/>
    </w:lvl>
  </w:abstractNum>
  <w:abstractNum w:abstractNumId="86">
    <w:nsid w:val="14E17E33"/>
    <w:multiLevelType w:val="hybridMultilevel"/>
    <w:lvl w:ilvl="0">
      <w:lvlJc w:val="left"/>
      <w:lvlText w:val="%1:"/>
      <w:numFmt w:val="lowerLetter"/>
      <w:start w:val="29"/>
    </w:lvl>
  </w:abstractNum>
  <w:abstractNum w:abstractNumId="87">
    <w:nsid w:val="3222E7CD"/>
    <w:multiLevelType w:val="hybridMultilevel"/>
    <w:lvl w:ilvl="0">
      <w:lvlJc w:val="left"/>
      <w:lvlText w:val="%1."/>
      <w:numFmt w:val="decimal"/>
      <w:start w:val="1"/>
    </w:lvl>
    <w:lvl w:ilvl="1">
      <w:lvlJc w:val="left"/>
      <w:lvlText w:val="%2)"/>
      <w:numFmt w:val="lowerLetter"/>
      <w:start w:val="1"/>
    </w:lvl>
  </w:abstractNum>
  <w:abstractNum w:abstractNumId="88">
    <w:nsid w:val="74DE0EE3"/>
    <w:multiLevelType w:val="hybridMultilevel"/>
    <w:lvl w:ilvl="0">
      <w:lvlJc w:val="left"/>
      <w:lvlText w:val="%1."/>
      <w:numFmt w:val="decimal"/>
      <w:start w:val="1"/>
    </w:lvl>
    <w:lvl w:ilvl="1">
      <w:lvlJc w:val="left"/>
      <w:lvlText w:val="%2)"/>
      <w:numFmt w:val="lowerLetter"/>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201" Type="http://schemas.openxmlformats.org/officeDocument/2006/relationships/image" Target="media/image177.png"/><Relationship Id="rId222" Type="http://schemas.openxmlformats.org/officeDocument/2006/relationships/image" Target="media/image178.png"/><Relationship Id="rId238" Type="http://schemas.openxmlformats.org/officeDocument/2006/relationships/image" Target="media/image179.png"/><Relationship Id="rId255" Type="http://schemas.openxmlformats.org/officeDocument/2006/relationships/image" Target="media/image180.png"/><Relationship Id="rId258" Type="http://schemas.openxmlformats.org/officeDocument/2006/relationships/image" Target="media/image181.jpeg"/><Relationship Id="rId259" Type="http://schemas.openxmlformats.org/officeDocument/2006/relationships/image" Target="media/image182.png"/><Relationship Id="rId260" Type="http://schemas.openxmlformats.org/officeDocument/2006/relationships/image" Target="media/image183.png"/><Relationship Id="rId261" Type="http://schemas.openxmlformats.org/officeDocument/2006/relationships/image" Target="media/image184.jpeg"/><Relationship Id="rId262" Type="http://schemas.openxmlformats.org/officeDocument/2006/relationships/image" Target="media/image185.png"/><Relationship Id="rId263" Type="http://schemas.openxmlformats.org/officeDocument/2006/relationships/image" Target="media/image186.jpeg"/><Relationship Id="rId264" Type="http://schemas.openxmlformats.org/officeDocument/2006/relationships/image" Target="media/image187.png"/><Relationship Id="rId265" Type="http://schemas.openxmlformats.org/officeDocument/2006/relationships/image" Target="media/image188.png"/><Relationship Id="rId266" Type="http://schemas.openxmlformats.org/officeDocument/2006/relationships/image" Target="media/image189.png"/><Relationship Id="rId267" Type="http://schemas.openxmlformats.org/officeDocument/2006/relationships/image" Target="media/image190.png"/><Relationship Id="rId184" Type="http://schemas.openxmlformats.org/officeDocument/2006/relationships/hyperlink" Target="http://www.sec.gov/Archives/edgar/data/723612/000119312506158308/dex21.htm" TargetMode="External"/><Relationship Id="rId185" Type="http://schemas.openxmlformats.org/officeDocument/2006/relationships/hyperlink" Target="http://www.sec.gov/Archives/edgar/data/723612/000119312507175647/dex22.htm" TargetMode="External"/><Relationship Id="rId186" Type="http://schemas.openxmlformats.org/officeDocument/2006/relationships/hyperlink" Target="http://www.sec.gov/Archives/edgar/data/723612/000072361206000058/articles.htm" TargetMode="External"/><Relationship Id="rId187" Type="http://schemas.openxmlformats.org/officeDocument/2006/relationships/hyperlink" Target="http://www.sec.gov/Archives/edgar/data/723612/000119312520218349/d84038dex32.htm" TargetMode="External"/><Relationship Id="rId188" Type="http://schemas.openxmlformats.org/officeDocument/2006/relationships/hyperlink" Target="http://www.sec.gov/Archives/edgar/data/723612/000072361216000350/exhibit41indenture.htm" TargetMode="External"/><Relationship Id="rId189" Type="http://schemas.openxmlformats.org/officeDocument/2006/relationships/hyperlink" Target="http://www.sec.gov/Archives/edgar/data/723612/000072361217000076/exhibit42-indenture450seni.htm" TargetMode="External"/><Relationship Id="rId190" Type="http://schemas.openxmlformats.org/officeDocument/2006/relationships/hyperlink" Target="http://www.sec.gov/Archives/edgar/data/723612/000072361218000113/exhibit41avisbudgetfinance.htm" TargetMode="External"/><Relationship Id="rId191" Type="http://schemas.openxmlformats.org/officeDocument/2006/relationships/hyperlink" Target="http://www.sec.gov/Archives/edgar/data/723612/000072361219000112/exhibit41-indenturex57.htm" TargetMode="External"/><Relationship Id="rId192" Type="http://schemas.openxmlformats.org/officeDocument/2006/relationships/hyperlink" Target="http://www.sec.gov/Archives/edgar/data/0000723612/000119312520213522/d11524dex41.htm" TargetMode="External"/><Relationship Id="rId193" Type="http://schemas.openxmlformats.org/officeDocument/2006/relationships/hyperlink" Target="http://www.sec.gov/Archives/edgar/data/0000723612/000119312521063570/d22737dex41.htm" TargetMode="External"/><Relationship Id="rId194" Type="http://schemas.openxmlformats.org/officeDocument/2006/relationships/hyperlink" Target="http://www.sec.gov/Archives/edgar/data/0000723612/000119312521091360/d159419dex41.htm" TargetMode="External"/><Relationship Id="rId195" Type="http://schemas.openxmlformats.org/officeDocument/2006/relationships/hyperlink" Target="http://www.sec.gov/Archives/edgar/data/723612/000072361216000244/exhibit105-ferraroemployme.htm" TargetMode="External"/><Relationship Id="rId196" Type="http://schemas.openxmlformats.org/officeDocument/2006/relationships/hyperlink" Target="http://www.sec.gov/Archives/edgar/data/723612/000072361220000011/exhibit108-abgexecutiv.htm" TargetMode="External"/><Relationship Id="rId197" Type="http://schemas.openxmlformats.org/officeDocument/2006/relationships/hyperlink" Target="http://www.sec.gov/Archives/edgar/data/723612/000072361220000011/exhibit109-krseverance.htm" TargetMode="External"/><Relationship Id="rId198" Type="http://schemas.openxmlformats.org/officeDocument/2006/relationships/hyperlink" Target="http://www.sec.gov/Archives/edgar/data/723612/000072361220000011/exhibit1010-employment.htm" TargetMode="External"/><Relationship Id="rId199" Type="http://schemas.openxmlformats.org/officeDocument/2006/relationships/hyperlink" Target="http://www.sec.gov/Archives/edgar/data/723612/000119312520218349/d84038dex102.htm" TargetMode="External"/><Relationship Id="rId200" Type="http://schemas.openxmlformats.org/officeDocument/2006/relationships/hyperlink" Target="http://www.sec.gov/Archives/edgar/data/723612/000119312520316997/d33545dex101.htm" TargetMode="External"/><Relationship Id="rId202" Type="http://schemas.openxmlformats.org/officeDocument/2006/relationships/hyperlink" Target="http://www.sec.gov/Archives/edgar/data/723612/000119312520046330/d802948dex101.htm" TargetMode="External"/><Relationship Id="rId203" Type="http://schemas.openxmlformats.org/officeDocument/2006/relationships/hyperlink" Target="http://www.sec.gov/Archives/edgar/data/723612/000119312520218349/d84038dex101.htm" TargetMode="External"/><Relationship Id="rId204" Type="http://schemas.openxmlformats.org/officeDocument/2006/relationships/hyperlink" Target="http://www.sec.gov/Archives/edgar/data/0000723612/000095014221002910/eh210184005_ex1001.htm" TargetMode="External"/><Relationship Id="rId205" Type="http://schemas.openxmlformats.org/officeDocument/2006/relationships/hyperlink" Target="http://www.sec.gov/Archives/edgar/data/0000723612/000120677419001054/avis3494471-def14a.htm" TargetMode="External"/><Relationship Id="rId206" Type="http://schemas.openxmlformats.org/officeDocument/2006/relationships/hyperlink" Target="http://www.sec.gov/Archives/edgar/data/0000723612/000072361221000064/amendmenttoarequityplanoct.htm" TargetMode="External"/><Relationship Id="rId207" Type="http://schemas.openxmlformats.org/officeDocument/2006/relationships/hyperlink" Target="http://www.sec.gov/Archives/edgar/data/0000723612/000072361219000025/formofrsuaward.htm" TargetMode="External"/><Relationship Id="rId208" Type="http://schemas.openxmlformats.org/officeDocument/2006/relationships/hyperlink" Target="http://www.sec.gov/Archives/edgar/data/723612/000072361219000025/formofperformanceaward.htm" TargetMode="External"/><Relationship Id="rId209" Type="http://schemas.openxmlformats.org/officeDocument/2006/relationships/hyperlink" Target="http://www.sec.gov/Archives/edgar/data/723612/000072361219000025/formofdirectoraward.htm" TargetMode="External"/><Relationship Id="rId210" Type="http://schemas.openxmlformats.org/officeDocument/2006/relationships/hyperlink" Target="http://www.sec.gov/Archives/edgar/data/723612/000072361219000025/formofseveranceagmt.htm" TargetMode="External"/><Relationship Id="rId211" Type="http://schemas.openxmlformats.org/officeDocument/2006/relationships/hyperlink" Target="http://www.sec.gov/Archives/edgar/data/723612/000072361219000025/directorplan.htm" TargetMode="External"/><Relationship Id="rId212" Type="http://schemas.openxmlformats.org/officeDocument/2006/relationships/hyperlink" Target="http://www.sec.gov/Archives/edgar/data/723612/000119312509039260/dex1017.htm" TargetMode="External"/><Relationship Id="rId213" Type="http://schemas.openxmlformats.org/officeDocument/2006/relationships/hyperlink" Target="http://www.sec.gov/Archives/edgar/data/723612/000119312509039260/dex1018.htm" TargetMode="External"/><Relationship Id="rId214" Type="http://schemas.openxmlformats.org/officeDocument/2006/relationships/hyperlink" Target="http://www.sec.gov/Archives/edgar/data/723612/000072361219000025/avisrentacarpension.htm" TargetMode="External"/><Relationship Id="rId215" Type="http://schemas.openxmlformats.org/officeDocument/2006/relationships/hyperlink" Target="http://www.sec.gov/Archives/edgar/data/723612/000072361205000004/financialservicespolicy.htm" TargetMode="External"/><Relationship Id="rId216" Type="http://schemas.openxmlformats.org/officeDocument/2006/relationships/hyperlink" Target="http://www.sec.gov/Archives/edgar/data/723612/000119312506158308/dex102.htm" TargetMode="External"/><Relationship Id="rId217" Type="http://schemas.openxmlformats.org/officeDocument/2006/relationships/hyperlink" Target="http://www.sec.gov/Archives/edgar/data/723612/000119312508170083/dex104.htm" TargetMode="External"/><Relationship Id="rId218" Type="http://schemas.openxmlformats.org/officeDocument/2006/relationships/hyperlink" Target="http://www.sec.gov/Archives/edgar/data/723612/000095012304009102/y99348exv10w7.htm" TargetMode="External"/><Relationship Id="rId219" Type="http://schemas.openxmlformats.org/officeDocument/2006/relationships/hyperlink" Target="http://www.sec.gov/Archives/edgar/data/723612/000072361206000002/exhibit-1.htm" TargetMode="External"/><Relationship Id="rId220" Type="http://schemas.openxmlformats.org/officeDocument/2006/relationships/hyperlink" Target="http://www.sec.gov/Archives/edgar/data/723612/000119312507175647/dex106.htm" TargetMode="External"/><Relationship Id="rId221" Type="http://schemas.openxmlformats.org/officeDocument/2006/relationships/hyperlink" Target="http://www.sec.gov/Archives/edgar/data/723612/000072361214000041/exhibit1035csupplementalin.htm" TargetMode="External"/><Relationship Id="rId223" Type="http://schemas.openxmlformats.org/officeDocument/2006/relationships/hyperlink" Target="http://www.sec.gov/Archives/edgar/data/723612/000095012304009102/y99348exv10w8.htm" TargetMode="External"/><Relationship Id="rId224" Type="http://schemas.openxmlformats.org/officeDocument/2006/relationships/hyperlink" Target="http://www.sec.gov/Archives/edgar/data/723612/000072361206000002/exhibit-2.htm" TargetMode="External"/><Relationship Id="rId225" Type="http://schemas.openxmlformats.org/officeDocument/2006/relationships/hyperlink" Target="http://www.sec.gov/Archives/edgar/data/723612/000119312507175647/dex108.htm" TargetMode="External"/><Relationship Id="rId226" Type="http://schemas.openxmlformats.org/officeDocument/2006/relationships/hyperlink" Target="http://www.sec.gov/Archives/edgar/data/723612/000072361214000041/exhibit1036cthirdamendment.htm" TargetMode="External"/><Relationship Id="rId227" Type="http://schemas.openxmlformats.org/officeDocument/2006/relationships/hyperlink" Target="http://www.sec.gov/Archives/edgar/data/723612/000119312507044472/dex1029a.htm" TargetMode="External"/><Relationship Id="rId228" Type="http://schemas.openxmlformats.org/officeDocument/2006/relationships/hyperlink" Target="http://www.sec.gov/Archives/edgar/data/723612/000119312507044472/dex1029b.htm" TargetMode="External"/><Relationship Id="rId229" Type="http://schemas.openxmlformats.org/officeDocument/2006/relationships/hyperlink" Target="http://www.sec.gov/Archives/edgar/data/723612/000119312507175647/dex107.htm" TargetMode="External"/><Relationship Id="rId230" Type="http://schemas.openxmlformats.org/officeDocument/2006/relationships/hyperlink" Target="http://www.sec.gov/Archives/edgar/data/723612/000072361214000041/exhibit1037cthirdamendment.htm" TargetMode="External"/><Relationship Id="rId231" Type="http://schemas.openxmlformats.org/officeDocument/2006/relationships/hyperlink" Target="http://www.sec.gov/Archives/edgar/data/723612/000095012304009102/y99348exv10w9.htm" TargetMode="External"/><Relationship Id="rId232" Type="http://schemas.openxmlformats.org/officeDocument/2006/relationships/hyperlink" Target="http://www.sec.gov/Archives/edgar/data/723612/000072361206000002/exhibit-3.htm" TargetMode="External"/><Relationship Id="rId233" Type="http://schemas.openxmlformats.org/officeDocument/2006/relationships/hyperlink" Target="http://www.sec.gov/Archives/edgar/data/723612/000119312507175647/dex109.htm" TargetMode="External"/><Relationship Id="rId234" Type="http://schemas.openxmlformats.org/officeDocument/2006/relationships/hyperlink" Target="http://www.sec.gov/Archives/edgar/data/723612/000072361214000041/exhibit1038cfourthamendmen.htm" TargetMode="External"/><Relationship Id="rId235" Type="http://schemas.openxmlformats.org/officeDocument/2006/relationships/hyperlink" Target="http://www.sec.gov/Archives/edgar/data/723612/000119312507044472/dex1030a.htm" TargetMode="External"/><Relationship Id="rId236" Type="http://schemas.openxmlformats.org/officeDocument/2006/relationships/hyperlink" Target="http://www.sec.gov/Archives/edgar/data/723612/000119312507044472/dex1030b.htm" TargetMode="External"/><Relationship Id="rId237" Type="http://schemas.openxmlformats.org/officeDocument/2006/relationships/hyperlink" Target="http://www.sec.gov/Archives/edgar/data/723612/000119312507175647/dex1011.htm" TargetMode="External"/><Relationship Id="rId239" Type="http://schemas.openxmlformats.org/officeDocument/2006/relationships/hyperlink" Target="http://www.sec.gov/Archives/edgar/data/723612/000072361214000041/exhibit1039cfourthamendmen.htm" TargetMode="External"/><Relationship Id="rId240" Type="http://schemas.openxmlformats.org/officeDocument/2006/relationships/hyperlink" Target="http://www.sec.gov/Archives/edgar/data/723612/000072361213000018/exhibit101aesopioperatingsu.htm" TargetMode="External"/><Relationship Id="rId241" Type="http://schemas.openxmlformats.org/officeDocument/2006/relationships/hyperlink" Target="http://www.sec.gov/Archives/edgar/data/723612/000095012306002437/y17817exv10w34.htm" TargetMode="External"/><Relationship Id="rId242" Type="http://schemas.openxmlformats.org/officeDocument/2006/relationships/hyperlink" Target="http://www.sec.gov/Archives/edgar/data/723612/000072361214000041/exhibit1041afirstamendment.htm" TargetMode="External"/><Relationship Id="rId243" Type="http://schemas.openxmlformats.org/officeDocument/2006/relationships/hyperlink" Target="http://www.sec.gov/Archives/edgar/data/0000723612/000119312521197313/d168700dex105.htm" TargetMode="External"/><Relationship Id="rId244" Type="http://schemas.openxmlformats.org/officeDocument/2006/relationships/hyperlink" Target="http://www.sec.gov/Archives/edgar/data/0000723612/000119312521197313/d168700dex104.htm" TargetMode="External"/><Relationship Id="rId245" Type="http://schemas.openxmlformats.org/officeDocument/2006/relationships/hyperlink" Target="http://www.sec.gov/Archives/edgar/data/723612/000072361217000067/exhibit101to8-kforaesop201.htm" TargetMode="External"/><Relationship Id="rId246" Type="http://schemas.openxmlformats.org/officeDocument/2006/relationships/hyperlink" Target="http://www.sec.gov/Archives/edgar/data/723612/000072361217000165/ex101series2017-2indenture.htm" TargetMode="External"/><Relationship Id="rId247" Type="http://schemas.openxmlformats.org/officeDocument/2006/relationships/hyperlink" Target="http://www.sec.gov/Archives/edgar/data/723612/000072361218000057/series2018-1indenture.htm" TargetMode="External"/><Relationship Id="rId248" Type="http://schemas.openxmlformats.org/officeDocument/2006/relationships/hyperlink" Target="http://www.sec.gov/Archives/edgar/data/0000723612/000119312521197313/d168700dex101.htm" TargetMode="External"/><Relationship Id="rId249" Type="http://schemas.openxmlformats.org/officeDocument/2006/relationships/hyperlink" Target="http://www.sec.gov/Archives/edgar/data/723612/000072361219000017/aesop2019i-1supplement.htm" TargetMode="External"/><Relationship Id="rId250" Type="http://schemas.openxmlformats.org/officeDocument/2006/relationships/hyperlink" Target="http://www.sec.gov/Archives/edgar/data/0000723612/000119312521197313/d168700dex102.htm" TargetMode="External"/><Relationship Id="rId251" Type="http://schemas.openxmlformats.org/officeDocument/2006/relationships/hyperlink" Target="http://www.sec.gov/Archives/edgar/data/723612/000072361219000119/indenture.htm" TargetMode="External"/><Relationship Id="rId252" Type="http://schemas.openxmlformats.org/officeDocument/2006/relationships/hyperlink" Target="http://www.sec.gov/Archives/edgar/data/0000723612/000119312521197313/d168700dex103.htm" TargetMode="External"/><Relationship Id="rId253" Type="http://schemas.openxmlformats.org/officeDocument/2006/relationships/hyperlink" Target="http://www.sec.gov/Archives/edgar/data/723612/000119312520220383/d109512dex101.htm" TargetMode="External"/><Relationship Id="rId254" Type="http://schemas.openxmlformats.org/officeDocument/2006/relationships/hyperlink" Target="http://www.sec.gov/Archives/edgar/data/0000723612/000119312521169321/d166440dex101.htm" TargetMode="External"/><Relationship Id="rId256" Type="http://schemas.openxmlformats.org/officeDocument/2006/relationships/hyperlink" Target="http://www.sec.gov/Archives/edgar/data/0000723612/000119312521335185/d233170dex101.htm" TargetMode="External"/><Relationship Id="rId257" Type="http://schemas.openxmlformats.org/officeDocument/2006/relationships/hyperlink" Target="http://www.sec.gov/Archives/edgar/data/0000723612/000119312521214124/d35352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2022-02-17T15:26:49Z</dcterms:created>
  <dcterms:modified xsi:type="dcterms:W3CDTF">2022-02-17T15:26:49Z</dcterms:modified>
</cp:coreProperties>
</file>