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-612775</wp:posOffset>
            </wp:positionV>
            <wp:extent cx="57150"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725805</wp:posOffset>
            </wp:positionV>
            <wp:extent cx="7047865" cy="5786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5786755"/>
                    </a:xfrm>
                    <a:prstGeom prst="rect">
                      <a:avLst/>
                    </a:prstGeom>
                    <a:noFill/>
                  </pic:spPr>
                </pic:pic>
              </a:graphicData>
            </a:graphic>
          </wp:anchor>
        </w:drawing>
      </w:r>
    </w:p>
    <w:p>
      <w:pPr>
        <w:spacing w:after="0" w:line="1148" w:lineRule="exact"/>
        <w:rPr>
          <w:sz w:val="24"/>
          <w:szCs w:val="24"/>
          <w:color w:val="auto"/>
        </w:rPr>
      </w:pPr>
    </w:p>
    <w:p>
      <w:pPr>
        <w:sectPr>
          <w:pgSz w:w="11900" w:h="16838" w:orient="portrait"/>
          <w:cols w:equalWidth="0" w:num="2">
            <w:col w:w="2280" w:space="360"/>
            <w:col w:w="8440"/>
          </w:cols>
          <w:pgMar w:left="460" w:top="215" w:right="359" w:bottom="754" w:gutter="0" w:footer="0" w:header="0"/>
        </w:sectPr>
      </w:pPr>
    </w:p>
    <w:tbl>
      <w:tblPr>
        <w:tblLayout w:type="fixed"/>
        <w:tblInd w:w="80" w:type="dxa"/>
        <w:tblCellMar>
          <w:top w:w="0" w:type="dxa"/>
          <w:left w:w="0" w:type="dxa"/>
          <w:bottom w:w="0" w:type="dxa"/>
          <w:right w:w="0" w:type="dxa"/>
        </w:tblCellMar>
      </w:tblPr>
      <w:tr>
        <w:trPr>
          <w:trHeight w:val="241"/>
        </w:trPr>
        <w:tc>
          <w:tcPr>
            <w:tcW w:w="2440" w:type="dxa"/>
            <w:vAlign w:val="bottom"/>
            <w:gridSpan w:val="4"/>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1"/>
                <w:szCs w:val="21"/>
                <w:color w:val="auto"/>
                <w:w w:val="96"/>
                <w:vertAlign w:val="superscript"/>
              </w:rPr>
              <w:t>*</w:t>
            </w: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4"/>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Pentwater Capital Management LP</w:t>
              </w:r>
            </w:hyperlink>
          </w:p>
        </w:tc>
        <w:tc>
          <w:tcPr>
            <w:tcW w:w="100" w:type="dxa"/>
            <w:vAlign w:val="bottom"/>
          </w:tcPr>
          <w:p>
            <w:pPr>
              <w:spacing w:after="0"/>
              <w:rPr>
                <w:sz w:val="15"/>
                <w:szCs w:val="15"/>
                <w:color w:val="auto"/>
              </w:rPr>
            </w:pPr>
          </w:p>
        </w:tc>
        <w:tc>
          <w:tcPr>
            <w:tcW w:w="3820" w:type="dxa"/>
            <w:vAlign w:val="bottom"/>
            <w:gridSpan w:val="3"/>
          </w:tcPr>
          <w:p>
            <w:pPr>
              <w:ind w:left="60"/>
              <w:spacing w:after="0" w:line="17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AVIS BUDGET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CAR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2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520" w:type="dxa"/>
            <w:vAlign w:val="bottom"/>
            <w:tcBorders>
              <w:top w:val="single" w:sz="8" w:color="0000EE"/>
            </w:tcBorders>
          </w:tcPr>
          <w:p>
            <w:pPr>
              <w:spacing w:after="0"/>
              <w:rPr>
                <w:sz w:val="4"/>
                <w:szCs w:val="4"/>
                <w:color w:val="auto"/>
              </w:rPr>
            </w:pPr>
          </w:p>
        </w:tc>
        <w:tc>
          <w:tcPr>
            <w:tcW w:w="1240" w:type="dxa"/>
            <w:vAlign w:val="bottom"/>
          </w:tcPr>
          <w:p>
            <w:pPr>
              <w:spacing w:after="0"/>
              <w:rPr>
                <w:sz w:val="4"/>
                <w:szCs w:val="4"/>
                <w:color w:val="auto"/>
              </w:rPr>
            </w:pPr>
          </w:p>
        </w:tc>
        <w:tc>
          <w:tcPr>
            <w:tcW w:w="1840" w:type="dxa"/>
            <w:vAlign w:val="bottom"/>
            <w:vMerge w:val="restart"/>
          </w:tcPr>
          <w:p>
            <w:pPr>
              <w:ind w:left="6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4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42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Borders>
              <w:top w:val="single" w:sz="8" w:color="2C2C2C"/>
            </w:tcBorders>
            <w:gridSpan w:val="3"/>
            <w:vMerge w:val="restart"/>
          </w:tcPr>
          <w:p>
            <w:pPr>
              <w:ind w:left="60"/>
              <w:spacing w:after="0" w:line="148" w:lineRule="exact"/>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vMerge w:val="restart"/>
          </w:tcPr>
          <w:p>
            <w:pPr>
              <w:ind w:left="240"/>
              <w:spacing w:after="0"/>
              <w:rPr>
                <w:sz w:val="20"/>
                <w:szCs w:val="20"/>
                <w:color w:val="auto"/>
              </w:rPr>
            </w:pPr>
            <w:r>
              <w:rPr>
                <w:rFonts w:ascii="Arial" w:cs="Arial" w:eastAsia="Arial" w:hAnsi="Arial"/>
                <w:sz w:val="13"/>
                <w:szCs w:val="13"/>
                <w:color w:val="auto"/>
              </w:rPr>
              <w:t>(First)</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3820" w:type="dxa"/>
            <w:vAlign w:val="bottom"/>
            <w:gridSpan w:val="3"/>
            <w:vMerge w:val="continue"/>
          </w:tcPr>
          <w:p>
            <w:pPr>
              <w:spacing w:after="0"/>
              <w:rPr>
                <w:sz w:val="10"/>
                <w:szCs w:val="10"/>
                <w:color w:val="auto"/>
              </w:rPr>
            </w:pPr>
          </w:p>
        </w:tc>
        <w:tc>
          <w:tcPr>
            <w:tcW w:w="1840" w:type="dxa"/>
            <w:vAlign w:val="bottom"/>
          </w:tcPr>
          <w:p>
            <w:pPr>
              <w:ind w:left="600"/>
              <w:spacing w:after="0" w:line="126"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03/03/2026</w:t>
            </w:r>
          </w:p>
        </w:tc>
        <w:tc>
          <w:tcPr>
            <w:tcW w:w="12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1001 10TH AVENUE SOUTH</w:t>
            </w: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80" w:type="dxa"/>
            <w:vAlign w:val="bottom"/>
            <w:gridSpan w:val="3"/>
            <w:vMerge w:val="continue"/>
          </w:tcPr>
          <w:p>
            <w:pPr>
              <w:spacing w:after="0"/>
              <w:rPr>
                <w:sz w:val="10"/>
                <w:szCs w:val="10"/>
                <w:color w:val="auto"/>
              </w:rPr>
            </w:pPr>
          </w:p>
        </w:tc>
        <w:tc>
          <w:tcPr>
            <w:tcW w:w="1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SUITE 216</w:t>
            </w:r>
          </w:p>
        </w:tc>
        <w:tc>
          <w:tcPr>
            <w:tcW w:w="1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5" w:right="359" w:bottom="754" w:gutter="0" w:footer="0" w:header="0"/>
          <w:type w:val="continuous"/>
        </w:sectPr>
      </w:pPr>
    </w:p>
    <w:p>
      <w:pPr>
        <w:spacing w:after="0" w:line="15" w:lineRule="exact"/>
        <w:rPr>
          <w:sz w:val="20"/>
          <w:szCs w:val="20"/>
          <w:color w:val="auto"/>
        </w:rPr>
      </w:pPr>
    </w:p>
    <w:tbl>
      <w:tblPr>
        <w:tblLayout w:type="fixed"/>
        <w:tblInd w:w="80" w:type="dxa"/>
        <w:tblCellMar>
          <w:top w:w="0" w:type="dxa"/>
          <w:left w:w="0" w:type="dxa"/>
          <w:bottom w:w="0" w:type="dxa"/>
          <w:right w:w="0" w:type="dxa"/>
        </w:tblCellMar>
      </w:tblPr>
      <w:tr>
        <w:trPr>
          <w:trHeight w:val="166"/>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NAPLES</w:t>
            </w:r>
          </w:p>
        </w:tc>
        <w:tc>
          <w:tcPr>
            <w:tcW w:w="11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34102</w:t>
            </w:r>
          </w:p>
        </w:tc>
      </w:tr>
      <w:tr>
        <w:trPr>
          <w:trHeight w:val="145"/>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68" w:lineRule="exact"/>
        <w:rPr>
          <w:sz w:val="20"/>
          <w:szCs w:val="20"/>
          <w:color w:val="auto"/>
        </w:rPr>
      </w:pPr>
    </w:p>
    <w:p>
      <w:pPr>
        <w:sectPr>
          <w:pgSz w:w="11900" w:h="16838" w:orient="portrait"/>
          <w:cols w:equalWidth="0" w:num="2">
            <w:col w:w="7540" w:space="720"/>
            <w:col w:w="2820"/>
          </w:cols>
          <w:pgMar w:left="460" w:top="215" w:right="359" w:bottom="754"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8"/>
              </w:rPr>
              <w:t>Stock, par</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value</w:t>
            </w: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restart"/>
          </w:tcPr>
          <w:p>
            <w:pPr>
              <w:jc w:val="center"/>
              <w:spacing w:after="0" w:line="177" w:lineRule="exact"/>
              <w:rPr>
                <w:sz w:val="20"/>
                <w:szCs w:val="20"/>
                <w:color w:val="auto"/>
              </w:rPr>
            </w:pPr>
            <w:r>
              <w:rPr>
                <w:rFonts w:ascii="Times New Roman" w:cs="Times New Roman" w:eastAsia="Times New Roman" w:hAnsi="Times New Roman"/>
                <w:sz w:val="16"/>
                <w:szCs w:val="16"/>
                <w:color w:val="0000FF"/>
              </w:rPr>
              <w:t>200,000</w:t>
            </w: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680" w:type="dxa"/>
            <w:vAlign w:val="bottom"/>
            <w:vMerge w:val="continue"/>
          </w:tcPr>
          <w:p>
            <w:pPr>
              <w:spacing w:after="0"/>
              <w:rPr>
                <w:sz w:val="4"/>
                <w:szCs w:val="4"/>
                <w:color w:val="auto"/>
              </w:rPr>
            </w:pPr>
          </w:p>
        </w:tc>
        <w:tc>
          <w:tcPr>
            <w:tcW w:w="740" w:type="dxa"/>
            <w:vAlign w:val="bottom"/>
            <w:vMerge w:val="restart"/>
          </w:tcPr>
          <w:p>
            <w:pPr>
              <w:ind w:left="280"/>
              <w:spacing w:after="0" w:line="102"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85</w:t>
            </w:r>
          </w:p>
        </w:tc>
        <w:tc>
          <w:tcPr>
            <w:tcW w:w="106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03/03/2026</w:t>
            </w:r>
          </w:p>
        </w:tc>
        <w:tc>
          <w:tcPr>
            <w:tcW w:w="1080" w:type="dxa"/>
            <w:vAlign w:val="bottom"/>
          </w:tcPr>
          <w:p>
            <w:pPr>
              <w:spacing w:after="0"/>
              <w:rPr>
                <w:sz w:val="4"/>
                <w:szCs w:val="4"/>
                <w:color w:val="auto"/>
              </w:rPr>
            </w:pPr>
          </w:p>
        </w:tc>
        <w:tc>
          <w:tcPr>
            <w:tcW w:w="780" w:type="dxa"/>
            <w:vAlign w:val="bottom"/>
            <w:vMerge w:val="restart"/>
          </w:tcPr>
          <w:p>
            <w:pPr>
              <w:ind w:left="160"/>
              <w:spacing w:after="0" w:line="102" w:lineRule="exact"/>
              <w:rPr>
                <w:sz w:val="20"/>
                <w:szCs w:val="20"/>
                <w:color w:val="auto"/>
              </w:rPr>
            </w:pPr>
            <w:r>
              <w:rPr>
                <w:rFonts w:ascii="Times New Roman" w:cs="Times New Roman" w:eastAsia="Times New Roman" w:hAnsi="Times New Roman"/>
                <w:sz w:val="11"/>
                <w:szCs w:val="11"/>
                <w:color w:val="0000FF"/>
              </w:rPr>
              <w:t>P</w:t>
            </w:r>
          </w:p>
        </w:tc>
        <w:tc>
          <w:tcPr>
            <w:tcW w:w="420" w:type="dxa"/>
            <w:vAlign w:val="bottom"/>
            <w:vMerge w:val="restart"/>
          </w:tcPr>
          <w:p>
            <w:pPr>
              <w:jc w:val="right"/>
              <w:ind w:right="3"/>
              <w:spacing w:after="0" w:line="102" w:lineRule="exact"/>
              <w:rPr>
                <w:sz w:val="20"/>
                <w:szCs w:val="20"/>
                <w:color w:val="auto"/>
              </w:rPr>
            </w:pPr>
            <w:r>
              <w:rPr>
                <w:rFonts w:ascii="Times New Roman" w:cs="Times New Roman" w:eastAsia="Times New Roman" w:hAnsi="Times New Roman"/>
                <w:sz w:val="11"/>
                <w:szCs w:val="11"/>
                <w:color w:val="0000FF"/>
              </w:rPr>
              <w:t>2,000</w:t>
            </w:r>
          </w:p>
        </w:tc>
        <w:tc>
          <w:tcPr>
            <w:tcW w:w="4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restart"/>
          </w:tcPr>
          <w:p>
            <w:pPr>
              <w:ind w:left="80"/>
              <w:spacing w:after="0" w:line="102" w:lineRule="exact"/>
              <w:rPr>
                <w:sz w:val="20"/>
                <w:szCs w:val="20"/>
                <w:color w:val="auto"/>
              </w:rPr>
            </w:pPr>
            <w:r>
              <w:rPr>
                <w:rFonts w:ascii="Times New Roman" w:cs="Times New Roman" w:eastAsia="Times New Roman" w:hAnsi="Times New Roman"/>
                <w:sz w:val="11"/>
                <w:szCs w:val="11"/>
                <w:color w:val="0000FF"/>
              </w:rPr>
              <w:t>09/18/2026</w:t>
            </w:r>
          </w:p>
        </w:tc>
        <w:tc>
          <w:tcPr>
            <w:tcW w:w="68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$0.01 per</w:t>
            </w:r>
          </w:p>
        </w:tc>
        <w:tc>
          <w:tcPr>
            <w:tcW w:w="680" w:type="dxa"/>
            <w:vAlign w:val="bottom"/>
            <w:vMerge w:val="continue"/>
          </w:tcPr>
          <w:p>
            <w:pPr>
              <w:spacing w:after="0"/>
              <w:rPr>
                <w:sz w:val="4"/>
                <w:szCs w:val="4"/>
                <w:color w:val="auto"/>
              </w:rPr>
            </w:pPr>
          </w:p>
        </w:tc>
        <w:tc>
          <w:tcPr>
            <w:tcW w:w="680" w:type="dxa"/>
            <w:vAlign w:val="bottom"/>
            <w:vMerge w:val="restart"/>
          </w:tcPr>
          <w:p>
            <w:pPr>
              <w:jc w:val="center"/>
              <w:spacing w:after="0" w:line="102"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21.2412</w:t>
            </w:r>
          </w:p>
        </w:tc>
        <w:tc>
          <w:tcPr>
            <w:tcW w:w="900" w:type="dxa"/>
            <w:vAlign w:val="bottom"/>
            <w:vMerge w:val="restart"/>
          </w:tcPr>
          <w:p>
            <w:pPr>
              <w:ind w:left="320"/>
              <w:spacing w:after="0" w:line="102" w:lineRule="exact"/>
              <w:rPr>
                <w:sz w:val="20"/>
                <w:szCs w:val="20"/>
                <w:color w:val="auto"/>
              </w:rPr>
            </w:pPr>
            <w:r>
              <w:rPr>
                <w:rFonts w:ascii="Times New Roman" w:cs="Times New Roman" w:eastAsia="Times New Roman" w:hAnsi="Times New Roman"/>
                <w:sz w:val="11"/>
                <w:szCs w:val="11"/>
                <w:color w:val="0000FF"/>
              </w:rPr>
              <w:t>3,550</w:t>
            </w:r>
          </w:p>
        </w:tc>
        <w:tc>
          <w:tcPr>
            <w:tcW w:w="720" w:type="dxa"/>
            <w:vAlign w:val="bottom"/>
            <w:vMerge w:val="restart"/>
          </w:tcPr>
          <w:p>
            <w:pPr>
              <w:ind w:left="340"/>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680" w:type="dxa"/>
            <w:vAlign w:val="bottom"/>
          </w:tcPr>
          <w:p>
            <w:pPr>
              <w:ind w:left="60"/>
              <w:spacing w:after="0" w:line="51" w:lineRule="exact"/>
              <w:rPr>
                <w:sz w:val="20"/>
                <w:szCs w:val="20"/>
                <w:color w:val="auto"/>
              </w:rPr>
            </w:pPr>
            <w:r>
              <w:rPr>
                <w:rFonts w:ascii="Times New Roman" w:cs="Times New Roman" w:eastAsia="Times New Roman" w:hAnsi="Times New Roman"/>
                <w:sz w:val="5"/>
                <w:szCs w:val="5"/>
                <w:color w:val="0000FF"/>
              </w:rPr>
              <w:t>(right to</w:t>
            </w:r>
          </w:p>
        </w:tc>
        <w:tc>
          <w:tcPr>
            <w:tcW w:w="7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tcPr>
          <w:p>
            <w:pPr>
              <w:ind w:left="80"/>
              <w:spacing w:after="0" w:line="51" w:lineRule="exact"/>
              <w:rPr>
                <w:sz w:val="20"/>
                <w:szCs w:val="20"/>
                <w:color w:val="auto"/>
              </w:rPr>
            </w:pPr>
            <w:r>
              <w:rPr>
                <w:rFonts w:ascii="Times New Roman" w:cs="Times New Roman" w:eastAsia="Times New Roman" w:hAnsi="Times New Roman"/>
                <w:sz w:val="3"/>
                <w:szCs w:val="3"/>
                <w:color w:val="0000FF"/>
              </w:rPr>
              <w:t>footnote</w:t>
            </w:r>
            <w:r>
              <w:rPr>
                <w:rFonts w:ascii="Times New Roman" w:cs="Times New Roman" w:eastAsia="Times New Roman" w:hAnsi="Times New Roman"/>
                <w:sz w:val="5"/>
                <w:szCs w:val="5"/>
                <w:color w:val="008000"/>
                <w:vertAlign w:val="superscript"/>
              </w:rPr>
              <w:t>(1)</w:t>
            </w:r>
          </w:p>
        </w:tc>
        <w:tc>
          <w:tcPr>
            <w:tcW w:w="0" w:type="dxa"/>
            <w:vAlign w:val="bottom"/>
          </w:tcPr>
          <w:p>
            <w:pPr>
              <w:spacing w:after="0"/>
              <w:rPr>
                <w:sz w:val="1"/>
                <w:szCs w:val="1"/>
                <w:color w:val="auto"/>
              </w:rPr>
            </w:pPr>
          </w:p>
        </w:tc>
      </w:tr>
      <w:tr>
        <w:trPr>
          <w:trHeight w:val="32"/>
        </w:trPr>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4"/>
              </w:rPr>
              <w:t>share</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6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("Common</w:t>
            </w: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6"/>
              </w:rPr>
              <w:t>Stock")</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Put Option</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200,000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(obligation</w:t>
            </w:r>
          </w:p>
        </w:tc>
        <w:tc>
          <w:tcPr>
            <w:tcW w:w="740" w:type="dxa"/>
            <w:vAlign w:val="bottom"/>
            <w:vMerge w:val="restart"/>
          </w:tcPr>
          <w:p>
            <w:pPr>
              <w:ind w:left="280"/>
              <w:spacing w:after="0" w:line="102"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85</w:t>
            </w:r>
          </w:p>
        </w:tc>
        <w:tc>
          <w:tcPr>
            <w:tcW w:w="106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03/03/2026</w:t>
            </w:r>
          </w:p>
        </w:tc>
        <w:tc>
          <w:tcPr>
            <w:tcW w:w="1080" w:type="dxa"/>
            <w:vAlign w:val="bottom"/>
          </w:tcPr>
          <w:p>
            <w:pPr>
              <w:spacing w:after="0"/>
              <w:rPr>
                <w:sz w:val="4"/>
                <w:szCs w:val="4"/>
                <w:color w:val="auto"/>
              </w:rPr>
            </w:pPr>
          </w:p>
        </w:tc>
        <w:tc>
          <w:tcPr>
            <w:tcW w:w="780" w:type="dxa"/>
            <w:vAlign w:val="bottom"/>
            <w:vMerge w:val="restart"/>
          </w:tcPr>
          <w:p>
            <w:pPr>
              <w:ind w:left="160"/>
              <w:spacing w:after="0" w:line="102" w:lineRule="exact"/>
              <w:rPr>
                <w:sz w:val="20"/>
                <w:szCs w:val="20"/>
                <w:color w:val="auto"/>
              </w:rPr>
            </w:pPr>
            <w:r>
              <w:rPr>
                <w:rFonts w:ascii="Times New Roman" w:cs="Times New Roman" w:eastAsia="Times New Roman" w:hAnsi="Times New Roman"/>
                <w:sz w:val="11"/>
                <w:szCs w:val="11"/>
                <w:color w:val="0000FF"/>
              </w:rPr>
              <w:t>S</w:t>
            </w:r>
          </w:p>
        </w:tc>
        <w:tc>
          <w:tcPr>
            <w:tcW w:w="420" w:type="dxa"/>
            <w:vAlign w:val="bottom"/>
          </w:tcPr>
          <w:p>
            <w:pPr>
              <w:spacing w:after="0"/>
              <w:rPr>
                <w:sz w:val="4"/>
                <w:szCs w:val="4"/>
                <w:color w:val="auto"/>
              </w:rPr>
            </w:pPr>
          </w:p>
        </w:tc>
        <w:tc>
          <w:tcPr>
            <w:tcW w:w="420" w:type="dxa"/>
            <w:vAlign w:val="bottom"/>
            <w:vMerge w:val="restart"/>
          </w:tcPr>
          <w:p>
            <w:pPr>
              <w:jc w:val="right"/>
              <w:ind w:right="3"/>
              <w:spacing w:after="0" w:line="102" w:lineRule="exact"/>
              <w:rPr>
                <w:sz w:val="20"/>
                <w:szCs w:val="20"/>
                <w:color w:val="auto"/>
              </w:rPr>
            </w:pPr>
            <w:r>
              <w:rPr>
                <w:rFonts w:ascii="Times New Roman" w:cs="Times New Roman" w:eastAsia="Times New Roman" w:hAnsi="Times New Roman"/>
                <w:sz w:val="11"/>
                <w:szCs w:val="11"/>
                <w:color w:val="0000FF"/>
              </w:rPr>
              <w:t>2,000</w:t>
            </w:r>
          </w:p>
        </w:tc>
        <w:tc>
          <w:tcPr>
            <w:tcW w:w="760" w:type="dxa"/>
            <w:vAlign w:val="bottom"/>
            <w:vMerge w:val="continue"/>
          </w:tcPr>
          <w:p>
            <w:pPr>
              <w:spacing w:after="0"/>
              <w:rPr>
                <w:sz w:val="4"/>
                <w:szCs w:val="4"/>
                <w:color w:val="auto"/>
              </w:rPr>
            </w:pPr>
          </w:p>
        </w:tc>
        <w:tc>
          <w:tcPr>
            <w:tcW w:w="720" w:type="dxa"/>
            <w:vAlign w:val="bottom"/>
            <w:vMerge w:val="restart"/>
          </w:tcPr>
          <w:p>
            <w:pPr>
              <w:ind w:left="80"/>
              <w:spacing w:after="0" w:line="102" w:lineRule="exact"/>
              <w:rPr>
                <w:sz w:val="20"/>
                <w:szCs w:val="20"/>
                <w:color w:val="auto"/>
              </w:rPr>
            </w:pPr>
            <w:r>
              <w:rPr>
                <w:rFonts w:ascii="Times New Roman" w:cs="Times New Roman" w:eastAsia="Times New Roman" w:hAnsi="Times New Roman"/>
                <w:sz w:val="11"/>
                <w:szCs w:val="11"/>
                <w:color w:val="0000FF"/>
              </w:rPr>
              <w:t>09/18/2026</w:t>
            </w:r>
          </w:p>
        </w:tc>
        <w:tc>
          <w:tcPr>
            <w:tcW w:w="6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restart"/>
          </w:tcPr>
          <w:p>
            <w:pPr>
              <w:jc w:val="center"/>
              <w:spacing w:after="0" w:line="102"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10.9483</w:t>
            </w:r>
          </w:p>
        </w:tc>
        <w:tc>
          <w:tcPr>
            <w:tcW w:w="900" w:type="dxa"/>
            <w:vAlign w:val="bottom"/>
            <w:vMerge w:val="restart"/>
          </w:tcPr>
          <w:p>
            <w:pPr>
              <w:ind w:left="320"/>
              <w:spacing w:after="0" w:line="102" w:lineRule="exact"/>
              <w:rPr>
                <w:sz w:val="20"/>
                <w:szCs w:val="20"/>
                <w:color w:val="auto"/>
              </w:rPr>
            </w:pPr>
            <w:r>
              <w:rPr>
                <w:rFonts w:ascii="Times New Roman" w:cs="Times New Roman" w:eastAsia="Times New Roman" w:hAnsi="Times New Roman"/>
                <w:sz w:val="11"/>
                <w:szCs w:val="11"/>
                <w:color w:val="0000FF"/>
              </w:rPr>
              <w:t>3,550</w:t>
            </w:r>
          </w:p>
        </w:tc>
        <w:tc>
          <w:tcPr>
            <w:tcW w:w="720" w:type="dxa"/>
            <w:vAlign w:val="bottom"/>
            <w:vMerge w:val="restart"/>
          </w:tcPr>
          <w:p>
            <w:pPr>
              <w:ind w:left="340"/>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6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tcPr>
          <w:p>
            <w:pPr>
              <w:jc w:val="center"/>
              <w:spacing w:after="0" w:line="51" w:lineRule="exact"/>
              <w:rPr>
                <w:sz w:val="20"/>
                <w:szCs w:val="20"/>
                <w:color w:val="auto"/>
              </w:rPr>
            </w:pPr>
            <w:r>
              <w:rPr>
                <w:rFonts w:ascii="Times New Roman" w:cs="Times New Roman" w:eastAsia="Times New Roman" w:hAnsi="Times New Roman"/>
                <w:sz w:val="5"/>
                <w:szCs w:val="5"/>
                <w:color w:val="0000FF"/>
              </w:rPr>
              <w:t>Stock</w:t>
            </w:r>
          </w:p>
        </w:tc>
        <w:tc>
          <w:tcPr>
            <w:tcW w:w="6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tcPr>
          <w:p>
            <w:pPr>
              <w:ind w:left="80"/>
              <w:spacing w:after="0" w:line="51" w:lineRule="exact"/>
              <w:rPr>
                <w:sz w:val="20"/>
                <w:szCs w:val="20"/>
                <w:color w:val="auto"/>
              </w:rPr>
            </w:pPr>
            <w:r>
              <w:rPr>
                <w:rFonts w:ascii="Times New Roman" w:cs="Times New Roman" w:eastAsia="Times New Roman" w:hAnsi="Times New Roman"/>
                <w:sz w:val="3"/>
                <w:szCs w:val="3"/>
                <w:color w:val="0000FF"/>
              </w:rPr>
              <w:t>footnote</w:t>
            </w:r>
            <w:r>
              <w:rPr>
                <w:rFonts w:ascii="Times New Roman" w:cs="Times New Roman" w:eastAsia="Times New Roman" w:hAnsi="Times New Roman"/>
                <w:sz w:val="5"/>
                <w:szCs w:val="5"/>
                <w:color w:val="008000"/>
                <w:vertAlign w:val="superscript"/>
              </w:rPr>
              <w:t>(1)</w:t>
            </w:r>
          </w:p>
        </w:tc>
        <w:tc>
          <w:tcPr>
            <w:tcW w:w="0" w:type="dxa"/>
            <w:vAlign w:val="bottom"/>
          </w:tcPr>
          <w:p>
            <w:pPr>
              <w:spacing w:after="0"/>
              <w:rPr>
                <w:sz w:val="1"/>
                <w:szCs w:val="1"/>
                <w:color w:val="auto"/>
              </w:rPr>
            </w:pPr>
          </w:p>
        </w:tc>
      </w:tr>
      <w:tr>
        <w:trPr>
          <w:trHeight w:val="32"/>
        </w:trPr>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6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4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03/04/2026</w:t>
            </w:r>
          </w:p>
        </w:tc>
        <w:tc>
          <w:tcPr>
            <w:tcW w:w="1080" w:type="dxa"/>
            <w:vAlign w:val="bottom"/>
          </w:tcPr>
          <w:p>
            <w:pPr>
              <w:spacing w:after="0"/>
              <w:rPr>
                <w:sz w:val="14"/>
                <w:szCs w:val="14"/>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vMerge w:val="restart"/>
          </w:tcPr>
          <w:p>
            <w:pPr>
              <w:jc w:val="right"/>
              <w:ind w:right="63"/>
              <w:spacing w:after="0"/>
              <w:rPr>
                <w:sz w:val="20"/>
                <w:szCs w:val="20"/>
                <w:color w:val="auto"/>
              </w:rPr>
            </w:pPr>
            <w:r>
              <w:rPr>
                <w:rFonts w:ascii="Times New Roman" w:cs="Times New Roman" w:eastAsia="Times New Roman" w:hAnsi="Times New Roman"/>
                <w:sz w:val="13"/>
                <w:szCs w:val="13"/>
                <w:color w:val="0000FF"/>
              </w:rPr>
              <w:t>500</w:t>
            </w:r>
          </w:p>
        </w:tc>
        <w:tc>
          <w:tcPr>
            <w:tcW w:w="420" w:type="dxa"/>
            <w:vAlign w:val="bottom"/>
          </w:tcPr>
          <w:p>
            <w:pPr>
              <w:spacing w:after="0"/>
              <w:rPr>
                <w:sz w:val="14"/>
                <w:szCs w:val="14"/>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09/18/2026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50,000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23.0214</w:t>
            </w:r>
          </w:p>
        </w:tc>
        <w:tc>
          <w:tcPr>
            <w:tcW w:w="9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4,050</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680" w:type="dxa"/>
            <w:vAlign w:val="bottom"/>
          </w:tcPr>
          <w:p>
            <w:pPr>
              <w:ind w:left="60"/>
              <w:spacing w:after="0" w:line="114" w:lineRule="exact"/>
              <w:rPr>
                <w:sz w:val="20"/>
                <w:szCs w:val="20"/>
                <w:color w:val="auto"/>
              </w:rPr>
            </w:pPr>
            <w:r>
              <w:rPr>
                <w:rFonts w:ascii="Times New Roman" w:cs="Times New Roman" w:eastAsia="Times New Roman" w:hAnsi="Times New Roman"/>
                <w:sz w:val="13"/>
                <w:szCs w:val="13"/>
                <w:color w:val="0000FF"/>
              </w:rPr>
              <w:t>(right to</w:t>
            </w:r>
          </w:p>
        </w:tc>
        <w:tc>
          <w:tcPr>
            <w:tcW w:w="7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tcPr>
          <w:p>
            <w:pPr>
              <w:jc w:val="center"/>
              <w:spacing w:after="0" w:line="114" w:lineRule="exact"/>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ind w:left="80"/>
              <w:spacing w:after="0" w:line="114" w:lineRule="exact"/>
              <w:rPr>
                <w:sz w:val="20"/>
                <w:szCs w:val="20"/>
                <w:color w:val="auto"/>
              </w:rPr>
            </w:pPr>
            <w:r>
              <w:rPr>
                <w:rFonts w:ascii="Times New Roman" w:cs="Times New Roman" w:eastAsia="Times New Roman" w:hAnsi="Times New Roman"/>
                <w:sz w:val="9"/>
                <w:szCs w:val="9"/>
                <w:color w:val="0000FF"/>
              </w:rPr>
              <w:t>footnote</w:t>
            </w:r>
            <w:r>
              <w:rPr>
                <w:rFonts w:ascii="Times New Roman" w:cs="Times New Roman" w:eastAsia="Times New Roman" w:hAnsi="Times New Roman"/>
                <w:sz w:val="13"/>
                <w:szCs w:val="13"/>
                <w:color w:val="008000"/>
                <w:vertAlign w:val="superscript"/>
              </w:rPr>
              <w:t>(1)</w:t>
            </w:r>
          </w:p>
        </w:tc>
        <w:tc>
          <w:tcPr>
            <w:tcW w:w="0" w:type="dxa"/>
            <w:vAlign w:val="bottom"/>
          </w:tcPr>
          <w:p>
            <w:pPr>
              <w:spacing w:after="0"/>
              <w:rPr>
                <w:sz w:val="1"/>
                <w:szCs w:val="1"/>
                <w:color w:val="auto"/>
              </w:rPr>
            </w:pPr>
          </w:p>
        </w:tc>
      </w:tr>
      <w:tr>
        <w:trPr>
          <w:trHeight w:val="16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Put Option</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50,000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4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03/04/2026</w:t>
            </w:r>
          </w:p>
        </w:tc>
        <w:tc>
          <w:tcPr>
            <w:tcW w:w="1080" w:type="dxa"/>
            <w:vAlign w:val="bottom"/>
          </w:tcPr>
          <w:p>
            <w:pPr>
              <w:spacing w:after="0"/>
              <w:rPr>
                <w:sz w:val="4"/>
                <w:szCs w:val="4"/>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4"/>
                <w:szCs w:val="4"/>
                <w:color w:val="auto"/>
              </w:rPr>
            </w:pPr>
          </w:p>
        </w:tc>
        <w:tc>
          <w:tcPr>
            <w:tcW w:w="420" w:type="dxa"/>
            <w:vAlign w:val="bottom"/>
            <w:vMerge w:val="restart"/>
          </w:tcPr>
          <w:p>
            <w:pPr>
              <w:jc w:val="right"/>
              <w:ind w:right="63"/>
              <w:spacing w:after="0"/>
              <w:rPr>
                <w:sz w:val="20"/>
                <w:szCs w:val="20"/>
                <w:color w:val="auto"/>
              </w:rPr>
            </w:pPr>
            <w:r>
              <w:rPr>
                <w:rFonts w:ascii="Times New Roman" w:cs="Times New Roman" w:eastAsia="Times New Roman" w:hAnsi="Times New Roman"/>
                <w:sz w:val="13"/>
                <w:szCs w:val="13"/>
                <w:color w:val="0000FF"/>
              </w:rPr>
              <w:t>500</w:t>
            </w:r>
          </w:p>
        </w:tc>
        <w:tc>
          <w:tcPr>
            <w:tcW w:w="760" w:type="dxa"/>
            <w:vAlign w:val="bottom"/>
            <w:vMerge w:val="continue"/>
          </w:tcPr>
          <w:p>
            <w:pPr>
              <w:spacing w:after="0"/>
              <w:rPr>
                <w:sz w:val="4"/>
                <w:szCs w:val="4"/>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09/18/2026</w:t>
            </w:r>
          </w:p>
        </w:tc>
        <w:tc>
          <w:tcPr>
            <w:tcW w:w="6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9.7736</w:t>
            </w:r>
          </w:p>
        </w:tc>
        <w:tc>
          <w:tcPr>
            <w:tcW w:w="9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4,050</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6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restart"/>
          </w:tcPr>
          <w:p>
            <w:pPr>
              <w:ind w:left="80"/>
              <w:spacing w:after="0" w:line="151"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(1)</w:t>
            </w:r>
          </w:p>
        </w:tc>
        <w:tc>
          <w:tcPr>
            <w:tcW w:w="0" w:type="dxa"/>
            <w:vAlign w:val="bottom"/>
          </w:tcPr>
          <w:p>
            <w:pPr>
              <w:spacing w:after="0"/>
              <w:rPr>
                <w:sz w:val="1"/>
                <w:szCs w:val="1"/>
                <w:color w:val="auto"/>
              </w:rPr>
            </w:pPr>
          </w:p>
        </w:tc>
      </w:tr>
      <w:tr>
        <w:trPr>
          <w:trHeight w:val="69"/>
        </w:trPr>
        <w:tc>
          <w:tcPr>
            <w:tcW w:w="6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40" w:right="160" w:hanging="1"/>
        <w:spacing w:after="0" w:line="233"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by Pentwater Capital Management LP ("PCM") and Matthew Halbower ("Mr. Halbower") (collectively, the "Reporting Persons") with respect to securities held by certain funds (the "Pentwater Funds") to which PCM serves as investment adviser. Mr. Halbower is the sole shareholder of MCH PWCM Holdings Inc., the general partner of PCM. Each of the foregoing disclaims beneficial ownership in the securities reported on this Form 4 except to the extent of its or his pecuniary interest, if any, therein, and this report shall not be deemed to be an admission that such Reporting Person is the beneficial owner of such securities for purposes of Section 16 or for any other purpose.</w:t>
      </w:r>
    </w:p>
    <w:p>
      <w:pPr>
        <w:spacing w:after="0" w:line="25"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Exercisable at any time.</w:t>
      </w:r>
    </w:p>
    <w:p>
      <w:pPr>
        <w:spacing w:after="0" w:line="6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Pentwater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-3810</wp:posOffset>
            </wp:positionV>
            <wp:extent cx="868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68045" cy="8255"/>
                    </a:xfrm>
                    <a:prstGeom prst="rect">
                      <a:avLst/>
                    </a:prstGeom>
                    <a:noFill/>
                  </pic:spPr>
                </pic:pic>
              </a:graphicData>
            </a:graphic>
          </wp:anchor>
        </w:drawing>
      </w:r>
    </w:p>
    <w:p>
      <w:pPr>
        <w:spacing w:after="0" w:line="1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Management LP, By: /s/ MCH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-11430</wp:posOffset>
            </wp:positionV>
            <wp:extent cx="1270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PWCM Holdings Inc., General</w:t>
        <w:tab/>
        <w:t>03/05/2026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-11430</wp:posOffset>
            </wp:positionV>
            <wp:extent cx="1868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Partner, By: Matthew Halbower,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-11430</wp:posOffset>
            </wp:positionV>
            <wp:extent cx="1354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-11430</wp:posOffset>
            </wp:positionV>
            <wp:extent cx="9988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29"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Matthew Halbower</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w w:val="98"/>
              </w:rPr>
              <w:t>03/05/2026</w:t>
            </w:r>
          </w:p>
        </w:tc>
      </w:tr>
      <w:tr>
        <w:trPr>
          <w:trHeight w:val="20"/>
        </w:trPr>
        <w:tc>
          <w:tcPr>
            <w:tcW w:w="1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6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7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25851" TargetMode="External"/><Relationship Id="rId14" Type="http://schemas.openxmlformats.org/officeDocument/2006/relationships/hyperlink" Target="http://www.sec.gov/cgi-bin/browse-edgar?action=getcompany&amp;CIK=00007236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2026-03-05T20:32:38Z</dcterms:created>
  <dcterms:modified xsi:type="dcterms:W3CDTF">2026-03-05T20:32:38Z</dcterms:modified>
</cp:coreProperties>
</file>