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323850</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340995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386715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46355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340"/>
          </w:cols>
          <w:pgMar w:left="240" w:top="247" w:right="319" w:bottom="1440" w:gutter="0" w:footer="0" w:header="0"/>
        </w:sectPr>
      </w:pPr>
    </w:p>
    <w:p>
      <w:pPr>
        <w:spacing w:after="0" w:line="200" w:lineRule="exact"/>
        <w:rPr>
          <w:sz w:val="24"/>
          <w:szCs w:val="24"/>
          <w:color w:val="auto"/>
        </w:rPr>
      </w:pPr>
    </w:p>
    <w:p>
      <w:pPr>
        <w:spacing w:after="0" w:line="311" w:lineRule="exact"/>
        <w:rPr>
          <w:sz w:val="24"/>
          <w:szCs w:val="24"/>
          <w:color w:val="auto"/>
        </w:rPr>
      </w:pPr>
    </w:p>
    <w:p>
      <w:pPr>
        <w:ind w:left="1120"/>
        <w:spacing w:after="0"/>
        <w:rPr>
          <w:sz w:val="20"/>
          <w:szCs w:val="20"/>
          <w:color w:val="auto"/>
        </w:rPr>
      </w:pPr>
      <w:r>
        <w:rPr>
          <w:rFonts w:ascii="Arial" w:cs="Arial" w:eastAsia="Arial" w:hAnsi="Arial"/>
          <w:sz w:val="22"/>
          <w:szCs w:val="22"/>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1120"/>
        <w:spacing w:after="0"/>
        <w:rPr>
          <w:sz w:val="20"/>
          <w:szCs w:val="20"/>
          <w:color w:val="auto"/>
        </w:rPr>
      </w:pP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325" w:lineRule="exact"/>
        <w:rPr>
          <w:sz w:val="24"/>
          <w:szCs w:val="24"/>
          <w:color w:val="auto"/>
        </w:rPr>
      </w:pPr>
    </w:p>
    <w:p>
      <w:pPr>
        <w:ind w:left="2480"/>
        <w:spacing w:after="0"/>
        <w:rPr>
          <w:sz w:val="20"/>
          <w:szCs w:val="20"/>
          <w:color w:val="auto"/>
        </w:rPr>
      </w:pPr>
      <w:r>
        <w:rPr>
          <w:rFonts w:ascii="Arial" w:cs="Arial" w:eastAsia="Arial" w:hAnsi="Arial"/>
          <w:sz w:val="14"/>
          <w:szCs w:val="14"/>
          <w:b w:val="1"/>
          <w:bCs w:val="1"/>
          <w:color w:val="auto"/>
        </w:rPr>
        <w:t>For the quarterly period ended March 31, 2018</w:t>
      </w:r>
    </w:p>
    <w:p>
      <w:pPr>
        <w:spacing w:after="0" w:line="258" w:lineRule="exact"/>
        <w:rPr>
          <w:sz w:val="24"/>
          <w:szCs w:val="24"/>
          <w:color w:val="auto"/>
        </w:rPr>
      </w:pPr>
    </w:p>
    <w:p>
      <w:pPr>
        <w:ind w:left="3940"/>
        <w:spacing w:after="0"/>
        <w:rPr>
          <w:sz w:val="20"/>
          <w:szCs w:val="20"/>
          <w:color w:val="auto"/>
        </w:rPr>
      </w:pPr>
      <w:r>
        <w:rPr>
          <w:rFonts w:ascii="Arial" w:cs="Arial" w:eastAsia="Arial" w:hAnsi="Arial"/>
          <w:sz w:val="14"/>
          <w:szCs w:val="14"/>
          <w:b w:val="1"/>
          <w:bCs w:val="1"/>
          <w:color w:val="auto"/>
        </w:rPr>
        <w:t>OR</w:t>
      </w:r>
    </w:p>
    <w:p>
      <w:pPr>
        <w:spacing w:after="0" w:line="217" w:lineRule="exact"/>
        <w:rPr>
          <w:sz w:val="24"/>
          <w:szCs w:val="24"/>
          <w:color w:val="auto"/>
        </w:rPr>
      </w:pPr>
    </w:p>
    <w:p>
      <w:pPr>
        <w:ind w:left="2520" w:right="2300" w:hanging="2504"/>
        <w:spacing w:after="0" w:line="506" w:lineRule="auto"/>
        <w:rPr>
          <w:sz w:val="20"/>
          <w:szCs w:val="20"/>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 to _____</w:t>
      </w:r>
    </w:p>
    <w:p>
      <w:pPr>
        <w:spacing w:after="0" w:line="10" w:lineRule="exact"/>
        <w:rPr>
          <w:sz w:val="24"/>
          <w:szCs w:val="24"/>
          <w:color w:val="auto"/>
        </w:rPr>
      </w:pPr>
    </w:p>
    <w:p>
      <w:pPr>
        <w:ind w:left="2980"/>
        <w:spacing w:after="0"/>
        <w:rPr>
          <w:sz w:val="20"/>
          <w:szCs w:val="20"/>
          <w:color w:val="auto"/>
        </w:rPr>
      </w:pPr>
      <w:r>
        <w:rPr>
          <w:rFonts w:ascii="Arial" w:cs="Arial" w:eastAsia="Arial" w:hAnsi="Arial"/>
          <w:sz w:val="14"/>
          <w:szCs w:val="14"/>
          <w:b w:val="1"/>
          <w:bCs w:val="1"/>
          <w:color w:val="auto"/>
        </w:rPr>
        <w:t>Commission File No. 001-10308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1840865</wp:posOffset>
            </wp:positionH>
            <wp:positionV relativeFrom="paragraph">
              <wp:posOffset>360680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1240" w:space="420"/>
            <w:col w:w="9680"/>
          </w:cols>
          <w:pgMar w:left="240" w:top="247" w:right="31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520" w:type="dxa"/>
        <w:tblCellMar>
          <w:top w:w="0" w:type="dxa"/>
          <w:left w:w="0" w:type="dxa"/>
          <w:bottom w:w="0" w:type="dxa"/>
          <w:right w:w="0" w:type="dxa"/>
        </w:tblCellMar>
      </w:tblPr>
      <w:tr>
        <w:trPr>
          <w:trHeight w:val="336"/>
        </w:trPr>
        <w:tc>
          <w:tcPr>
            <w:tcW w:w="2940" w:type="dxa"/>
            <w:vAlign w:val="bottom"/>
          </w:tcPr>
          <w:p>
            <w:pPr>
              <w:spacing w:after="0"/>
              <w:rPr>
                <w:sz w:val="24"/>
                <w:szCs w:val="24"/>
                <w:color w:val="auto"/>
              </w:rPr>
            </w:pPr>
          </w:p>
        </w:tc>
        <w:tc>
          <w:tcPr>
            <w:tcW w:w="6840" w:type="dxa"/>
            <w:vAlign w:val="bottom"/>
          </w:tcPr>
          <w:p>
            <w:pPr>
              <w:jc w:val="center"/>
              <w:ind w:right="2262"/>
              <w:spacing w:after="0"/>
              <w:rPr>
                <w:sz w:val="20"/>
                <w:szCs w:val="20"/>
                <w:color w:val="auto"/>
              </w:rPr>
            </w:pPr>
            <w:r>
              <w:rPr>
                <w:rFonts w:ascii="Arial" w:cs="Arial" w:eastAsia="Arial" w:hAnsi="Arial"/>
                <w:sz w:val="25"/>
                <w:szCs w:val="25"/>
                <w:b w:val="1"/>
                <w:bCs w:val="1"/>
                <w:color w:val="auto"/>
              </w:rPr>
              <w:t>Avis Budget Group, Inc.</w:t>
            </w:r>
          </w:p>
        </w:tc>
      </w:tr>
      <w:tr>
        <w:trPr>
          <w:trHeight w:val="385"/>
        </w:trPr>
        <w:tc>
          <w:tcPr>
            <w:tcW w:w="2940" w:type="dxa"/>
            <w:vAlign w:val="bottom"/>
          </w:tcPr>
          <w:p>
            <w:pPr>
              <w:spacing w:after="0"/>
              <w:rPr>
                <w:sz w:val="24"/>
                <w:szCs w:val="24"/>
                <w:color w:val="auto"/>
              </w:rPr>
            </w:pPr>
          </w:p>
        </w:tc>
        <w:tc>
          <w:tcPr>
            <w:tcW w:w="6840" w:type="dxa"/>
            <w:vAlign w:val="bottom"/>
          </w:tcPr>
          <w:p>
            <w:pPr>
              <w:ind w:left="460"/>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r>
      <w:tr>
        <w:trPr>
          <w:trHeight w:val="405"/>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Delaware</w:t>
            </w:r>
          </w:p>
        </w:tc>
        <w:tc>
          <w:tcPr>
            <w:tcW w:w="6840" w:type="dxa"/>
            <w:vAlign w:val="bottom"/>
          </w:tcPr>
          <w:p>
            <w:pPr>
              <w:jc w:val="right"/>
              <w:ind w:right="242"/>
              <w:spacing w:after="0"/>
              <w:rPr>
                <w:sz w:val="20"/>
                <w:szCs w:val="20"/>
                <w:color w:val="auto"/>
              </w:rPr>
            </w:pPr>
            <w:r>
              <w:rPr>
                <w:rFonts w:ascii="Arial" w:cs="Arial" w:eastAsia="Arial" w:hAnsi="Arial"/>
                <w:sz w:val="14"/>
                <w:szCs w:val="14"/>
                <w:b w:val="1"/>
                <w:bCs w:val="1"/>
                <w:color w:val="auto"/>
              </w:rPr>
              <w:t>06-0918165</w:t>
            </w:r>
          </w:p>
        </w:tc>
      </w:tr>
      <w:tr>
        <w:trPr>
          <w:trHeight w:val="192"/>
        </w:trPr>
        <w:tc>
          <w:tcPr>
            <w:tcW w:w="2940" w:type="dxa"/>
            <w:vAlign w:val="bottom"/>
          </w:tcPr>
          <w:p>
            <w:pPr>
              <w:jc w:val="center"/>
              <w:ind w:right="388"/>
              <w:spacing w:after="0"/>
              <w:rPr>
                <w:sz w:val="20"/>
                <w:szCs w:val="20"/>
                <w:color w:val="auto"/>
              </w:rPr>
            </w:pPr>
            <w:r>
              <w:rPr>
                <w:rFonts w:ascii="Arial" w:cs="Arial" w:eastAsia="Arial" w:hAnsi="Arial"/>
                <w:sz w:val="14"/>
                <w:szCs w:val="14"/>
                <w:i w:val="1"/>
                <w:iCs w:val="1"/>
                <w:color w:val="auto"/>
              </w:rPr>
              <w:t>(State or other jurisdiction of</w:t>
            </w:r>
          </w:p>
        </w:tc>
        <w:tc>
          <w:tcPr>
            <w:tcW w:w="6840" w:type="dxa"/>
            <w:vAlign w:val="bottom"/>
          </w:tcPr>
          <w:p>
            <w:pPr>
              <w:jc w:val="center"/>
              <w:ind w:left="5342"/>
              <w:spacing w:after="0"/>
              <w:rPr>
                <w:sz w:val="20"/>
                <w:szCs w:val="20"/>
                <w:color w:val="auto"/>
              </w:rPr>
            </w:pPr>
            <w:r>
              <w:rPr>
                <w:rFonts w:ascii="Arial" w:cs="Arial" w:eastAsia="Arial" w:hAnsi="Arial"/>
                <w:sz w:val="14"/>
                <w:szCs w:val="14"/>
                <w:i w:val="1"/>
                <w:iCs w:val="1"/>
                <w:color w:val="auto"/>
              </w:rPr>
              <w:t>(I.R.S. Employer</w:t>
            </w:r>
          </w:p>
        </w:tc>
      </w:tr>
      <w:tr>
        <w:trPr>
          <w:trHeight w:val="186"/>
        </w:trPr>
        <w:tc>
          <w:tcPr>
            <w:tcW w:w="2940" w:type="dxa"/>
            <w:vAlign w:val="bottom"/>
          </w:tcPr>
          <w:p>
            <w:pPr>
              <w:jc w:val="center"/>
              <w:ind w:right="388"/>
              <w:spacing w:after="0"/>
              <w:rPr>
                <w:sz w:val="20"/>
                <w:szCs w:val="20"/>
                <w:color w:val="auto"/>
              </w:rPr>
            </w:pPr>
            <w:r>
              <w:rPr>
                <w:rFonts w:ascii="Arial" w:cs="Arial" w:eastAsia="Arial" w:hAnsi="Arial"/>
                <w:sz w:val="14"/>
                <w:szCs w:val="14"/>
                <w:i w:val="1"/>
                <w:iCs w:val="1"/>
                <w:color w:val="auto"/>
              </w:rPr>
              <w:t>incorporation or organization)</w:t>
            </w:r>
          </w:p>
        </w:tc>
        <w:tc>
          <w:tcPr>
            <w:tcW w:w="6840" w:type="dxa"/>
            <w:vAlign w:val="bottom"/>
          </w:tcPr>
          <w:p>
            <w:pPr>
              <w:jc w:val="center"/>
              <w:ind w:left="5362"/>
              <w:spacing w:after="0"/>
              <w:rPr>
                <w:sz w:val="20"/>
                <w:szCs w:val="20"/>
                <w:color w:val="auto"/>
              </w:rPr>
            </w:pPr>
            <w:r>
              <w:rPr>
                <w:rFonts w:ascii="Arial" w:cs="Arial" w:eastAsia="Arial" w:hAnsi="Arial"/>
                <w:sz w:val="14"/>
                <w:szCs w:val="14"/>
                <w:i w:val="1"/>
                <w:iCs w:val="1"/>
                <w:color w:val="auto"/>
              </w:rPr>
              <w:t>Identification Number)</w:t>
            </w:r>
          </w:p>
        </w:tc>
      </w:tr>
      <w:tr>
        <w:trPr>
          <w:trHeight w:val="188"/>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6 Sylvan Way</w:t>
            </w:r>
          </w:p>
        </w:tc>
        <w:tc>
          <w:tcPr>
            <w:tcW w:w="6840" w:type="dxa"/>
            <w:vAlign w:val="bottom"/>
          </w:tcPr>
          <w:p>
            <w:pPr>
              <w:spacing w:after="0"/>
              <w:rPr>
                <w:sz w:val="16"/>
                <w:szCs w:val="16"/>
                <w:color w:val="auto"/>
              </w:rPr>
            </w:pPr>
          </w:p>
        </w:tc>
      </w:tr>
      <w:tr>
        <w:trPr>
          <w:trHeight w:val="190"/>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Parsippany, NJ</w:t>
            </w:r>
          </w:p>
        </w:tc>
        <w:tc>
          <w:tcPr>
            <w:tcW w:w="6840" w:type="dxa"/>
            <w:vAlign w:val="bottom"/>
          </w:tcPr>
          <w:p>
            <w:pPr>
              <w:jc w:val="right"/>
              <w:ind w:right="422"/>
              <w:spacing w:after="0"/>
              <w:rPr>
                <w:sz w:val="20"/>
                <w:szCs w:val="20"/>
                <w:color w:val="auto"/>
              </w:rPr>
            </w:pPr>
            <w:r>
              <w:rPr>
                <w:rFonts w:ascii="Arial" w:cs="Arial" w:eastAsia="Arial" w:hAnsi="Arial"/>
                <w:sz w:val="14"/>
                <w:szCs w:val="14"/>
                <w:b w:val="1"/>
                <w:bCs w:val="1"/>
                <w:color w:val="auto"/>
              </w:rPr>
              <w:t>07054</w:t>
            </w:r>
          </w:p>
        </w:tc>
      </w:tr>
      <w:tr>
        <w:trPr>
          <w:trHeight w:val="270"/>
        </w:trPr>
        <w:tc>
          <w:tcPr>
            <w:tcW w:w="2940" w:type="dxa"/>
            <w:vAlign w:val="bottom"/>
          </w:tcPr>
          <w:p>
            <w:pPr>
              <w:jc w:val="center"/>
              <w:ind w:right="408"/>
              <w:spacing w:after="0"/>
              <w:rPr>
                <w:sz w:val="20"/>
                <w:szCs w:val="20"/>
                <w:color w:val="auto"/>
              </w:rPr>
            </w:pPr>
            <w:r>
              <w:rPr>
                <w:rFonts w:ascii="Arial" w:cs="Arial" w:eastAsia="Arial" w:hAnsi="Arial"/>
                <w:sz w:val="14"/>
                <w:szCs w:val="14"/>
                <w:i w:val="1"/>
                <w:iCs w:val="1"/>
                <w:color w:val="auto"/>
              </w:rPr>
              <w:t>(Address of principal executive offices)</w:t>
            </w:r>
          </w:p>
        </w:tc>
        <w:tc>
          <w:tcPr>
            <w:tcW w:w="6840" w:type="dxa"/>
            <w:vAlign w:val="bottom"/>
          </w:tcPr>
          <w:p>
            <w:pPr>
              <w:jc w:val="center"/>
              <w:ind w:left="5362"/>
              <w:spacing w:after="0"/>
              <w:rPr>
                <w:sz w:val="20"/>
                <w:szCs w:val="20"/>
                <w:color w:val="auto"/>
              </w:rPr>
            </w:pPr>
            <w:r>
              <w:rPr>
                <w:rFonts w:ascii="Arial" w:cs="Arial" w:eastAsia="Arial" w:hAnsi="Arial"/>
                <w:sz w:val="14"/>
                <w:szCs w:val="14"/>
                <w:i w:val="1"/>
                <w:iCs w:val="1"/>
                <w:color w:val="auto"/>
              </w:rPr>
              <w:t>(Zip Code)</w:t>
            </w:r>
          </w:p>
        </w:tc>
      </w:tr>
      <w:tr>
        <w:trPr>
          <w:trHeight w:val="192"/>
        </w:trPr>
        <w:tc>
          <w:tcPr>
            <w:tcW w:w="2940" w:type="dxa"/>
            <w:vAlign w:val="bottom"/>
          </w:tcPr>
          <w:p>
            <w:pPr>
              <w:spacing w:after="0"/>
              <w:rPr>
                <w:sz w:val="16"/>
                <w:szCs w:val="16"/>
                <w:color w:val="auto"/>
              </w:rPr>
            </w:pPr>
          </w:p>
        </w:tc>
        <w:tc>
          <w:tcPr>
            <w:tcW w:w="6840" w:type="dxa"/>
            <w:vAlign w:val="bottom"/>
          </w:tcPr>
          <w:p>
            <w:pPr>
              <w:jc w:val="center"/>
              <w:ind w:right="2262"/>
              <w:spacing w:after="0"/>
              <w:rPr>
                <w:sz w:val="20"/>
                <w:szCs w:val="20"/>
                <w:color w:val="auto"/>
              </w:rPr>
            </w:pPr>
            <w:r>
              <w:rPr>
                <w:rFonts w:ascii="Arial" w:cs="Arial" w:eastAsia="Arial" w:hAnsi="Arial"/>
                <w:sz w:val="14"/>
                <w:szCs w:val="14"/>
                <w:b w:val="1"/>
                <w:bCs w:val="1"/>
                <w:color w:val="auto"/>
              </w:rPr>
              <w:t>(973) 496-4700</w:t>
            </w:r>
          </w:p>
        </w:tc>
      </w:tr>
      <w:tr>
        <w:trPr>
          <w:trHeight w:val="186"/>
        </w:trPr>
        <w:tc>
          <w:tcPr>
            <w:tcW w:w="2940" w:type="dxa"/>
            <w:vAlign w:val="bottom"/>
          </w:tcPr>
          <w:p>
            <w:pPr>
              <w:spacing w:after="0"/>
              <w:rPr>
                <w:sz w:val="16"/>
                <w:szCs w:val="16"/>
                <w:color w:val="auto"/>
              </w:rPr>
            </w:pPr>
          </w:p>
        </w:tc>
        <w:tc>
          <w:tcPr>
            <w:tcW w:w="6840" w:type="dxa"/>
            <w:vAlign w:val="bottom"/>
          </w:tcPr>
          <w:p>
            <w:pPr>
              <w:jc w:val="center"/>
              <w:ind w:right="2262"/>
              <w:spacing w:after="0"/>
              <w:rPr>
                <w:sz w:val="20"/>
                <w:szCs w:val="20"/>
                <w:color w:val="auto"/>
              </w:rPr>
            </w:pPr>
            <w:r>
              <w:rPr>
                <w:rFonts w:ascii="Arial" w:cs="Arial" w:eastAsia="Arial" w:hAnsi="Arial"/>
                <w:sz w:val="14"/>
                <w:szCs w:val="14"/>
                <w:i w:val="1"/>
                <w:iCs w:val="1"/>
                <w:color w:val="auto"/>
              </w:rPr>
              <w:t>(Registrant’s telephone number, including area code)</w:t>
            </w:r>
          </w:p>
        </w:tc>
      </w:tr>
    </w:tbl>
    <w:p>
      <w:pPr>
        <w:spacing w:after="0" w:line="98" w:lineRule="exact"/>
        <w:rPr>
          <w:sz w:val="24"/>
          <w:szCs w:val="24"/>
          <w:color w:val="auto"/>
        </w:rPr>
      </w:pPr>
    </w:p>
    <w:p>
      <w:pPr>
        <w:ind w:right="80"/>
        <w:spacing w:after="0" w:line="269"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154" w:lineRule="exact"/>
        <w:rPr>
          <w:sz w:val="24"/>
          <w:szCs w:val="24"/>
          <w:color w:val="auto"/>
        </w:rPr>
      </w:pPr>
    </w:p>
    <w:p>
      <w:pPr>
        <w:spacing w:after="0" w:line="275" w:lineRule="auto"/>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136" w:lineRule="exact"/>
        <w:rPr>
          <w:sz w:val="24"/>
          <w:szCs w:val="24"/>
          <w:color w:val="auto"/>
        </w:rPr>
      </w:pPr>
    </w:p>
    <w:p>
      <w:pPr>
        <w:ind w:right="8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25" w:lineRule="exact"/>
        <w:rPr>
          <w:sz w:val="24"/>
          <w:szCs w:val="24"/>
          <w:color w:val="auto"/>
        </w:rPr>
      </w:pPr>
    </w:p>
    <w:tbl>
      <w:tblPr>
        <w:tblLayout w:type="fixed"/>
        <w:tblInd w:w="40" w:type="dxa"/>
        <w:tblCellMar>
          <w:top w:w="0" w:type="dxa"/>
          <w:left w:w="0" w:type="dxa"/>
          <w:bottom w:w="0" w:type="dxa"/>
          <w:right w:w="0" w:type="dxa"/>
        </w:tblCellMar>
      </w:tblPr>
      <w:tr>
        <w:trPr>
          <w:trHeight w:val="227"/>
        </w:trPr>
        <w:tc>
          <w:tcPr>
            <w:tcW w:w="26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100" w:type="dxa"/>
            <w:vAlign w:val="bottom"/>
          </w:tcPr>
          <w:p>
            <w:pPr>
              <w:ind w:left="940"/>
              <w:spacing w:after="0"/>
              <w:rPr>
                <w:sz w:val="20"/>
                <w:szCs w:val="20"/>
                <w:color w:val="auto"/>
              </w:rPr>
            </w:pPr>
            <w:r>
              <w:rPr>
                <w:rFonts w:ascii="Arial" w:cs="Arial" w:eastAsia="Arial" w:hAnsi="Arial"/>
                <w:sz w:val="16"/>
                <w:szCs w:val="16"/>
                <w:color w:val="auto"/>
              </w:rPr>
              <w:t>x</w:t>
            </w:r>
          </w:p>
        </w:tc>
        <w:tc>
          <w:tcPr>
            <w:tcW w:w="2680" w:type="dxa"/>
            <w:vAlign w:val="bottom"/>
          </w:tcPr>
          <w:p>
            <w:pPr>
              <w:ind w:left="80"/>
              <w:spacing w:after="0"/>
              <w:rPr>
                <w:sz w:val="20"/>
                <w:szCs w:val="20"/>
                <w:color w:val="auto"/>
              </w:rPr>
            </w:pPr>
            <w:r>
              <w:rPr>
                <w:rFonts w:ascii="Arial" w:cs="Arial" w:eastAsia="Arial" w:hAnsi="Arial"/>
                <w:sz w:val="14"/>
                <w:szCs w:val="14"/>
                <w:color w:val="auto"/>
              </w:rPr>
              <w:t>Accelerated filer</w:t>
            </w:r>
          </w:p>
        </w:tc>
        <w:tc>
          <w:tcPr>
            <w:tcW w:w="1040" w:type="dxa"/>
            <w:vAlign w:val="bottom"/>
          </w:tcPr>
          <w:p>
            <w:pPr>
              <w:ind w:left="880"/>
              <w:spacing w:after="0"/>
              <w:rPr>
                <w:sz w:val="20"/>
                <w:szCs w:val="20"/>
                <w:color w:val="auto"/>
              </w:rPr>
            </w:pPr>
            <w:r>
              <w:rPr>
                <w:rFonts w:ascii="Arial" w:cs="Arial" w:eastAsia="Arial" w:hAnsi="Arial"/>
                <w:sz w:val="16"/>
                <w:szCs w:val="16"/>
                <w:color w:val="auto"/>
              </w:rPr>
              <w:t>o</w:t>
            </w:r>
          </w:p>
        </w:tc>
        <w:tc>
          <w:tcPr>
            <w:tcW w:w="2480" w:type="dxa"/>
            <w:vAlign w:val="bottom"/>
          </w:tcPr>
          <w:p>
            <w:pPr>
              <w:ind w:left="80"/>
              <w:spacing w:after="0"/>
              <w:rPr>
                <w:sz w:val="20"/>
                <w:szCs w:val="20"/>
                <w:color w:val="auto"/>
              </w:rPr>
            </w:pPr>
            <w:r>
              <w:rPr>
                <w:rFonts w:ascii="Arial" w:cs="Arial" w:eastAsia="Arial" w:hAnsi="Arial"/>
                <w:sz w:val="14"/>
                <w:szCs w:val="14"/>
                <w:color w:val="auto"/>
              </w:rPr>
              <w:t>Non-accelerated filer</w:t>
            </w:r>
          </w:p>
        </w:tc>
        <w:tc>
          <w:tcPr>
            <w:tcW w:w="1160" w:type="dxa"/>
            <w:vAlign w:val="bottom"/>
          </w:tcPr>
          <w:p>
            <w:pPr>
              <w:ind w:left="1080"/>
              <w:spacing w:after="0"/>
              <w:rPr>
                <w:sz w:val="20"/>
                <w:szCs w:val="20"/>
                <w:color w:val="auto"/>
              </w:rPr>
            </w:pPr>
            <w:r>
              <w:rPr>
                <w:rFonts w:ascii="Arial" w:cs="Arial" w:eastAsia="Arial" w:hAnsi="Arial"/>
                <w:sz w:val="15"/>
                <w:szCs w:val="15"/>
                <w:color w:val="auto"/>
                <w:w w:val="71"/>
              </w:rPr>
              <w:t>o</w:t>
            </w:r>
          </w:p>
        </w:tc>
      </w:tr>
      <w:tr>
        <w:trPr>
          <w:trHeight w:val="270"/>
        </w:trPr>
        <w:tc>
          <w:tcPr>
            <w:tcW w:w="2660" w:type="dxa"/>
            <w:vAlign w:val="bottom"/>
          </w:tcPr>
          <w:p>
            <w:pPr>
              <w:spacing w:after="0"/>
              <w:rPr>
                <w:sz w:val="20"/>
                <w:szCs w:val="20"/>
                <w:color w:val="auto"/>
              </w:rPr>
            </w:pPr>
            <w:r>
              <w:rPr>
                <w:rFonts w:ascii="Arial" w:cs="Arial" w:eastAsia="Arial" w:hAnsi="Arial"/>
                <w:sz w:val="14"/>
                <w:szCs w:val="14"/>
                <w:color w:val="auto"/>
              </w:rPr>
              <w:t>Smaller reporting company</w:t>
            </w:r>
          </w:p>
        </w:tc>
        <w:tc>
          <w:tcPr>
            <w:tcW w:w="1100" w:type="dxa"/>
            <w:vAlign w:val="bottom"/>
          </w:tcPr>
          <w:p>
            <w:pPr>
              <w:ind w:left="940"/>
              <w:spacing w:after="0"/>
              <w:rPr>
                <w:sz w:val="20"/>
                <w:szCs w:val="20"/>
                <w:color w:val="auto"/>
              </w:rPr>
            </w:pPr>
            <w:r>
              <w:rPr>
                <w:rFonts w:ascii="Arial" w:cs="Arial" w:eastAsia="Arial" w:hAnsi="Arial"/>
                <w:sz w:val="16"/>
                <w:szCs w:val="16"/>
                <w:color w:val="auto"/>
              </w:rPr>
              <w:t>o</w:t>
            </w:r>
          </w:p>
        </w:tc>
        <w:tc>
          <w:tcPr>
            <w:tcW w:w="2680" w:type="dxa"/>
            <w:vAlign w:val="bottom"/>
          </w:tcPr>
          <w:p>
            <w:pPr>
              <w:ind w:left="80"/>
              <w:spacing w:after="0"/>
              <w:rPr>
                <w:sz w:val="20"/>
                <w:szCs w:val="20"/>
                <w:color w:val="auto"/>
              </w:rPr>
            </w:pPr>
            <w:r>
              <w:rPr>
                <w:rFonts w:ascii="Arial" w:cs="Arial" w:eastAsia="Arial" w:hAnsi="Arial"/>
                <w:sz w:val="14"/>
                <w:szCs w:val="14"/>
                <w:color w:val="auto"/>
              </w:rPr>
              <w:t>Emerging growth company</w:t>
            </w:r>
          </w:p>
        </w:tc>
        <w:tc>
          <w:tcPr>
            <w:tcW w:w="1040" w:type="dxa"/>
            <w:vAlign w:val="bottom"/>
          </w:tcPr>
          <w:p>
            <w:pPr>
              <w:ind w:left="880"/>
              <w:spacing w:after="0"/>
              <w:rPr>
                <w:sz w:val="20"/>
                <w:szCs w:val="20"/>
                <w:color w:val="auto"/>
              </w:rPr>
            </w:pPr>
            <w:r>
              <w:rPr>
                <w:rFonts w:ascii="Arial" w:cs="Arial" w:eastAsia="Arial" w:hAnsi="Arial"/>
                <w:sz w:val="16"/>
                <w:szCs w:val="16"/>
                <w:color w:val="auto"/>
              </w:rPr>
              <w:t>o</w:t>
            </w:r>
          </w:p>
        </w:tc>
        <w:tc>
          <w:tcPr>
            <w:tcW w:w="2480" w:type="dxa"/>
            <w:vAlign w:val="bottom"/>
          </w:tcPr>
          <w:p>
            <w:pPr>
              <w:spacing w:after="0"/>
              <w:rPr>
                <w:sz w:val="23"/>
                <w:szCs w:val="23"/>
                <w:color w:val="auto"/>
              </w:rPr>
            </w:pPr>
          </w:p>
        </w:tc>
        <w:tc>
          <w:tcPr>
            <w:tcW w:w="1160" w:type="dxa"/>
            <w:vAlign w:val="bottom"/>
          </w:tcPr>
          <w:p>
            <w:pPr>
              <w:spacing w:after="0"/>
              <w:rPr>
                <w:sz w:val="23"/>
                <w:szCs w:val="23"/>
                <w:color w:val="auto"/>
              </w:rPr>
            </w:pPr>
          </w:p>
        </w:tc>
      </w:tr>
    </w:tbl>
    <w:p>
      <w:pPr>
        <w:spacing w:after="0" w:line="219" w:lineRule="exact"/>
        <w:rPr>
          <w:sz w:val="24"/>
          <w:szCs w:val="24"/>
          <w:color w:val="auto"/>
        </w:rPr>
      </w:pPr>
    </w:p>
    <w:p>
      <w:pPr>
        <w:ind w:right="400"/>
        <w:spacing w:after="0" w:line="269"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125" w:lineRule="exact"/>
        <w:rPr>
          <w:sz w:val="24"/>
          <w:szCs w:val="24"/>
          <w:color w:val="auto"/>
        </w:rPr>
      </w:pPr>
    </w:p>
    <w:p>
      <w:pPr>
        <w:spacing w:after="0"/>
        <w:tabs>
          <w:tab w:leader="none" w:pos="7340" w:val="left"/>
          <w:tab w:leader="none" w:pos="79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Arial" w:cs="Arial" w:eastAsia="Arial" w:hAnsi="Arial"/>
          <w:sz w:val="16"/>
          <w:szCs w:val="16"/>
          <w:color w:val="auto"/>
        </w:rPr>
        <w:t>o</w:t>
      </w:r>
      <w:r>
        <w:rPr>
          <w:rFonts w:ascii="Arial" w:cs="Arial" w:eastAsia="Arial" w:hAnsi="Arial"/>
          <w:sz w:val="14"/>
          <w:szCs w:val="14"/>
          <w:color w:val="auto"/>
        </w:rPr>
        <w:tab/>
        <w:t xml:space="preserve">No </w:t>
      </w:r>
      <w:r>
        <w:rPr>
          <w:rFonts w:ascii="Arial" w:cs="Arial" w:eastAsia="Arial" w:hAnsi="Arial"/>
          <w:sz w:val="16"/>
          <w:szCs w:val="16"/>
          <w:color w:val="auto"/>
        </w:rPr>
        <w:t>x</w:t>
      </w:r>
    </w:p>
    <w:p>
      <w:pPr>
        <w:spacing w:after="0" w:line="236"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issuer’s common stock was 81,259,043 shares as of April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03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03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40"/>
          </w:cols>
          <w:pgMar w:left="240" w:top="247"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r>
      <w:tr>
        <w:trPr>
          <w:trHeight w:val="223"/>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68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Financial Information</w:t>
              </w:r>
            </w:hyperlink>
          </w:p>
        </w:tc>
        <w:tc>
          <w:tcPr>
            <w:tcW w:w="7880" w:type="dxa"/>
            <w:vAlign w:val="bottom"/>
            <w:gridSpan w:val="9"/>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w:t>
              </w:r>
            </w:hyperlink>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9080" w:type="dxa"/>
            <w:vAlign w:val="bottom"/>
            <w:gridSpan w:val="15"/>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Consolidated Condensed Statements of Comprehensive Income for the Three Months Ended March 31, 2018 and</w:t>
              </w:r>
            </w:hyperlink>
          </w:p>
        </w:tc>
        <w:tc>
          <w:tcPr>
            <w:tcW w:w="480" w:type="dxa"/>
            <w:vAlign w:val="bottom"/>
          </w:tcPr>
          <w:p>
            <w:pPr>
              <w:spacing w:after="0"/>
              <w:rPr>
                <w:sz w:val="21"/>
                <w:szCs w:val="21"/>
                <w:color w:val="auto"/>
              </w:rPr>
            </w:pPr>
          </w:p>
        </w:tc>
        <w:tc>
          <w:tcPr>
            <w:tcW w:w="72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183"/>
        </w:trPr>
        <w:tc>
          <w:tcPr>
            <w:tcW w:w="1020" w:type="dxa"/>
            <w:vAlign w:val="bottom"/>
          </w:tcPr>
          <w:p>
            <w:pPr>
              <w:spacing w:after="0"/>
              <w:rPr>
                <w:sz w:val="15"/>
                <w:szCs w:val="15"/>
                <w:color w:val="auto"/>
              </w:rPr>
            </w:pPr>
          </w:p>
        </w:tc>
        <w:tc>
          <w:tcPr>
            <w:tcW w:w="14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2017 (Unaudited)</w:t>
              </w:r>
            </w:hyperlink>
          </w:p>
        </w:tc>
        <w:tc>
          <w:tcPr>
            <w:tcW w:w="7680" w:type="dxa"/>
            <w:vAlign w:val="bottom"/>
            <w:tcBorders>
              <w:top w:val="single" w:sz="8" w:color="0000EE"/>
            </w:tcBorders>
            <w:gridSpan w:val="10"/>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Condensed Balance Sheets as of March 31, 2018 and December 31, 2017 (Unaudited)</w:t>
              </w:r>
            </w:hyperlink>
          </w:p>
        </w:tc>
        <w:tc>
          <w:tcPr>
            <w:tcW w:w="720" w:type="dxa"/>
            <w:vAlign w:val="bottom"/>
            <w:gridSpan w:val="4"/>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9560" w:type="dxa"/>
            <w:vAlign w:val="bottom"/>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Condensed Statements of Cash Flows for the Three Months Ended March 31, 2018 and 2017</w:t>
              </w:r>
            </w:hyperlink>
          </w:p>
        </w:tc>
        <w:tc>
          <w:tcPr>
            <w:tcW w:w="720" w:type="dxa"/>
            <w:vAlign w:val="bottom"/>
            <w:gridSpan w:val="4"/>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183"/>
        </w:trPr>
        <w:tc>
          <w:tcPr>
            <w:tcW w:w="1020" w:type="dxa"/>
            <w:vAlign w:val="bottom"/>
          </w:tcPr>
          <w:p>
            <w:pPr>
              <w:spacing w:after="0"/>
              <w:rPr>
                <w:sz w:val="15"/>
                <w:szCs w:val="15"/>
                <w:color w:val="auto"/>
              </w:rPr>
            </w:pPr>
          </w:p>
        </w:tc>
        <w:tc>
          <w:tcPr>
            <w:tcW w:w="856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(Unaudited)</w:t>
              </w:r>
            </w:hyperlink>
          </w:p>
        </w:tc>
        <w:tc>
          <w:tcPr>
            <w:tcW w:w="100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6"/>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Consolidated Condensed Financial Statements (Unaudited)</w:t>
              </w:r>
            </w:hyperlink>
          </w:p>
        </w:tc>
        <w:tc>
          <w:tcPr>
            <w:tcW w:w="720" w:type="dxa"/>
            <w:vAlign w:val="bottom"/>
            <w:gridSpan w:val="4"/>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6"/>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Management’s Discussion and Analysis of Financial Condition and Results of Operations</w:t>
              </w:r>
            </w:hyperlink>
          </w:p>
        </w:tc>
        <w:tc>
          <w:tcPr>
            <w:tcW w:w="720" w:type="dxa"/>
            <w:vAlign w:val="bottom"/>
            <w:gridSpan w:val="4"/>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34</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700" w:type="dxa"/>
            <w:vAlign w:val="bottom"/>
            <w:gridSpan w:val="9"/>
          </w:tcPr>
          <w:p>
            <w:pPr>
              <w:spacing w:after="0"/>
              <w:rPr>
                <w:rFonts w:ascii="Arial" w:cs="Arial" w:eastAsia="Arial" w:hAnsi="Arial"/>
                <w:sz w:val="18"/>
                <w:szCs w:val="18"/>
                <w:color w:val="0000FF"/>
                <w:w w:val="99"/>
              </w:rPr>
            </w:pPr>
            <w:hyperlink w:anchor="page43">
              <w:r>
                <w:rPr>
                  <w:rFonts w:ascii="Arial" w:cs="Arial" w:eastAsia="Arial" w:hAnsi="Arial"/>
                  <w:sz w:val="18"/>
                  <w:szCs w:val="18"/>
                  <w:color w:val="0000FF"/>
                  <w:w w:val="99"/>
                </w:rPr>
                <w:t>Quantitative and Qualitative Disclosures about Market Risk</w:t>
              </w:r>
            </w:hyperlink>
          </w:p>
        </w:tc>
        <w:tc>
          <w:tcPr>
            <w:tcW w:w="2380" w:type="dxa"/>
            <w:vAlign w:val="bottom"/>
            <w:gridSpan w:val="3"/>
          </w:tcPr>
          <w:p>
            <w:pPr>
              <w:spacing w:after="0"/>
              <w:rPr>
                <w:sz w:val="20"/>
                <w:szCs w:val="20"/>
                <w:color w:val="auto"/>
              </w:rPr>
            </w:pPr>
          </w:p>
        </w:tc>
        <w:tc>
          <w:tcPr>
            <w:tcW w:w="2480" w:type="dxa"/>
            <w:vAlign w:val="bottom"/>
            <w:gridSpan w:val="4"/>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41</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gridSpan w:val="8"/>
          </w:tcPr>
          <w:p>
            <w:pPr>
              <w:spacing w:after="0"/>
              <w:rPr>
                <w:rFonts w:ascii="Arial" w:cs="Arial" w:eastAsia="Arial" w:hAnsi="Arial"/>
                <w:sz w:val="18"/>
                <w:szCs w:val="18"/>
                <w:color w:val="0000FF"/>
                <w:w w:val="99"/>
              </w:rPr>
            </w:pPr>
            <w:hyperlink w:anchor="page43">
              <w:r>
                <w:rPr>
                  <w:rFonts w:ascii="Arial" w:cs="Arial" w:eastAsia="Arial" w:hAnsi="Arial"/>
                  <w:sz w:val="18"/>
                  <w:szCs w:val="18"/>
                  <w:color w:val="0000FF"/>
                  <w:w w:val="99"/>
                </w:rPr>
                <w:t>Controls and Procedures</w:t>
              </w:r>
            </w:hyperlink>
          </w:p>
        </w:tc>
        <w:tc>
          <w:tcPr>
            <w:tcW w:w="2700" w:type="dxa"/>
            <w:vAlign w:val="bottom"/>
          </w:tcPr>
          <w:p>
            <w:pPr>
              <w:spacing w:after="0"/>
              <w:rPr>
                <w:sz w:val="20"/>
                <w:szCs w:val="20"/>
                <w:color w:val="auto"/>
              </w:rPr>
            </w:pPr>
          </w:p>
        </w:tc>
        <w:tc>
          <w:tcPr>
            <w:tcW w:w="4860" w:type="dxa"/>
            <w:vAlign w:val="bottom"/>
            <w:gridSpan w:val="7"/>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3">
              <w:r>
                <w:rPr>
                  <w:rFonts w:ascii="Arial" w:cs="Arial" w:eastAsia="Arial" w:hAnsi="Arial"/>
                  <w:sz w:val="18"/>
                  <w:szCs w:val="18"/>
                  <w:color w:val="0000FF"/>
                </w:rPr>
                <w:t>41</w:t>
              </w:r>
            </w:hyperlink>
          </w:p>
        </w:tc>
      </w:tr>
      <w:tr>
        <w:trPr>
          <w:trHeight w:val="237"/>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Other Information</w:t>
              </w:r>
            </w:hyperlink>
          </w:p>
        </w:tc>
        <w:tc>
          <w:tcPr>
            <w:tcW w:w="7560" w:type="dxa"/>
            <w:vAlign w:val="bottom"/>
            <w:gridSpan w:val="8"/>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6"/>
          </w:tcPr>
          <w:p>
            <w:pPr>
              <w:spacing w:after="0"/>
              <w:rPr>
                <w:rFonts w:ascii="Arial" w:cs="Arial" w:eastAsia="Arial" w:hAnsi="Arial"/>
                <w:sz w:val="18"/>
                <w:szCs w:val="18"/>
                <w:color w:val="0000FF"/>
                <w:w w:val="99"/>
              </w:rPr>
            </w:pPr>
            <w:hyperlink w:anchor="page44">
              <w:r>
                <w:rPr>
                  <w:rFonts w:ascii="Arial" w:cs="Arial" w:eastAsia="Arial" w:hAnsi="Arial"/>
                  <w:sz w:val="18"/>
                  <w:szCs w:val="18"/>
                  <w:color w:val="0000FF"/>
                  <w:w w:val="99"/>
                </w:rPr>
                <w:t>Legal Proceedings</w:t>
              </w:r>
            </w:hyperlink>
          </w:p>
        </w:tc>
        <w:tc>
          <w:tcPr>
            <w:tcW w:w="8060" w:type="dxa"/>
            <w:vAlign w:val="bottom"/>
            <w:gridSpan w:val="10"/>
          </w:tcPr>
          <w:p>
            <w:pPr>
              <w:spacing w:after="0"/>
              <w:rPr>
                <w:sz w:val="21"/>
                <w:szCs w:val="21"/>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42</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360" w:type="dxa"/>
            <w:vAlign w:val="bottom"/>
            <w:gridSpan w:val="4"/>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8060" w:type="dxa"/>
            <w:vAlign w:val="bottom"/>
            <w:gridSpan w:val="10"/>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60" w:type="dxa"/>
            <w:vAlign w:val="bottom"/>
            <w:gridSpan w:val="6"/>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gridSpan w:val="10"/>
          </w:tcPr>
          <w:p>
            <w:pPr>
              <w:spacing w:after="0"/>
              <w:rPr>
                <w:rFonts w:ascii="Arial" w:cs="Arial" w:eastAsia="Arial" w:hAnsi="Arial"/>
                <w:sz w:val="18"/>
                <w:szCs w:val="18"/>
                <w:color w:val="0000EE"/>
                <w:w w:val="99"/>
              </w:rPr>
            </w:pPr>
            <w:hyperlink w:anchor="page44">
              <w:r>
                <w:rPr>
                  <w:rFonts w:ascii="Arial" w:cs="Arial" w:eastAsia="Arial" w:hAnsi="Arial"/>
                  <w:sz w:val="18"/>
                  <w:szCs w:val="18"/>
                  <w:color w:val="0000EE"/>
                  <w:w w:val="99"/>
                </w:rPr>
                <w:t>Unregistered Sales of Equity Securities and Use of Proceeds</w:t>
              </w:r>
            </w:hyperlink>
          </w:p>
        </w:tc>
        <w:tc>
          <w:tcPr>
            <w:tcW w:w="4700" w:type="dxa"/>
            <w:vAlign w:val="bottom"/>
            <w:gridSpan w:val="6"/>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42</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0" w:type="dxa"/>
            <w:vAlign w:val="bottom"/>
            <w:gridSpan w:val="8"/>
            <w:shd w:val="clear" w:color="auto" w:fill="0000EE"/>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rFonts w:ascii="Arial" w:cs="Arial" w:eastAsia="Arial" w:hAnsi="Arial"/>
                <w:sz w:val="18"/>
                <w:szCs w:val="18"/>
                <w:color w:val="0000FF"/>
                <w:w w:val="98"/>
              </w:rPr>
            </w:pPr>
            <w:hyperlink w:anchor="page44">
              <w:r>
                <w:rPr>
                  <w:rFonts w:ascii="Arial" w:cs="Arial" w:eastAsia="Arial" w:hAnsi="Arial"/>
                  <w:sz w:val="18"/>
                  <w:szCs w:val="18"/>
                  <w:color w:val="0000FF"/>
                  <w:w w:val="98"/>
                </w:rPr>
                <w:t>Exhibits</w:t>
              </w:r>
            </w:hyperlink>
          </w:p>
        </w:tc>
        <w:tc>
          <w:tcPr>
            <w:tcW w:w="4220" w:type="dxa"/>
            <w:vAlign w:val="bottom"/>
            <w:gridSpan w:val="9"/>
          </w:tcPr>
          <w:p>
            <w:pPr>
              <w:spacing w:after="0"/>
              <w:rPr>
                <w:sz w:val="20"/>
                <w:szCs w:val="20"/>
                <w:color w:val="auto"/>
              </w:rPr>
            </w:pPr>
          </w:p>
        </w:tc>
        <w:tc>
          <w:tcPr>
            <w:tcW w:w="4700" w:type="dxa"/>
            <w:vAlign w:val="bottom"/>
            <w:gridSpan w:val="6"/>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42</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700" w:type="dxa"/>
            <w:vAlign w:val="bottom"/>
            <w:gridSpan w:val="1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6"/>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Signatures</w:t>
              </w:r>
            </w:hyperlink>
          </w:p>
        </w:tc>
        <w:tc>
          <w:tcPr>
            <w:tcW w:w="720" w:type="dxa"/>
            <w:vAlign w:val="bottom"/>
            <w:gridSpan w:val="4"/>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43</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340"/>
          </w:cols>
          <w:pgMar w:left="240" w:top="140" w:right="3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w:t>
      </w:r>
    </w:p>
    <w:p>
      <w:pPr>
        <w:spacing w:after="0" w:line="206"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high level of competition in the vehicle rental industry and the impact such competition may have on pricing and rental volume;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travel demand, including changes or disruptions in airline passenger traffic;</w:t>
      </w:r>
    </w:p>
    <w:p>
      <w:pPr>
        <w:spacing w:after="0" w:line="225"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our fleet costs as a result of a change in the cost of new vehicles, manufacturer recalls, disruption in the supply of new vehicles, and/or a change in the price at which we dispose of used vehicles either in the used vehicle market or under repurchase or guaranteed depreciation programs;</w:t>
      </w:r>
    </w:p>
    <w:p>
      <w:pPr>
        <w:spacing w:after="0" w:line="201"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cars, which could impact their ability to perform their payment obligations under our agreements with them, including repurchase and/or guaranteed depreciation arrangements, and/or their willingness or ability to make cars available to us or the rental car industry as a whole on commercially reasonable terms or at all;</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change in economic conditions generally, particularly during our peak season or in key market segments;</w:t>
      </w:r>
    </w:p>
    <w:p>
      <w:pPr>
        <w:spacing w:after="0" w:line="225"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continue to successfully implement our business strategies, achieve and maintain cost savings and adapt our business to changes in mobility;</w:t>
      </w:r>
    </w:p>
    <w:p>
      <w:pPr>
        <w:spacing w:after="0" w:line="196"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96" w:lineRule="exact"/>
        <w:rPr>
          <w:rFonts w:ascii="Arial" w:cs="Arial" w:eastAsia="Arial" w:hAnsi="Arial"/>
          <w:sz w:val="18"/>
          <w:szCs w:val="18"/>
          <w:color w:val="auto"/>
        </w:rPr>
      </w:pPr>
    </w:p>
    <w:p>
      <w:pPr>
        <w:ind w:left="660" w:right="60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occurrence or threat of terrorism, pandemic disease, natural disasters, military conflict, civil unrest or political instability in the locations in which we operate;</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conform to multiple and conflicting laws or regulations in the countries in which we operate;</w:t>
      </w:r>
    </w:p>
    <w:p>
      <w:pPr>
        <w:spacing w:after="0" w:line="225"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the performance and retention of our senior management and key employees;</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accurately estimate our future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right="36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litigation, governmental or regulatory inquiries, or any failure or inability to comply with laws, regulations or contractual obligations or any changes in laws, regulations or contractual obligations, including with respect to personal identifiable information and consumer privacy, labor and employment, and tax;</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impact on us from the actions of our licensees, dealers, third party vendors and independent contractors;</w:t>
      </w:r>
    </w:p>
    <w:p>
      <w:pPr>
        <w:spacing w:after="0" w:line="22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and our ability to incur substantially more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tax laws and accounting standards;</w:t>
      </w:r>
    </w:p>
    <w:p>
      <w:pPr>
        <w:spacing w:after="0" w:line="225" w:lineRule="exact"/>
        <w:rPr>
          <w:rFonts w:ascii="Arial" w:cs="Arial" w:eastAsia="Arial" w:hAnsi="Arial"/>
          <w:sz w:val="18"/>
          <w:szCs w:val="18"/>
          <w:color w:val="auto"/>
        </w:rPr>
      </w:pPr>
    </w:p>
    <w:p>
      <w:pPr>
        <w:ind w:left="660" w:right="14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spacing w:after="0" w:line="201" w:lineRule="exact"/>
        <w:rPr>
          <w:rFonts w:ascii="Arial" w:cs="Arial" w:eastAsia="Arial" w:hAnsi="Arial"/>
          <w:sz w:val="18"/>
          <w:szCs w:val="18"/>
          <w:color w:val="auto"/>
        </w:rPr>
      </w:pPr>
    </w:p>
    <w:p>
      <w:pPr>
        <w:jc w:val="both"/>
        <w:ind w:left="660" w:right="22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protecting the integrity of, and preventing unauthorized access to, our information technology systems or those of our third party vendors, and protecting the confidential information of our employees and customers against security breaches, including physical or cyber-security breaches, attacks, or other disruptions; and</w:t>
      </w:r>
    </w:p>
    <w:p>
      <w:pPr>
        <w:spacing w:after="0" w:line="201"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19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for the accuracy and completeness of those statements. Other factors and assumptions not identified above, including those discussed in “Management’s Discussion and Analysis of Financial Condition and Results of Operations,” “Risk Factors” and other portions of our 2017 Annual Report on Form 10-K filed with the Securities and Exchange Commission on February 22, 2018 (the “2017 Form 10-K”), could cause actual results to differ materially from those projected in any forward-looking statements.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40"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38" w:lineRule="exact"/>
        <w:rPr>
          <w:sz w:val="20"/>
          <w:szCs w:val="20"/>
          <w:color w:val="auto"/>
        </w:rPr>
      </w:pPr>
    </w:p>
    <w:p>
      <w:pPr>
        <w:ind w:left="90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p>
      <w:pPr>
        <w:ind w:left="962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14605</wp:posOffset>
            </wp:positionV>
            <wp:extent cx="18180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5" w:lineRule="exact"/>
        <w:rPr>
          <w:sz w:val="20"/>
          <w:szCs w:val="20"/>
          <w:color w:val="auto"/>
        </w:rPr>
      </w:pPr>
    </w:p>
    <w:p>
      <w:pPr>
        <w:ind w:left="9040"/>
        <w:spacing w:after="0"/>
        <w:tabs>
          <w:tab w:leader="none" w:pos="1052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28575</wp:posOffset>
            </wp:positionV>
            <wp:extent cx="18180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0" w:lineRule="exact"/>
        <w:rPr>
          <w:sz w:val="20"/>
          <w:szCs w:val="20"/>
          <w:color w:val="auto"/>
        </w:rPr>
      </w:pPr>
    </w:p>
    <w:p>
      <w:pPr>
        <w:ind w:left="40"/>
        <w:spacing w:after="0"/>
        <w:tabs>
          <w:tab w:leader="none" w:pos="8560" w:val="left"/>
          <w:tab w:leader="none" w:pos="9360" w:val="left"/>
          <w:tab w:leader="none" w:pos="10040" w:val="left"/>
          <w:tab w:leader="none" w:pos="10840" w:val="left"/>
        </w:tabs>
        <w:rPr>
          <w:sz w:val="20"/>
          <w:szCs w:val="20"/>
          <w:color w:val="auto"/>
        </w:rPr>
      </w:pPr>
      <w:r>
        <w:rPr>
          <w:rFonts w:ascii="Arial" w:cs="Arial" w:eastAsia="Arial" w:hAnsi="Arial"/>
          <w:sz w:val="18"/>
          <w:szCs w:val="18"/>
          <w:b w:val="1"/>
          <w:bCs w:val="1"/>
          <w:color w:val="auto"/>
        </w:rPr>
        <w:t>Revenues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1,968</w:t>
        <w:tab/>
        <w:t>$</w:t>
      </w:r>
      <w:r>
        <w:rPr>
          <w:sz w:val="20"/>
          <w:szCs w:val="20"/>
          <w:color w:val="auto"/>
        </w:rPr>
        <w:tab/>
      </w:r>
      <w:r>
        <w:rPr>
          <w:rFonts w:ascii="Arial" w:cs="Arial" w:eastAsia="Arial" w:hAnsi="Arial"/>
          <w:sz w:val="18"/>
          <w:szCs w:val="18"/>
          <w:color w:val="auto"/>
        </w:rPr>
        <w:t>1,839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37465</wp:posOffset>
            </wp:positionV>
            <wp:extent cx="18180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8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Expenses</w:t>
      </w:r>
    </w:p>
    <w:p>
      <w:pPr>
        <w:sectPr>
          <w:pgSz w:w="11900" w:h="16838" w:orient="portrait"/>
          <w:cols w:equalWidth="0" w:num="1">
            <w:col w:w="11420"/>
          </w:cols>
          <w:pgMar w:left="240" w:top="140" w:right="239" w:bottom="1084" w:gutter="0" w:footer="0" w:header="0"/>
        </w:sectPr>
      </w:pP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Operating</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Vehicle depreciation and lease charges, net</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Selling, general and administrative</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Vehicle interest, net</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Non-vehicle related depreciation and amortization</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Interest expense related to corporate debt, net:</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Early extinguishment of debt</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Restructuring and other related charges</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Transaction-related costs, net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expenses</w:t>
      </w: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Loss before income taxes</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Benefit from income taxes</w:t>
      </w:r>
    </w:p>
    <w:p>
      <w:pPr>
        <w:spacing w:after="0" w:line="2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loss</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18"/>
                <w:szCs w:val="18"/>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1,049</w:t>
            </w:r>
          </w:p>
        </w:tc>
      </w:tr>
      <w:tr>
        <w:trPr>
          <w:trHeight w:val="270"/>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504</w:t>
            </w:r>
          </w:p>
        </w:tc>
      </w:tr>
      <w:tr>
        <w:trPr>
          <w:trHeight w:val="270"/>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262</w:t>
            </w:r>
          </w:p>
        </w:tc>
      </w:tr>
      <w:tr>
        <w:trPr>
          <w:trHeight w:val="270"/>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64</w:t>
            </w:r>
          </w:p>
        </w:tc>
      </w:tr>
      <w:tr>
        <w:trPr>
          <w:trHeight w:val="270"/>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540"/>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0"/>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0"/>
        </w:trPr>
        <w:tc>
          <w:tcPr>
            <w:tcW w:w="13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7"/>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r>
      <w:tr>
        <w:trPr>
          <w:trHeight w:val="250"/>
        </w:trPr>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21"/>
                <w:szCs w:val="21"/>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2,004</w:t>
            </w:r>
          </w:p>
        </w:tc>
      </w:tr>
    </w:tbl>
    <w:p>
      <w:pPr>
        <w:spacing w:after="0" w:line="269" w:lineRule="exact"/>
        <w:rPr>
          <w:sz w:val="20"/>
          <w:szCs w:val="20"/>
          <w:color w:val="auto"/>
        </w:rPr>
      </w:pPr>
    </w:p>
    <w:p>
      <w:pPr>
        <w:ind w:left="2400" w:hanging="1494"/>
        <w:spacing w:after="0"/>
        <w:tabs>
          <w:tab w:leader="none" w:pos="2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(165)</w:t>
      </w:r>
    </w:p>
    <w:p>
      <w:pPr>
        <w:spacing w:after="0" w:line="63" w:lineRule="exact"/>
        <w:rPr>
          <w:sz w:val="20"/>
          <w:szCs w:val="20"/>
          <w:color w:val="auto"/>
        </w:rPr>
      </w:pPr>
    </w:p>
    <w:p>
      <w:pPr>
        <w:ind w:left="2500" w:hanging="1494"/>
        <w:spacing w:after="0"/>
        <w:tabs>
          <w:tab w:leader="none" w:pos="2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18180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73" w:lineRule="exact"/>
        <w:rPr>
          <w:sz w:val="20"/>
          <w:szCs w:val="20"/>
          <w:color w:val="auto"/>
        </w:rPr>
      </w:pPr>
    </w:p>
    <w:p>
      <w:pPr>
        <w:ind w:left="20"/>
        <w:spacing w:after="0"/>
        <w:tabs>
          <w:tab w:leader="none" w:pos="980" w:val="left"/>
          <w:tab w:leader="none" w:pos="1480" w:val="left"/>
          <w:tab w:leader="none" w:pos="23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(87)</w:t>
        <w:tab/>
        <w:t>$</w:t>
      </w:r>
      <w:r>
        <w:rPr>
          <w:sz w:val="20"/>
          <w:szCs w:val="20"/>
          <w:color w:val="auto"/>
        </w:rPr>
        <w:tab/>
      </w: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181800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18005"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40" w:space="720"/>
            <w:col w:w="2860"/>
          </w:cols>
          <w:pgMar w:left="240" w:top="140" w:right="239" w:bottom="1084" w:gutter="0" w:footer="0" w:header="0"/>
          <w:type w:val="continuous"/>
        </w:sectPr>
      </w:pP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259"/>
        </w:trPr>
        <w:tc>
          <w:tcPr>
            <w:tcW w:w="852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r>
      <w:tr>
        <w:trPr>
          <w:trHeight w:val="473"/>
        </w:trPr>
        <w:tc>
          <w:tcPr>
            <w:tcW w:w="8520" w:type="dxa"/>
            <w:vAlign w:val="bottom"/>
          </w:tcPr>
          <w:p>
            <w:pPr>
              <w:spacing w:after="0"/>
              <w:rPr>
                <w:sz w:val="20"/>
                <w:szCs w:val="20"/>
                <w:color w:val="auto"/>
              </w:rPr>
            </w:pPr>
            <w:r>
              <w:rPr>
                <w:rFonts w:ascii="Arial" w:cs="Arial" w:eastAsia="Arial" w:hAnsi="Arial"/>
                <w:sz w:val="18"/>
                <w:szCs w:val="18"/>
                <w:b w:val="1"/>
                <w:bCs w:val="1"/>
                <w:color w:val="auto"/>
              </w:rPr>
              <w:t>Loss per share</w:t>
            </w: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84"/>
        </w:trPr>
        <w:tc>
          <w:tcPr>
            <w:tcW w:w="8520" w:type="dxa"/>
            <w:vAlign w:val="bottom"/>
          </w:tcPr>
          <w:p>
            <w:pPr>
              <w:ind w:left="220"/>
              <w:spacing w:after="0"/>
              <w:rPr>
                <w:sz w:val="20"/>
                <w:szCs w:val="20"/>
                <w:color w:val="auto"/>
              </w:rPr>
            </w:pPr>
            <w:r>
              <w:rPr>
                <w:rFonts w:ascii="Arial" w:cs="Arial" w:eastAsia="Arial" w:hAnsi="Arial"/>
                <w:sz w:val="18"/>
                <w:szCs w:val="18"/>
                <w:color w:val="auto"/>
              </w:rPr>
              <w:t>Basic</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70"/>
        </w:trPr>
        <w:tc>
          <w:tcPr>
            <w:tcW w:w="8520" w:type="dxa"/>
            <w:vAlign w:val="bottom"/>
          </w:tcPr>
          <w:p>
            <w:pPr>
              <w:ind w:left="220"/>
              <w:spacing w:after="0"/>
              <w:rPr>
                <w:sz w:val="20"/>
                <w:szCs w:val="20"/>
                <w:color w:val="auto"/>
              </w:rPr>
            </w:pPr>
            <w:r>
              <w:rPr>
                <w:rFonts w:ascii="Arial" w:cs="Arial" w:eastAsia="Arial" w:hAnsi="Arial"/>
                <w:sz w:val="18"/>
                <w:szCs w:val="18"/>
                <w:color w:val="auto"/>
              </w:rPr>
              <w:t>Diluted</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20"/>
          </w:cols>
          <w:pgMar w:left="240" w:top="140" w:right="239" w:bottom="1084" w:gutter="0" w:footer="0" w:header="0"/>
          <w:type w:val="continuous"/>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40" w:right="239" w:bottom="1084"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8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7"/>
        </w:trPr>
        <w:tc>
          <w:tcPr>
            <w:tcW w:w="1400" w:type="dxa"/>
            <w:vAlign w:val="bottom"/>
            <w:tcBorders>
              <w:top w:val="single" w:sz="8" w:color="0000EE"/>
            </w:tcBorders>
          </w:tcPr>
          <w:p>
            <w:pPr>
              <w:spacing w:after="0"/>
              <w:rPr>
                <w:sz w:val="24"/>
                <w:szCs w:val="24"/>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Avis Budget Group, Inc.</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CONSOLIDATED CONDENSED BALANCE SHEETS</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(In millions, except par value)</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(Unaudited)</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4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6"/>
        </w:trPr>
        <w:tc>
          <w:tcPr>
            <w:tcW w:w="140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30"/>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Receivables, net</w:t>
            </w:r>
          </w:p>
        </w:tc>
        <w:tc>
          <w:tcPr>
            <w:tcW w:w="28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2,123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459"/>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24"/>
                <w:szCs w:val="24"/>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1,085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Other intangibles, net</w:t>
            </w:r>
          </w:p>
        </w:tc>
        <w:tc>
          <w:tcPr>
            <w:tcW w:w="28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7"/>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5,966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5,820</w:t>
            </w:r>
          </w:p>
        </w:tc>
        <w:tc>
          <w:tcPr>
            <w:tcW w:w="0" w:type="dxa"/>
            <w:vAlign w:val="bottom"/>
          </w:tcPr>
          <w:p>
            <w:pPr>
              <w:spacing w:after="0"/>
              <w:rPr>
                <w:sz w:val="1"/>
                <w:szCs w:val="1"/>
                <w:color w:val="auto"/>
              </w:rPr>
            </w:pPr>
          </w:p>
        </w:tc>
      </w:tr>
      <w:tr>
        <w:trPr>
          <w:trHeight w:val="432"/>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Assets under vehicle programs:</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Program cash</w:t>
            </w:r>
          </w:p>
        </w:tc>
        <w:tc>
          <w:tcPr>
            <w:tcW w:w="280" w:type="dxa"/>
            <w:vAlign w:val="bottom"/>
          </w:tcPr>
          <w:p>
            <w:pPr>
              <w:spacing w:after="0"/>
              <w:rPr>
                <w:sz w:val="24"/>
                <w:szCs w:val="24"/>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Vehicles, net</w:t>
            </w:r>
          </w:p>
        </w:tc>
        <w:tc>
          <w:tcPr>
            <w:tcW w:w="28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12,354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10,626</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Receivables from vehicle manufacturers and other</w:t>
            </w:r>
          </w:p>
        </w:tc>
        <w:tc>
          <w:tcPr>
            <w:tcW w:w="28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Investment in Avis Budget Rental Car Funding (AESOP) LLC—related party</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50"/>
        </w:trPr>
        <w:tc>
          <w:tcPr>
            <w:tcW w:w="140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13,256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11,879</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19,222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17,699</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8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Accounts payable and other current liabilities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Short-term debt and current portion of long-term debt</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1,803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459"/>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4"/>
                <w:szCs w:val="24"/>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3,581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77"/>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6,147</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5,935</w:t>
            </w:r>
          </w:p>
        </w:tc>
        <w:tc>
          <w:tcPr>
            <w:tcW w:w="0" w:type="dxa"/>
            <w:vAlign w:val="bottom"/>
          </w:tcPr>
          <w:p>
            <w:pPr>
              <w:spacing w:after="0"/>
              <w:rPr>
                <w:sz w:val="1"/>
                <w:szCs w:val="1"/>
                <w:color w:val="auto"/>
              </w:rPr>
            </w:pPr>
          </w:p>
        </w:tc>
      </w:tr>
      <w:tr>
        <w:trPr>
          <w:trHeight w:val="432"/>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Liabilities under vehicle programs:</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Debt</w:t>
            </w:r>
          </w:p>
        </w:tc>
        <w:tc>
          <w:tcPr>
            <w:tcW w:w="280" w:type="dxa"/>
            <w:vAlign w:val="bottom"/>
          </w:tcPr>
          <w:p>
            <w:pPr>
              <w:spacing w:after="0"/>
              <w:rPr>
                <w:sz w:val="24"/>
                <w:szCs w:val="24"/>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2,628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Debt due to Avis Budget Rental Car Funding (AESOP) LLC—related party</w:t>
            </w:r>
          </w:p>
        </w:tc>
        <w:tc>
          <w:tcPr>
            <w:tcW w:w="28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7,754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6,480</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50"/>
        </w:trPr>
        <w:tc>
          <w:tcPr>
            <w:tcW w:w="140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12,620</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11,191</w:t>
            </w:r>
          </w:p>
        </w:tc>
        <w:tc>
          <w:tcPr>
            <w:tcW w:w="0" w:type="dxa"/>
            <w:vAlign w:val="bottom"/>
          </w:tcPr>
          <w:p>
            <w:pPr>
              <w:spacing w:after="0"/>
              <w:rPr>
                <w:sz w:val="1"/>
                <w:szCs w:val="1"/>
                <w:color w:val="auto"/>
              </w:rPr>
            </w:pPr>
          </w:p>
        </w:tc>
      </w:tr>
      <w:tr>
        <w:trPr>
          <w:trHeight w:val="23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13)</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Preferred stock, $0.01 par value—authorized 10 shares; none issued and outstanding, at each</w:t>
            </w: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7880" w:type="dxa"/>
            <w:vAlign w:val="bottom"/>
            <w:gridSpan w:val="2"/>
          </w:tcPr>
          <w:p>
            <w:pPr>
              <w:ind w:left="320"/>
              <w:spacing w:after="0"/>
              <w:rPr>
                <w:sz w:val="20"/>
                <w:szCs w:val="20"/>
                <w:color w:val="auto"/>
              </w:rPr>
            </w:pPr>
            <w:r>
              <w:rPr>
                <w:rFonts w:ascii="Arial" w:cs="Arial" w:eastAsia="Arial" w:hAnsi="Arial"/>
                <w:sz w:val="18"/>
                <w:szCs w:val="18"/>
                <w:color w:val="auto"/>
              </w:rPr>
              <w:t>date</w:t>
            </w:r>
          </w:p>
        </w:tc>
        <w:tc>
          <w:tcPr>
            <w:tcW w:w="280" w:type="dxa"/>
            <w:vAlign w:val="bottom"/>
          </w:tcPr>
          <w:p>
            <w:pPr>
              <w:spacing w:after="0"/>
              <w:rPr>
                <w:sz w:val="18"/>
                <w:szCs w:val="18"/>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Common stock, $0.01 par value—authorized 250 shares; issued 137 shares, at each date</w:t>
            </w:r>
          </w:p>
        </w:tc>
        <w:tc>
          <w:tcPr>
            <w:tcW w:w="28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3"/>
                <w:szCs w:val="23"/>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6,780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6,820</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Treasury stock, at cost—56 shares, at each date</w:t>
            </w: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19,222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17,699</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20"/>
          </w:cols>
          <w:pgMar w:left="240" w:top="108" w:right="239" w:bottom="57"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08" w:right="239" w:bottom="57"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57"/>
        </w:trPr>
        <w:tc>
          <w:tcPr>
            <w:tcW w:w="1400" w:type="dxa"/>
            <w:vAlign w:val="bottom"/>
            <w:tcBorders>
              <w:top w:val="single" w:sz="8" w:color="0000EE"/>
            </w:tcBorders>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Avis Budget Group,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7280" w:type="dxa"/>
            <w:vAlign w:val="bottom"/>
            <w:gridSpan w:val="2"/>
          </w:tcPr>
          <w:p>
            <w:pPr>
              <w:jc w:val="center"/>
              <w:ind w:left="1250"/>
              <w:spacing w:after="0"/>
              <w:rPr>
                <w:sz w:val="20"/>
                <w:szCs w:val="20"/>
                <w:color w:val="auto"/>
              </w:rPr>
            </w:pPr>
            <w:r>
              <w:rPr>
                <w:rFonts w:ascii="Arial" w:cs="Arial" w:eastAsia="Arial" w:hAnsi="Arial"/>
                <w:sz w:val="18"/>
                <w:szCs w:val="18"/>
                <w:b w:val="1"/>
                <w:bCs w:val="1"/>
                <w:color w:val="auto"/>
                <w:w w:val="99"/>
              </w:rPr>
              <w:t>CONSOLIDATED CONDENSED STATEMENTS OF CASH FLOWS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6940" w:type="dxa"/>
            <w:vAlign w:val="bottom"/>
          </w:tcPr>
          <w:p>
            <w:pPr>
              <w:jc w:val="center"/>
              <w:ind w:left="1590"/>
              <w:spacing w:after="0"/>
              <w:rPr>
                <w:sz w:val="20"/>
                <w:szCs w:val="20"/>
                <w:color w:val="auto"/>
              </w:rPr>
            </w:pPr>
            <w:r>
              <w:rPr>
                <w:rFonts w:ascii="Arial" w:cs="Arial" w:eastAsia="Arial" w:hAnsi="Arial"/>
                <w:sz w:val="18"/>
                <w:szCs w:val="18"/>
                <w:b w:val="1"/>
                <w:bCs w:val="1"/>
                <w:color w:val="auto"/>
              </w:rPr>
              <w:t>(In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9"/>
        </w:trPr>
        <w:tc>
          <w:tcPr>
            <w:tcW w:w="1400" w:type="dxa"/>
            <w:vAlign w:val="bottom"/>
          </w:tcPr>
          <w:p>
            <w:pPr>
              <w:spacing w:after="0"/>
              <w:rPr>
                <w:sz w:val="20"/>
                <w:szCs w:val="20"/>
                <w:color w:val="auto"/>
              </w:rPr>
            </w:pPr>
          </w:p>
        </w:tc>
        <w:tc>
          <w:tcPr>
            <w:tcW w:w="694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342"/>
        </w:trPr>
        <w:tc>
          <w:tcPr>
            <w:tcW w:w="140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r>
      <w:tr>
        <w:trPr>
          <w:trHeight w:val="246"/>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1"/>
                <w:szCs w:val="21"/>
                <w:color w:val="auto"/>
              </w:rPr>
            </w:pPr>
          </w:p>
        </w:tc>
      </w:tr>
      <w:tr>
        <w:trPr>
          <w:trHeight w:val="264"/>
        </w:trPr>
        <w:tc>
          <w:tcPr>
            <w:tcW w:w="140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9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Vehicle depreciation</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460</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437</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(Gain) loss on sale of vehicles, net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Non-vehicle related depreciation and amortization</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Amortization of debt financing fees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Early extinguishment of debt costs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5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Net change in assets and liabilities: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4"/>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Income taxes and deferred income taxes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Accounts payable and other current liabilities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w:t>
            </w:r>
          </w:p>
        </w:tc>
      </w:tr>
      <w:tr>
        <w:trPr>
          <w:trHeight w:val="27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447</w:t>
            </w:r>
          </w:p>
        </w:tc>
      </w:tr>
      <w:tr>
        <w:trPr>
          <w:trHeight w:val="527"/>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4"/>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 additions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Proceeds received on asset sales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assets acquired (net of cash acquired)</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527"/>
        </w:trPr>
        <w:tc>
          <w:tcPr>
            <w:tcW w:w="8340" w:type="dxa"/>
            <w:vAlign w:val="bottom"/>
            <w:gridSpan w:val="2"/>
          </w:tcPr>
          <w:p>
            <w:pPr>
              <w:ind w:left="40"/>
              <w:spacing w:after="0"/>
              <w:rPr>
                <w:sz w:val="20"/>
                <w:szCs w:val="20"/>
                <w:color w:val="auto"/>
              </w:rPr>
            </w:pPr>
            <w:r>
              <w:rPr>
                <w:rFonts w:ascii="Arial" w:cs="Arial" w:eastAsia="Arial" w:hAnsi="Arial"/>
                <w:sz w:val="18"/>
                <w:szCs w:val="18"/>
                <w:i w:val="1"/>
                <w:iCs w:val="1"/>
                <w:color w:val="auto"/>
              </w:rPr>
              <w:t>Vehicle programs: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Investment in vehicles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(4,226)</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(3,944)</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Proceeds received on disposition of vehicles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2,572</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2,958</w:t>
            </w:r>
          </w:p>
        </w:tc>
      </w:tr>
      <w:tr>
        <w:trPr>
          <w:trHeight w:val="27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Investment in debt securities of Avis Budget Rental Car Funding (AESOP) LLC—related party</w:t>
            </w:r>
          </w:p>
        </w:tc>
        <w:tc>
          <w:tcPr>
            <w:tcW w:w="34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50"/>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(1,654)</w:t>
            </w:r>
          </w:p>
        </w:tc>
        <w:tc>
          <w:tcPr>
            <w:tcW w:w="120" w:type="dxa"/>
            <w:vAlign w:val="bottom"/>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w:t>
            </w:r>
          </w:p>
        </w:tc>
      </w:tr>
      <w:tr>
        <w:trPr>
          <w:trHeight w:val="675"/>
        </w:trPr>
        <w:tc>
          <w:tcPr>
            <w:tcW w:w="8340" w:type="dxa"/>
            <w:vAlign w:val="bottom"/>
            <w:gridSpan w:val="2"/>
          </w:tcPr>
          <w:p>
            <w:pPr>
              <w:jc w:val="center"/>
              <w:ind w:left="2990"/>
              <w:spacing w:after="0"/>
              <w:rPr>
                <w:sz w:val="20"/>
                <w:szCs w:val="20"/>
                <w:color w:val="auto"/>
              </w:rPr>
            </w:pPr>
            <w:r>
              <w:rPr>
                <w:rFonts w:ascii="Arial" w:cs="Arial" w:eastAsia="Arial" w:hAnsi="Arial"/>
                <w:sz w:val="18"/>
                <w:szCs w:val="18"/>
                <w:color w:val="auto"/>
                <w:w w:val="99"/>
              </w:rPr>
              <w:t>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646"/>
        </w:trPr>
        <w:tc>
          <w:tcPr>
            <w:tcW w:w="1400" w:type="dxa"/>
            <w:vAlign w:val="bottom"/>
            <w:tcBorders>
              <w:top w:val="single" w:sz="8" w:color="0000EE"/>
            </w:tcBorders>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Avis Budget Group,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8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CONSOLIDATED CONDENSED STATEMENTS OF CASH FLOWS (Continued)</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6940" w:type="dxa"/>
            <w:vAlign w:val="bottom"/>
          </w:tcPr>
          <w:p>
            <w:pPr>
              <w:jc w:val="center"/>
              <w:ind w:left="1590"/>
              <w:spacing w:after="0"/>
              <w:rPr>
                <w:sz w:val="20"/>
                <w:szCs w:val="20"/>
                <w:color w:val="auto"/>
              </w:rPr>
            </w:pPr>
            <w:r>
              <w:rPr>
                <w:rFonts w:ascii="Arial" w:cs="Arial" w:eastAsia="Arial" w:hAnsi="Arial"/>
                <w:sz w:val="18"/>
                <w:szCs w:val="18"/>
                <w:b w:val="1"/>
                <w:bCs w:val="1"/>
                <w:color w:val="auto"/>
              </w:rPr>
              <w:t>(In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9"/>
        </w:trPr>
        <w:tc>
          <w:tcPr>
            <w:tcW w:w="1400" w:type="dxa"/>
            <w:vAlign w:val="bottom"/>
          </w:tcPr>
          <w:p>
            <w:pPr>
              <w:spacing w:after="0"/>
              <w:rPr>
                <w:sz w:val="20"/>
                <w:szCs w:val="20"/>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1"/>
        </w:trPr>
        <w:tc>
          <w:tcPr>
            <w:tcW w:w="140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7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r>
      <w:tr>
        <w:trPr>
          <w:trHeight w:val="246"/>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1"/>
                <w:szCs w:val="21"/>
                <w:color w:val="auto"/>
              </w:rPr>
            </w:pPr>
          </w:p>
        </w:tc>
      </w:tr>
      <w:tr>
        <w:trPr>
          <w:trHeight w:val="264"/>
        </w:trPr>
        <w:tc>
          <w:tcPr>
            <w:tcW w:w="140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9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Proceeds from long-term borrowings</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590</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Payments on long-term borrowings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change in short-term borrowings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Repurchases of common stock</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Debt financing fees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 exclusive of vehicle programs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379</w:t>
            </w:r>
          </w:p>
        </w:tc>
      </w:tr>
      <w:tr>
        <w:trPr>
          <w:trHeight w:val="527"/>
        </w:trPr>
        <w:tc>
          <w:tcPr>
            <w:tcW w:w="8340" w:type="dxa"/>
            <w:vAlign w:val="bottom"/>
            <w:gridSpan w:val="2"/>
          </w:tcPr>
          <w:p>
            <w:pPr>
              <w:ind w:left="40"/>
              <w:spacing w:after="0"/>
              <w:rPr>
                <w:sz w:val="20"/>
                <w:szCs w:val="20"/>
                <w:color w:val="auto"/>
              </w:rPr>
            </w:pPr>
            <w:r>
              <w:rPr>
                <w:rFonts w:ascii="Arial" w:cs="Arial" w:eastAsia="Arial" w:hAnsi="Arial"/>
                <w:sz w:val="18"/>
                <w:szCs w:val="18"/>
                <w:i w:val="1"/>
                <w:iCs w:val="1"/>
                <w:color w:val="auto"/>
              </w:rPr>
              <w:t>Vehicle programs: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4"/>
        </w:trPr>
        <w:tc>
          <w:tcPr>
            <w:tcW w:w="8340" w:type="dxa"/>
            <w:vAlign w:val="bottom"/>
            <w:gridSpan w:val="2"/>
          </w:tcPr>
          <w:p>
            <w:pPr>
              <w:ind w:left="140"/>
              <w:spacing w:after="0"/>
              <w:rPr>
                <w:sz w:val="20"/>
                <w:szCs w:val="20"/>
                <w:color w:val="auto"/>
              </w:rPr>
            </w:pPr>
            <w:r>
              <w:rPr>
                <w:rFonts w:ascii="Arial" w:cs="Arial" w:eastAsia="Arial" w:hAnsi="Arial"/>
                <w:sz w:val="18"/>
                <w:szCs w:val="18"/>
                <w:color w:val="auto"/>
              </w:rPr>
              <w:t>Proceeds from borrowings</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5,100</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5,812</w:t>
            </w:r>
          </w:p>
        </w:tc>
      </w:tr>
      <w:tr>
        <w:trPr>
          <w:trHeight w:val="270"/>
        </w:trPr>
        <w:tc>
          <w:tcPr>
            <w:tcW w:w="8340" w:type="dxa"/>
            <w:vAlign w:val="bottom"/>
            <w:gridSpan w:val="2"/>
          </w:tcPr>
          <w:p>
            <w:pPr>
              <w:ind w:left="140"/>
              <w:spacing w:after="0"/>
              <w:rPr>
                <w:sz w:val="20"/>
                <w:szCs w:val="20"/>
                <w:color w:val="auto"/>
              </w:rPr>
            </w:pPr>
            <w:r>
              <w:rPr>
                <w:rFonts w:ascii="Arial" w:cs="Arial" w:eastAsia="Arial" w:hAnsi="Arial"/>
                <w:sz w:val="18"/>
                <w:szCs w:val="18"/>
                <w:color w:val="auto"/>
              </w:rPr>
              <w:t>Payments on borrowings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(4,045)</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(5,236)</w:t>
            </w:r>
          </w:p>
        </w:tc>
      </w:tr>
      <w:tr>
        <w:trPr>
          <w:trHeight w:val="277"/>
        </w:trPr>
        <w:tc>
          <w:tcPr>
            <w:tcW w:w="8340" w:type="dxa"/>
            <w:vAlign w:val="bottom"/>
            <w:gridSpan w:val="2"/>
          </w:tcPr>
          <w:p>
            <w:pPr>
              <w:ind w:left="140"/>
              <w:spacing w:after="0"/>
              <w:rPr>
                <w:sz w:val="20"/>
                <w:szCs w:val="20"/>
                <w:color w:val="auto"/>
              </w:rPr>
            </w:pPr>
            <w:r>
              <w:rPr>
                <w:rFonts w:ascii="Arial" w:cs="Arial" w:eastAsia="Arial" w:hAnsi="Arial"/>
                <w:sz w:val="18"/>
                <w:szCs w:val="18"/>
                <w:color w:val="auto"/>
              </w:rPr>
              <w:t>Debt financing fees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1,054</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571</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financing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950</w:t>
            </w:r>
          </w:p>
        </w:tc>
      </w:tr>
      <w:tr>
        <w:trPr>
          <w:trHeight w:val="54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Effect of changes in exchange rates on cash and cash equivalents, program and restricted cash</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r>
      <w:tr>
        <w:trPr>
          <w:trHeight w:val="54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(decrease) increase in cash and cash equivalents, program and restricted cash</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350</w:t>
            </w:r>
          </w:p>
        </w:tc>
      </w:tr>
      <w:tr>
        <w:trPr>
          <w:trHeight w:val="27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720</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and cash equivalents, program and restricted cash,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1"/>
                <w:szCs w:val="21"/>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1,070</w:t>
            </w:r>
          </w:p>
        </w:tc>
      </w:tr>
      <w:tr>
        <w:trPr>
          <w:trHeight w:val="20"/>
        </w:trPr>
        <w:tc>
          <w:tcPr>
            <w:tcW w:w="14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08"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(Unless otherwise noted, all dollar amounts in tables are in millions, except per share amounts)</w:t>
      </w:r>
    </w:p>
    <w:p>
      <w:pPr>
        <w:spacing w:after="0" w:line="203"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47" w:lineRule="exact"/>
        <w:rPr>
          <w:rFonts w:ascii="Arial" w:cs="Arial" w:eastAsia="Arial" w:hAnsi="Arial"/>
          <w:sz w:val="18"/>
          <w:szCs w:val="18"/>
          <w:b w:val="1"/>
          <w:bCs w:val="1"/>
          <w:color w:val="auto"/>
        </w:rPr>
      </w:pPr>
    </w:p>
    <w:p>
      <w:pPr>
        <w:ind w:left="5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Avis Budget Group, Inc. provides vehicle rental and other mobility solutions to businesses and consumers worldwide. The accompanying unaudited Consolidated Condensed Financial Statements include the accounts and transactions of Avis Budget Group, Inc. and its subsidiaries, as well as entities in which Avis Budget Group, Inc. directly or indirectly has a controlling financial interest (collectively, the “Company”), and have been prepared pursuant to the rules and regulations of the U.S. Securities and Exchange Commission for interim financial reporting.</w:t>
      </w:r>
    </w:p>
    <w:p>
      <w:pPr>
        <w:spacing w:after="0" w:line="15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the following reportable business segments:</w:t>
      </w:r>
    </w:p>
    <w:p>
      <w:pPr>
        <w:spacing w:after="0" w:line="203" w:lineRule="exact"/>
        <w:rPr>
          <w:rFonts w:ascii="Arial" w:cs="Arial" w:eastAsia="Arial" w:hAnsi="Arial"/>
          <w:sz w:val="18"/>
          <w:szCs w:val="18"/>
          <w:b w:val="1"/>
          <w:bCs w:val="1"/>
          <w:color w:val="auto"/>
        </w:rPr>
      </w:pPr>
    </w:p>
    <w:p>
      <w:pPr>
        <w:ind w:left="1300" w:right="200" w:hanging="482"/>
        <w:spacing w:after="0" w:line="269"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Americas</w:t>
      </w:r>
      <w:r>
        <w:rPr>
          <w:rFonts w:ascii="Arial" w:cs="Arial" w:eastAsia="Arial" w:hAnsi="Arial"/>
          <w:sz w:val="18"/>
          <w:szCs w:val="18"/>
          <w:color w:val="auto"/>
        </w:rPr>
        <w:t>—consisting primarily of (i) vehicle rental operations in North America, South America, Central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Caribbean, (ii) car sharing operations in certain of these markets, and (iii) licensees in the areas in which the Company does not operate directly.</w:t>
      </w:r>
    </w:p>
    <w:p>
      <w:pPr>
        <w:spacing w:after="0" w:line="168" w:lineRule="exact"/>
        <w:rPr>
          <w:rFonts w:ascii="Arial" w:cs="Arial" w:eastAsia="Arial" w:hAnsi="Arial"/>
          <w:sz w:val="18"/>
          <w:szCs w:val="18"/>
          <w:color w:val="auto"/>
        </w:rPr>
      </w:pPr>
    </w:p>
    <w:p>
      <w:pPr>
        <w:ind w:left="1300" w:right="100" w:hanging="482"/>
        <w:spacing w:after="0" w:line="269"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—consisting primarily of (i) vehicle rental operations in Europe, the Middle East, Africa, Asia and Australasia, (ii)</w:t>
      </w:r>
      <w:r>
        <w:rPr>
          <w:rFonts w:ascii="Arial" w:cs="Arial" w:eastAsia="Arial" w:hAnsi="Arial"/>
          <w:sz w:val="18"/>
          <w:szCs w:val="18"/>
          <w:b w:val="1"/>
          <w:bCs w:val="1"/>
          <w:color w:val="auto"/>
        </w:rPr>
        <w:t xml:space="preserve"> </w:t>
      </w:r>
      <w:r>
        <w:rPr>
          <w:rFonts w:ascii="Arial" w:cs="Arial" w:eastAsia="Arial" w:hAnsi="Arial"/>
          <w:sz w:val="18"/>
          <w:szCs w:val="18"/>
          <w:color w:val="auto"/>
        </w:rPr>
        <w:t>car sharing operations in certain of these markets, and (iii) licensees in the areas in which the Company does not operate directly.</w:t>
      </w:r>
    </w:p>
    <w:p>
      <w:pPr>
        <w:spacing w:after="0" w:line="190" w:lineRule="exact"/>
        <w:rPr>
          <w:sz w:val="20"/>
          <w:szCs w:val="20"/>
          <w:color w:val="auto"/>
        </w:rPr>
      </w:pPr>
    </w:p>
    <w:p>
      <w:pPr>
        <w:ind w:left="500" w:right="40"/>
        <w:spacing w:after="0" w:line="254" w:lineRule="auto"/>
        <w:rPr>
          <w:sz w:val="20"/>
          <w:szCs w:val="20"/>
          <w:color w:val="auto"/>
        </w:rPr>
      </w:pPr>
      <w:r>
        <w:rPr>
          <w:rFonts w:ascii="Arial" w:cs="Arial" w:eastAsia="Arial" w:hAnsi="Arial"/>
          <w:sz w:val="18"/>
          <w:szCs w:val="18"/>
          <w:color w:val="auto"/>
        </w:rPr>
        <w:t>The operating results of acquired businesses are included in the accompanying Consolidated Condensed Financial Statements from the dates of acquisition. The fair value of the assets acquired and liabilities assumed in connection with the Company’s fourth quarter 2017 acquisitions of ACL Hire Limited and various licensees in Europe and North America have not yet been finalized; however, there have been no significant changes to the preliminary allocation of the purchase price during the three months ended March 31, 2018.</w:t>
      </w:r>
    </w:p>
    <w:p>
      <w:pPr>
        <w:spacing w:after="0" w:line="204" w:lineRule="exact"/>
        <w:rPr>
          <w:sz w:val="20"/>
          <w:szCs w:val="20"/>
          <w:color w:val="auto"/>
        </w:rPr>
      </w:pPr>
    </w:p>
    <w:p>
      <w:pPr>
        <w:ind w:left="500" w:right="100"/>
        <w:spacing w:after="0" w:line="252" w:lineRule="auto"/>
        <w:rPr>
          <w:sz w:val="20"/>
          <w:szCs w:val="20"/>
          <w:color w:val="auto"/>
        </w:rPr>
      </w:pPr>
      <w:r>
        <w:rPr>
          <w:rFonts w:ascii="Arial" w:cs="Arial" w:eastAsia="Arial" w:hAnsi="Arial"/>
          <w:sz w:val="18"/>
          <w:szCs w:val="18"/>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the Company’s 2017 Form 10-K.</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47" w:lineRule="exact"/>
        <w:rPr>
          <w:sz w:val="20"/>
          <w:szCs w:val="20"/>
          <w:color w:val="auto"/>
        </w:rPr>
      </w:pPr>
    </w:p>
    <w:p>
      <w:pPr>
        <w:ind w:left="500" w:right="680"/>
        <w:spacing w:after="0" w:line="262" w:lineRule="auto"/>
        <w:rPr>
          <w:sz w:val="20"/>
          <w:szCs w:val="20"/>
          <w:color w:val="auto"/>
        </w:rPr>
      </w:pPr>
      <w:r>
        <w:rPr>
          <w:rFonts w:ascii="Arial" w:cs="Arial" w:eastAsia="Arial" w:hAnsi="Arial"/>
          <w:sz w:val="18"/>
          <w:szCs w:val="18"/>
          <w:color w:val="auto"/>
        </w:rPr>
        <w:t>The Company’s significant accounting policies are fully described in Note 2, “Summary of Significant Accounting Policies,” in the Company’s Annual Report on Form 10-K for fiscal year 2017.</w:t>
      </w:r>
    </w:p>
    <w:p>
      <w:pPr>
        <w:spacing w:after="0" w:line="178" w:lineRule="exact"/>
        <w:rPr>
          <w:sz w:val="20"/>
          <w:szCs w:val="20"/>
          <w:color w:val="auto"/>
        </w:rPr>
      </w:pPr>
    </w:p>
    <w:p>
      <w:pPr>
        <w:ind w:left="500" w:right="100"/>
        <w:spacing w:after="0" w:line="266" w:lineRule="auto"/>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Certain reclassifications have been made to prior years’ Consolidated Condensed Financial Statements to conform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year presentation. These reclassifications have no impact on reported net loss (see “Adoption of New Accounting Pronouncements” below).</w:t>
      </w:r>
    </w:p>
    <w:p>
      <w:pPr>
        <w:spacing w:after="0" w:line="194" w:lineRule="exact"/>
        <w:rPr>
          <w:sz w:val="20"/>
          <w:szCs w:val="20"/>
          <w:color w:val="auto"/>
        </w:rPr>
      </w:pPr>
    </w:p>
    <w:p>
      <w:pPr>
        <w:ind w:left="500" w:right="40"/>
        <w:spacing w:after="0" w:line="254" w:lineRule="auto"/>
        <w:rPr>
          <w:sz w:val="20"/>
          <w:szCs w:val="20"/>
          <w:color w:val="auto"/>
        </w:rPr>
      </w:pPr>
      <w:r>
        <w:rPr>
          <w:rFonts w:ascii="Arial" w:cs="Arial" w:eastAsia="Arial" w:hAnsi="Arial"/>
          <w:sz w:val="18"/>
          <w:szCs w:val="18"/>
          <w:color w:val="auto"/>
        </w:rPr>
        <w:t>As of December 31, 2017, the Company elected to adopt the provisions of ASU 2016-18, “Statement of Cash Flows (Topic 230): Restricted Cash,” early on a retrospective basis. ASU 2016-18 clarifies guidance on the classification and presentation of restricted cash in the statement of cash flows. The following table provides the impact of adoption on the Company’s Consolidated Condensed Statements of Cash Flows for the three months ended March 31, 2017.</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140" w:right="29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245745</wp:posOffset>
            </wp:positionV>
            <wp:extent cx="26670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395" w:lineRule="exact"/>
        <w:rPr>
          <w:sz w:val="20"/>
          <w:szCs w:val="20"/>
          <w:color w:val="auto"/>
        </w:rPr>
      </w:pPr>
    </w:p>
    <w:tbl>
      <w:tblPr>
        <w:tblLayout w:type="fixed"/>
        <w:tblInd w:w="86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40" w:type="dxa"/>
            <w:vAlign w:val="bottom"/>
            <w:gridSpan w:val="7"/>
          </w:tcPr>
          <w:p>
            <w:pPr>
              <w:jc w:val="center"/>
              <w:ind w:right="48"/>
              <w:spacing w:after="0"/>
              <w:rPr>
                <w:sz w:val="20"/>
                <w:szCs w:val="20"/>
                <w:color w:val="auto"/>
              </w:rPr>
            </w:pPr>
            <w:r>
              <w:rPr>
                <w:rFonts w:ascii="Arial" w:cs="Arial" w:eastAsia="Arial" w:hAnsi="Arial"/>
                <w:sz w:val="14"/>
                <w:szCs w:val="14"/>
                <w:b w:val="1"/>
                <w:bCs w:val="1"/>
                <w:color w:val="auto"/>
              </w:rPr>
              <w:t>Three Months Ended March 31, 2017</w:t>
            </w:r>
          </w:p>
        </w:tc>
        <w:tc>
          <w:tcPr>
            <w:tcW w:w="0" w:type="dxa"/>
            <w:vAlign w:val="bottom"/>
          </w:tcPr>
          <w:p>
            <w:pPr>
              <w:spacing w:after="0"/>
              <w:rPr>
                <w:sz w:val="1"/>
                <w:szCs w:val="1"/>
                <w:color w:val="auto"/>
              </w:rPr>
            </w:pPr>
          </w:p>
        </w:tc>
      </w:tr>
      <w:tr>
        <w:trPr>
          <w:trHeight w:val="174"/>
        </w:trPr>
        <w:tc>
          <w:tcPr>
            <w:tcW w:w="60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As Previously</w:t>
            </w: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Reported</w:t>
            </w: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Effect of Change</w:t>
            </w:r>
          </w:p>
        </w:tc>
        <w:tc>
          <w:tcPr>
            <w:tcW w:w="180" w:type="dxa"/>
            <w:vAlign w:val="bottom"/>
          </w:tcPr>
          <w:p>
            <w:pPr>
              <w:spacing w:after="0"/>
              <w:rPr>
                <w:sz w:val="17"/>
                <w:szCs w:val="17"/>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91"/>
        </w:trPr>
        <w:tc>
          <w:tcPr>
            <w:tcW w:w="6020" w:type="dxa"/>
            <w:vAlign w:val="bottom"/>
          </w:tcPr>
          <w:p>
            <w:pPr>
              <w:spacing w:after="0"/>
              <w:rPr>
                <w:sz w:val="20"/>
                <w:szCs w:val="20"/>
                <w:color w:val="auto"/>
              </w:rPr>
            </w:pPr>
            <w:r>
              <w:rPr>
                <w:rFonts w:ascii="Arial" w:cs="Arial" w:eastAsia="Arial" w:hAnsi="Arial"/>
                <w:sz w:val="14"/>
                <w:szCs w:val="14"/>
                <w:color w:val="auto"/>
              </w:rPr>
              <w:t>Decrease in program cash</w:t>
            </w: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6"/>
                <w:szCs w:val="16"/>
                <w:color w:val="auto"/>
              </w:rPr>
            </w:pPr>
          </w:p>
        </w:tc>
        <w:tc>
          <w:tcPr>
            <w:tcW w:w="580" w:type="dxa"/>
            <w:vAlign w:val="bottom"/>
            <w:tcBorders>
              <w:top w:val="single" w:sz="8" w:color="auto"/>
            </w:tcBorders>
            <w:vMerge w:val="restart"/>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6"/>
                <w:szCs w:val="16"/>
                <w:color w:val="auto"/>
              </w:rPr>
            </w:pPr>
          </w:p>
        </w:tc>
        <w:tc>
          <w:tcPr>
            <w:tcW w:w="18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60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160" w:type="dxa"/>
            <w:vAlign w:val="bottom"/>
          </w:tcPr>
          <w:p>
            <w:pPr>
              <w:spacing w:after="0"/>
              <w:rPr>
                <w:sz w:val="18"/>
                <w:szCs w:val="18"/>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(972)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(1,059)</w:t>
            </w:r>
          </w:p>
        </w:tc>
        <w:tc>
          <w:tcPr>
            <w:tcW w:w="0" w:type="dxa"/>
            <w:vAlign w:val="bottom"/>
          </w:tcPr>
          <w:p>
            <w:pPr>
              <w:spacing w:after="0"/>
              <w:rPr>
                <w:sz w:val="1"/>
                <w:szCs w:val="1"/>
                <w:color w:val="auto"/>
              </w:rPr>
            </w:pPr>
          </w:p>
        </w:tc>
      </w:tr>
      <w:tr>
        <w:trPr>
          <w:trHeight w:val="54"/>
        </w:trPr>
        <w:tc>
          <w:tcPr>
            <w:tcW w:w="6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114" w:lineRule="exact"/>
        <w:rPr>
          <w:sz w:val="20"/>
          <w:szCs w:val="20"/>
          <w:color w:val="auto"/>
        </w:rPr>
      </w:pPr>
    </w:p>
    <w:p>
      <w:pPr>
        <w:ind w:left="1020" w:right="560" w:hanging="161"/>
        <w:spacing w:after="0" w:line="258" w:lineRule="auto"/>
        <w:rPr>
          <w:sz w:val="20"/>
          <w:szCs w:val="20"/>
          <w:color w:val="auto"/>
        </w:rPr>
      </w:pPr>
      <w:r>
        <w:rPr>
          <w:rFonts w:ascii="Arial" w:cs="Arial" w:eastAsia="Arial" w:hAnsi="Arial"/>
          <w:sz w:val="14"/>
          <w:szCs w:val="14"/>
          <w:color w:val="auto"/>
        </w:rPr>
        <w:t>Effect of changes in exchange rates on cash and cash equivalents, program and restricted cash</w:t>
      </w:r>
    </w:p>
    <w:p>
      <w:pPr>
        <w:spacing w:after="0" w:line="200" w:lineRule="exact"/>
        <w:rPr>
          <w:sz w:val="20"/>
          <w:szCs w:val="20"/>
          <w:color w:val="auto"/>
        </w:rPr>
      </w:pPr>
    </w:p>
    <w:p>
      <w:pPr>
        <w:spacing w:after="0" w:line="264" w:lineRule="exact"/>
        <w:rPr>
          <w:sz w:val="20"/>
          <w:szCs w:val="20"/>
          <w:color w:val="auto"/>
        </w:rPr>
      </w:pPr>
    </w:p>
    <w:p>
      <w:pPr>
        <w:ind w:left="860" w:right="1400"/>
        <w:spacing w:after="0" w:line="419" w:lineRule="auto"/>
        <w:rPr>
          <w:sz w:val="20"/>
          <w:szCs w:val="20"/>
          <w:color w:val="auto"/>
        </w:rPr>
      </w:pPr>
      <w:r>
        <w:rPr>
          <w:rFonts w:ascii="Arial" w:cs="Arial" w:eastAsia="Arial" w:hAnsi="Arial"/>
          <w:sz w:val="14"/>
          <w:szCs w:val="14"/>
          <w:color w:val="auto"/>
        </w:rPr>
        <w:t>Net increase in cash and cash equivalents, program and restricted cash Cash and cash equivalents, program and restricted cash, beginning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840" w:type="dxa"/>
            <w:vAlign w:val="bottom"/>
          </w:tcPr>
          <w:p>
            <w:pPr>
              <w:jc w:val="right"/>
              <w:ind w:right="528"/>
              <w:spacing w:after="0"/>
              <w:rPr>
                <w:sz w:val="20"/>
                <w:szCs w:val="20"/>
                <w:color w:val="auto"/>
              </w:rPr>
            </w:pPr>
            <w:r>
              <w:rPr>
                <w:rFonts w:ascii="Arial" w:cs="Arial" w:eastAsia="Arial" w:hAnsi="Arial"/>
                <w:sz w:val="14"/>
                <w:szCs w:val="14"/>
                <w:color w:val="auto"/>
              </w:rPr>
              <w:t>8</w:t>
            </w:r>
          </w:p>
        </w:tc>
        <w:tc>
          <w:tcPr>
            <w:tcW w:w="1460" w:type="dxa"/>
            <w:vAlign w:val="bottom"/>
          </w:tcPr>
          <w:p>
            <w:pPr>
              <w:jc w:val="right"/>
              <w:ind w:right="548"/>
              <w:spacing w:after="0"/>
              <w:rPr>
                <w:sz w:val="20"/>
                <w:szCs w:val="20"/>
                <w:color w:val="auto"/>
              </w:rPr>
            </w:pPr>
            <w:r>
              <w:rPr>
                <w:rFonts w:ascii="Arial" w:cs="Arial" w:eastAsia="Arial" w:hAnsi="Arial"/>
                <w:sz w:val="14"/>
                <w:szCs w:val="14"/>
                <w:color w:val="auto"/>
              </w:rPr>
              <w:t>4</w:t>
            </w:r>
          </w:p>
        </w:tc>
        <w:tc>
          <w:tcPr>
            <w:tcW w:w="8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540"/>
        </w:trPr>
        <w:tc>
          <w:tcPr>
            <w:tcW w:w="840" w:type="dxa"/>
            <w:vAlign w:val="bottom"/>
          </w:tcPr>
          <w:p>
            <w:pPr>
              <w:jc w:val="right"/>
              <w:ind w:right="528"/>
              <w:spacing w:after="0"/>
              <w:rPr>
                <w:sz w:val="20"/>
                <w:szCs w:val="20"/>
                <w:color w:val="auto"/>
              </w:rPr>
            </w:pPr>
            <w:r>
              <w:rPr>
                <w:rFonts w:ascii="Arial" w:cs="Arial" w:eastAsia="Arial" w:hAnsi="Arial"/>
                <w:sz w:val="14"/>
                <w:szCs w:val="14"/>
                <w:color w:val="auto"/>
                <w:w w:val="94"/>
              </w:rPr>
              <w:t>433</w:t>
            </w:r>
          </w:p>
        </w:tc>
        <w:tc>
          <w:tcPr>
            <w:tcW w:w="1460" w:type="dxa"/>
            <w:vAlign w:val="bottom"/>
          </w:tcPr>
          <w:p>
            <w:pPr>
              <w:jc w:val="right"/>
              <w:ind w:right="508"/>
              <w:spacing w:after="0"/>
              <w:rPr>
                <w:sz w:val="20"/>
                <w:szCs w:val="20"/>
                <w:color w:val="auto"/>
              </w:rPr>
            </w:pPr>
            <w:r>
              <w:rPr>
                <w:rFonts w:ascii="Arial" w:cs="Arial" w:eastAsia="Arial" w:hAnsi="Arial"/>
                <w:sz w:val="14"/>
                <w:szCs w:val="14"/>
                <w:color w:val="auto"/>
              </w:rPr>
              <w:t>(83)</w:t>
            </w:r>
          </w:p>
        </w:tc>
        <w:tc>
          <w:tcPr>
            <w:tcW w:w="800" w:type="dxa"/>
            <w:vAlign w:val="bottom"/>
          </w:tcPr>
          <w:p>
            <w:pPr>
              <w:jc w:val="right"/>
              <w:spacing w:after="0"/>
              <w:rPr>
                <w:sz w:val="20"/>
                <w:szCs w:val="20"/>
                <w:color w:val="auto"/>
              </w:rPr>
            </w:pPr>
            <w:r>
              <w:rPr>
                <w:rFonts w:ascii="Arial" w:cs="Arial" w:eastAsia="Arial" w:hAnsi="Arial"/>
                <w:sz w:val="14"/>
                <w:szCs w:val="14"/>
                <w:color w:val="auto"/>
              </w:rPr>
              <w:t>350</w:t>
            </w:r>
          </w:p>
        </w:tc>
      </w:tr>
      <w:tr>
        <w:trPr>
          <w:trHeight w:val="378"/>
        </w:trPr>
        <w:tc>
          <w:tcPr>
            <w:tcW w:w="840" w:type="dxa"/>
            <w:vAlign w:val="bottom"/>
          </w:tcPr>
          <w:p>
            <w:pPr>
              <w:jc w:val="right"/>
              <w:ind w:right="528"/>
              <w:spacing w:after="0"/>
              <w:rPr>
                <w:sz w:val="20"/>
                <w:szCs w:val="20"/>
                <w:color w:val="auto"/>
              </w:rPr>
            </w:pPr>
            <w:r>
              <w:rPr>
                <w:rFonts w:ascii="Arial" w:cs="Arial" w:eastAsia="Arial" w:hAnsi="Arial"/>
                <w:sz w:val="14"/>
                <w:szCs w:val="14"/>
                <w:color w:val="auto"/>
                <w:w w:val="94"/>
              </w:rPr>
              <w:t>490</w:t>
            </w:r>
          </w:p>
        </w:tc>
        <w:tc>
          <w:tcPr>
            <w:tcW w:w="1460" w:type="dxa"/>
            <w:vAlign w:val="bottom"/>
          </w:tcPr>
          <w:p>
            <w:pPr>
              <w:jc w:val="right"/>
              <w:ind w:right="548"/>
              <w:spacing w:after="0"/>
              <w:rPr>
                <w:sz w:val="20"/>
                <w:szCs w:val="20"/>
                <w:color w:val="auto"/>
              </w:rPr>
            </w:pPr>
            <w:r>
              <w:rPr>
                <w:rFonts w:ascii="Arial" w:cs="Arial" w:eastAsia="Arial" w:hAnsi="Arial"/>
                <w:sz w:val="14"/>
                <w:szCs w:val="14"/>
                <w:color w:val="auto"/>
              </w:rPr>
              <w:t>230</w:t>
            </w:r>
          </w:p>
        </w:tc>
        <w:tc>
          <w:tcPr>
            <w:tcW w:w="800" w:type="dxa"/>
            <w:vAlign w:val="bottom"/>
          </w:tcPr>
          <w:p>
            <w:pPr>
              <w:jc w:val="right"/>
              <w:spacing w:after="0"/>
              <w:rPr>
                <w:sz w:val="20"/>
                <w:szCs w:val="20"/>
                <w:color w:val="auto"/>
              </w:rPr>
            </w:pPr>
            <w:r>
              <w:rPr>
                <w:rFonts w:ascii="Arial" w:cs="Arial" w:eastAsia="Arial" w:hAnsi="Arial"/>
                <w:sz w:val="14"/>
                <w:szCs w:val="14"/>
                <w:color w:val="auto"/>
              </w:rPr>
              <w:t>720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-633095</wp:posOffset>
            </wp:positionH>
            <wp:positionV relativeFrom="paragraph">
              <wp:posOffset>7620</wp:posOffset>
            </wp:positionV>
            <wp:extent cx="26670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26" w:lineRule="exact"/>
        <w:rPr>
          <w:sz w:val="20"/>
          <w:szCs w:val="20"/>
          <w:color w:val="auto"/>
        </w:rPr>
      </w:pPr>
    </w:p>
    <w:p>
      <w:pPr>
        <w:sectPr>
          <w:pgSz w:w="11900" w:h="16838" w:orient="portrait"/>
          <w:cols w:equalWidth="0" w:num="2">
            <w:col w:w="7160" w:space="720"/>
            <w:col w:w="3520"/>
          </w:cols>
          <w:pgMar w:left="240" w:top="140" w:right="259" w:bottom="1440" w:gutter="0" w:footer="0" w:header="0"/>
          <w:type w:val="continuous"/>
        </w:sectPr>
      </w:pPr>
    </w:p>
    <w:p>
      <w:pPr>
        <w:ind w:left="860"/>
        <w:spacing w:after="0"/>
        <w:rPr>
          <w:sz w:val="20"/>
          <w:szCs w:val="20"/>
          <w:color w:val="auto"/>
        </w:rPr>
      </w:pPr>
      <w:r>
        <w:rPr>
          <w:rFonts w:ascii="Arial" w:cs="Arial" w:eastAsia="Arial" w:hAnsi="Arial"/>
          <w:sz w:val="14"/>
          <w:szCs w:val="14"/>
          <w:b w:val="1"/>
          <w:bCs w:val="1"/>
          <w:color w:val="auto"/>
        </w:rPr>
        <w:t>Cash and cash equivalents, program and restricted cash, end of period</w:t>
      </w:r>
    </w:p>
    <w:p>
      <w:pPr>
        <w:spacing w:after="0" w:line="6" w:lineRule="exact"/>
        <w:rPr>
          <w:sz w:val="20"/>
          <w:szCs w:val="20"/>
          <w:color w:val="auto"/>
        </w:rPr>
      </w:pPr>
    </w:p>
    <w:p>
      <w:pPr>
        <w:ind w:left="6900"/>
        <w:spacing w:after="0"/>
        <w:tabs>
          <w:tab w:leader="none" w:pos="7860" w:val="left"/>
          <w:tab w:leader="none" w:pos="8340" w:val="left"/>
          <w:tab w:leader="none" w:pos="9300" w:val="left"/>
          <w:tab w:leader="none" w:pos="9760" w:val="left"/>
          <w:tab w:leader="none" w:pos="1060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923</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147</w:t>
        <w:tab/>
        <w:t>$</w:t>
      </w:r>
      <w:r>
        <w:rPr>
          <w:sz w:val="20"/>
          <w:szCs w:val="20"/>
          <w:color w:val="auto"/>
        </w:rPr>
        <w:tab/>
      </w:r>
      <w:r>
        <w:rPr>
          <w:rFonts w:ascii="Arial" w:cs="Arial" w:eastAsia="Arial" w:hAnsi="Arial"/>
          <w:sz w:val="14"/>
          <w:szCs w:val="14"/>
          <w:color w:val="auto"/>
        </w:rPr>
        <w:t>1,070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14605</wp:posOffset>
            </wp:positionV>
            <wp:extent cx="266700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67000" cy="26035"/>
                    </a:xfrm>
                    <a:prstGeom prst="rect">
                      <a:avLst/>
                    </a:prstGeom>
                    <a:noFill/>
                  </pic:spPr>
                </pic:pic>
              </a:graphicData>
            </a:graphic>
          </wp:anchor>
        </w:drawing>
      </w:r>
    </w:p>
    <w:p>
      <w:pPr>
        <w:spacing w:after="0" w:line="241" w:lineRule="exact"/>
        <w:rPr>
          <w:sz w:val="20"/>
          <w:szCs w:val="20"/>
          <w:color w:val="auto"/>
        </w:rPr>
      </w:pPr>
    </w:p>
    <w:p>
      <w:pPr>
        <w:ind w:left="500" w:right="120"/>
        <w:spacing w:after="0" w:line="261"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Program cash primarily represents amounts specifically designated to purchase assets under vehicle programs and/or</w:t>
      </w:r>
      <w:r>
        <w:rPr>
          <w:rFonts w:ascii="Arial" w:cs="Arial" w:eastAsia="Arial" w:hAnsi="Arial"/>
          <w:sz w:val="18"/>
          <w:szCs w:val="18"/>
          <w:i w:val="1"/>
          <w:iCs w:val="1"/>
          <w:color w:val="auto"/>
        </w:rPr>
        <w:t xml:space="preserve"> </w:t>
      </w:r>
      <w:r>
        <w:rPr>
          <w:rFonts w:ascii="Arial" w:cs="Arial" w:eastAsia="Arial" w:hAnsi="Arial"/>
          <w:sz w:val="18"/>
          <w:szCs w:val="18"/>
          <w:color w:val="auto"/>
        </w:rPr>
        <w:t>to repay the related debt, as such the Company considers it a restricted cash equivalent. The following table provides a reconciliation of cash and cash equivalents, program and restricted cash reported within the Consolidated Condensed Balance Sheets to the amounts shown in the Consolidated Condensed Statements of Cash Flows.</w:t>
      </w:r>
    </w:p>
    <w:p>
      <w:pPr>
        <w:spacing w:after="0" w:line="136" w:lineRule="exact"/>
        <w:rPr>
          <w:sz w:val="20"/>
          <w:szCs w:val="20"/>
          <w:color w:val="auto"/>
        </w:rPr>
      </w:pPr>
    </w:p>
    <w:tbl>
      <w:tblPr>
        <w:tblLayout w:type="fixed"/>
        <w:tblInd w:w="860" w:type="dxa"/>
        <w:tblCellMar>
          <w:top w:w="0" w:type="dxa"/>
          <w:left w:w="0" w:type="dxa"/>
          <w:bottom w:w="0" w:type="dxa"/>
          <w:right w:w="0" w:type="dxa"/>
        </w:tblCellMar>
      </w:tblPr>
      <w:tr>
        <w:trPr>
          <w:trHeight w:val="246"/>
        </w:trPr>
        <w:tc>
          <w:tcPr>
            <w:tcW w:w="7200" w:type="dxa"/>
            <w:vAlign w:val="bottom"/>
          </w:tcPr>
          <w:p>
            <w:pPr>
              <w:spacing w:after="0"/>
              <w:rPr>
                <w:sz w:val="21"/>
                <w:szCs w:val="21"/>
                <w:color w:val="auto"/>
              </w:rPr>
            </w:pPr>
          </w:p>
        </w:tc>
        <w:tc>
          <w:tcPr>
            <w:tcW w:w="3020" w:type="dxa"/>
            <w:vAlign w:val="bottom"/>
            <w:tcBorders>
              <w:bottom w:val="single" w:sz="8" w:color="auto"/>
            </w:tcBorders>
            <w:gridSpan w:val="5"/>
          </w:tcPr>
          <w:p>
            <w:pPr>
              <w:jc w:val="right"/>
              <w:ind w:right="750"/>
              <w:spacing w:after="0"/>
              <w:rPr>
                <w:sz w:val="20"/>
                <w:szCs w:val="20"/>
                <w:color w:val="auto"/>
              </w:rPr>
            </w:pPr>
            <w:r>
              <w:rPr>
                <w:rFonts w:ascii="Arial" w:cs="Arial" w:eastAsia="Arial" w:hAnsi="Arial"/>
                <w:sz w:val="18"/>
                <w:szCs w:val="18"/>
                <w:b w:val="1"/>
                <w:bCs w:val="1"/>
                <w:color w:val="auto"/>
              </w:rPr>
              <w:t>As of March 31,</w:t>
            </w:r>
          </w:p>
        </w:tc>
      </w:tr>
      <w:tr>
        <w:trPr>
          <w:trHeight w:val="264"/>
        </w:trPr>
        <w:tc>
          <w:tcPr>
            <w:tcW w:w="72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r>
      <w:tr>
        <w:trPr>
          <w:trHeight w:val="243"/>
        </w:trPr>
        <w:tc>
          <w:tcPr>
            <w:tcW w:w="7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923</w:t>
            </w:r>
          </w:p>
        </w:tc>
      </w:tr>
      <w:tr>
        <w:trPr>
          <w:trHeight w:val="270"/>
        </w:trPr>
        <w:tc>
          <w:tcPr>
            <w:tcW w:w="7200" w:type="dxa"/>
            <w:vAlign w:val="bottom"/>
          </w:tcPr>
          <w:p>
            <w:pPr>
              <w:spacing w:after="0"/>
              <w:rPr>
                <w:sz w:val="20"/>
                <w:szCs w:val="20"/>
                <w:color w:val="auto"/>
              </w:rPr>
            </w:pPr>
            <w:r>
              <w:rPr>
                <w:rFonts w:ascii="Arial" w:cs="Arial" w:eastAsia="Arial" w:hAnsi="Arial"/>
                <w:sz w:val="18"/>
                <w:szCs w:val="18"/>
                <w:color w:val="auto"/>
              </w:rPr>
              <w:t>Program cash</w:t>
            </w:r>
          </w:p>
        </w:tc>
        <w:tc>
          <w:tcPr>
            <w:tcW w:w="100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142</w:t>
            </w:r>
          </w:p>
        </w:tc>
      </w:tr>
      <w:tr>
        <w:trPr>
          <w:trHeight w:val="277"/>
        </w:trPr>
        <w:tc>
          <w:tcPr>
            <w:tcW w:w="7200" w:type="dxa"/>
            <w:vAlign w:val="bottom"/>
          </w:tcPr>
          <w:p>
            <w:pPr>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8"/>
                <w:szCs w:val="18"/>
                <w:color w:val="auto"/>
                <w:vertAlign w:val="superscript"/>
              </w:rPr>
              <w:t>(a)</w:t>
            </w: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7200" w:type="dxa"/>
            <w:vAlign w:val="bottom"/>
          </w:tcPr>
          <w:p>
            <w:pPr>
              <w:spacing w:after="0"/>
              <w:rPr>
                <w:sz w:val="20"/>
                <w:szCs w:val="20"/>
                <w:color w:val="auto"/>
              </w:rPr>
            </w:pPr>
            <w:r>
              <w:rPr>
                <w:rFonts w:ascii="Arial" w:cs="Arial" w:eastAsia="Arial" w:hAnsi="Arial"/>
                <w:sz w:val="18"/>
                <w:szCs w:val="18"/>
                <w:color w:val="auto"/>
              </w:rPr>
              <w:t>Total cash and cash equivalents, program and restricted cash</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8890</wp:posOffset>
            </wp:positionV>
            <wp:extent cx="192087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20875" cy="26035"/>
                    </a:xfrm>
                    <a:prstGeom prst="rect">
                      <a:avLst/>
                    </a:prstGeom>
                    <a:noFill/>
                  </pic:spPr>
                </pic:pic>
              </a:graphicData>
            </a:graphic>
          </wp:anchor>
        </w:drawing>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w:t>
      </w:r>
    </w:p>
    <w:p>
      <w:pPr>
        <w:ind w:left="820" w:hanging="326"/>
        <w:spacing w:after="0" w:line="209" w:lineRule="auto"/>
        <w:tabs>
          <w:tab w:leader="none" w:pos="82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Included within other current assets.</w:t>
      </w:r>
    </w:p>
    <w:p>
      <w:pPr>
        <w:spacing w:after="0" w:line="182" w:lineRule="exact"/>
        <w:rPr>
          <w:sz w:val="20"/>
          <w:szCs w:val="20"/>
          <w:color w:val="auto"/>
        </w:rPr>
      </w:pPr>
    </w:p>
    <w:p>
      <w:pPr>
        <w:ind w:left="500" w:right="140"/>
        <w:spacing w:after="0" w:line="257"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The Company presents separately the financial data of its vehicle programs. These programs are distinct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183" w:lineRule="exact"/>
        <w:rPr>
          <w:sz w:val="20"/>
          <w:szCs w:val="20"/>
          <w:color w:val="auto"/>
        </w:rPr>
      </w:pPr>
    </w:p>
    <w:p>
      <w:pPr>
        <w:ind w:left="500"/>
        <w:spacing w:after="0" w:line="258" w:lineRule="auto"/>
        <w:rPr>
          <w:sz w:val="20"/>
          <w:szCs w:val="20"/>
          <w:color w:val="auto"/>
        </w:rPr>
      </w:pPr>
      <w:r>
        <w:rPr>
          <w:rFonts w:ascii="Arial" w:cs="Arial" w:eastAsia="Arial" w:hAnsi="Arial"/>
          <w:sz w:val="18"/>
          <w:szCs w:val="18"/>
          <w:i w:val="1"/>
          <w:iCs w:val="1"/>
          <w:color w:val="auto"/>
        </w:rPr>
        <w:t xml:space="preserve">Transaction-related costs, net. </w:t>
      </w:r>
      <w:r>
        <w:rPr>
          <w:rFonts w:ascii="Arial" w:cs="Arial" w:eastAsia="Arial" w:hAnsi="Arial"/>
          <w:sz w:val="18"/>
          <w:szCs w:val="18"/>
          <w:color w:val="auto"/>
        </w:rPr>
        <w:t>Transaction-related costs, net are classified separately in the Consolidated Condensed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These costs are comprised of expenses related to acquisition-related activities such as due diligence and other advisory costs, expenses related to the integration of the acquiree’s operations with those of the Company, including the implementation of best practices and process improvements, non-cash gains and losses related to re-acquired rights, expenses related to pre-acquisition contingencies and contingent consideration related to acquisitions.</w:t>
      </w:r>
    </w:p>
    <w:p>
      <w:pPr>
        <w:spacing w:after="0" w:line="184" w:lineRule="exact"/>
        <w:rPr>
          <w:sz w:val="20"/>
          <w:szCs w:val="20"/>
          <w:color w:val="auto"/>
        </w:rPr>
      </w:pPr>
    </w:p>
    <w:p>
      <w:pPr>
        <w:ind w:left="500" w:right="240"/>
        <w:spacing w:after="0" w:line="266"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The Company records the gain or loss on foreign-currency transactions on certain intercompany loans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gain or loss on intercompany loan hedges within interest expense related to corporate debt, net. During the three months ended March 31, 2018 and 2017, the Company recorded a $1 million gain and an immaterial amount, respectively, on such items.</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Reclassification of Certain Tax Effects from Accumulated Other Comprehensive Income</w:t>
      </w:r>
    </w:p>
    <w:p>
      <w:pPr>
        <w:spacing w:after="0" w:line="243" w:lineRule="exact"/>
        <w:rPr>
          <w:sz w:val="20"/>
          <w:szCs w:val="20"/>
          <w:color w:val="auto"/>
        </w:rPr>
      </w:pPr>
    </w:p>
    <w:p>
      <w:pPr>
        <w:ind w:left="500" w:right="60"/>
        <w:spacing w:after="0" w:line="253" w:lineRule="auto"/>
        <w:rPr>
          <w:sz w:val="20"/>
          <w:szCs w:val="20"/>
          <w:color w:val="auto"/>
        </w:rPr>
      </w:pPr>
      <w:r>
        <w:rPr>
          <w:rFonts w:ascii="Arial" w:cs="Arial" w:eastAsia="Arial" w:hAnsi="Arial"/>
          <w:sz w:val="18"/>
          <w:szCs w:val="18"/>
          <w:color w:val="auto"/>
        </w:rPr>
        <w:t>On January 1, 2018, as a result of a new accounting pronouncement, the Company early adopted ASU 2018-02, “Income Statement-Reporting Comprehensive Income (Topic 220): Reclassification of Certain Tax Effects from Accumulated Other Comprehensive Income,” which allows a reclassification from accumulated other comprehensive income to retained earnings for the adjustment of deferred taxes due to the reduction of the corporate income tax rate as a result of U.S. tax reform. Accordingly, the Company has reclassified $4 million of net tax benefits from accumulated other comprehensive loss to beginning accumulated deficit</w:t>
      </w:r>
    </w:p>
    <w:p>
      <w:pPr>
        <w:sectPr>
          <w:pgSz w:w="11900" w:h="16838" w:orient="portrait"/>
          <w:cols w:equalWidth="0" w:num="1">
            <w:col w:w="11400"/>
          </w:cols>
          <w:pgMar w:left="240" w:top="140" w:right="259" w:bottom="1440" w:gutter="0" w:footer="0" w:header="0"/>
          <w:type w:val="continuous"/>
        </w:sect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140" w:right="25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related to the following (see Note 14 - Stockholders’ Equity). Prior period amounts have not been retrospectively adjusted.</w:t>
      </w:r>
    </w:p>
    <w:p>
      <w:pPr>
        <w:spacing w:after="0" w:line="159" w:lineRule="exact"/>
        <w:rPr>
          <w:sz w:val="20"/>
          <w:szCs w:val="20"/>
          <w:color w:val="auto"/>
        </w:rPr>
      </w:pPr>
    </w:p>
    <w:tbl>
      <w:tblPr>
        <w:tblLayout w:type="fixed"/>
        <w:tblInd w:w="84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ind w:left="128"/>
              <w:spacing w:after="0"/>
              <w:rPr>
                <w:sz w:val="20"/>
                <w:szCs w:val="20"/>
                <w:color w:val="auto"/>
              </w:rPr>
            </w:pPr>
            <w:r>
              <w:rPr>
                <w:rFonts w:ascii="Arial" w:cs="Arial" w:eastAsia="Arial" w:hAnsi="Arial"/>
                <w:sz w:val="14"/>
                <w:szCs w:val="14"/>
                <w:b w:val="1"/>
                <w:bCs w:val="1"/>
                <w:color w:val="auto"/>
              </w:rPr>
              <w:t>Net Unrealized Gains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Net Unrealized Gains</w:t>
            </w: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jc w:val="center"/>
              <w:ind w:right="68"/>
              <w:spacing w:after="0"/>
              <w:rPr>
                <w:sz w:val="20"/>
                <w:szCs w:val="20"/>
                <w:color w:val="auto"/>
              </w:rPr>
            </w:pPr>
            <w:r>
              <w:rPr>
                <w:rFonts w:ascii="Arial" w:cs="Arial" w:eastAsia="Arial" w:hAnsi="Arial"/>
                <w:sz w:val="14"/>
                <w:szCs w:val="14"/>
                <w:b w:val="1"/>
                <w:bCs w:val="1"/>
                <w:color w:val="auto"/>
              </w:rPr>
              <w:t>Accumulated Other</w:t>
            </w:r>
          </w:p>
        </w:tc>
      </w:tr>
      <w:tr>
        <w:trPr>
          <w:trHeight w:val="162"/>
        </w:trPr>
        <w:tc>
          <w:tcPr>
            <w:tcW w:w="1800" w:type="dxa"/>
            <w:vAlign w:val="bottom"/>
          </w:tcPr>
          <w:p>
            <w:pPr>
              <w:jc w:val="center"/>
              <w:ind w:left="168"/>
              <w:spacing w:after="0"/>
              <w:rPr>
                <w:sz w:val="20"/>
                <w:szCs w:val="20"/>
                <w:color w:val="auto"/>
              </w:rPr>
            </w:pPr>
            <w:r>
              <w:rPr>
                <w:rFonts w:ascii="Arial" w:cs="Arial" w:eastAsia="Arial" w:hAnsi="Arial"/>
                <w:sz w:val="14"/>
                <w:szCs w:val="14"/>
                <w:b w:val="1"/>
                <w:bCs w:val="1"/>
                <w:color w:val="auto"/>
              </w:rPr>
              <w:t>Currency Translation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ind w:left="108"/>
              <w:spacing w:after="0"/>
              <w:rPr>
                <w:sz w:val="20"/>
                <w:szCs w:val="20"/>
                <w:color w:val="auto"/>
              </w:rPr>
            </w:pPr>
            <w:r>
              <w:rPr>
                <w:rFonts w:ascii="Arial" w:cs="Arial" w:eastAsia="Arial" w:hAnsi="Arial"/>
                <w:sz w:val="14"/>
                <w:szCs w:val="14"/>
                <w:b w:val="1"/>
                <w:bCs w:val="1"/>
                <w:color w:val="auto"/>
              </w:rPr>
              <w:t>(Losses) on Cash Flow</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(Losses) on Available-for</w:t>
            </w:r>
          </w:p>
        </w:tc>
        <w:tc>
          <w:tcPr>
            <w:tcW w:w="2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Minimum Pension Liability</w:t>
            </w:r>
          </w:p>
        </w:tc>
        <w:tc>
          <w:tcPr>
            <w:tcW w:w="140" w:type="dxa"/>
            <w:vAlign w:val="bottom"/>
          </w:tcPr>
          <w:p>
            <w:pPr>
              <w:spacing w:after="0"/>
              <w:rPr>
                <w:sz w:val="14"/>
                <w:szCs w:val="14"/>
                <w:color w:val="auto"/>
              </w:rPr>
            </w:pPr>
          </w:p>
        </w:tc>
        <w:tc>
          <w:tcPr>
            <w:tcW w:w="1800" w:type="dxa"/>
            <w:vAlign w:val="bottom"/>
          </w:tcPr>
          <w:p>
            <w:pPr>
              <w:jc w:val="center"/>
              <w:ind w:right="68"/>
              <w:spacing w:after="0"/>
              <w:rPr>
                <w:sz w:val="20"/>
                <w:szCs w:val="20"/>
                <w:color w:val="auto"/>
              </w:rPr>
            </w:pPr>
            <w:r>
              <w:rPr>
                <w:rFonts w:ascii="Arial" w:cs="Arial" w:eastAsia="Arial" w:hAnsi="Arial"/>
                <w:sz w:val="14"/>
                <w:szCs w:val="14"/>
                <w:b w:val="1"/>
                <w:bCs w:val="1"/>
                <w:color w:val="auto"/>
              </w:rPr>
              <w:t>Comprehensive Income</w:t>
            </w:r>
          </w:p>
        </w:tc>
      </w:tr>
      <w:tr>
        <w:trPr>
          <w:trHeight w:val="196"/>
        </w:trPr>
        <w:tc>
          <w:tcPr>
            <w:tcW w:w="180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Hedges</w:t>
            </w:r>
          </w:p>
        </w:tc>
        <w:tc>
          <w:tcPr>
            <w:tcW w:w="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Sale Securities</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Adjustment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9"/>
              </w:rPr>
              <w:t>(Loss)</w:t>
            </w:r>
          </w:p>
        </w:tc>
      </w:tr>
      <w:tr>
        <w:trPr>
          <w:trHeight w:val="244"/>
        </w:trPr>
        <w:tc>
          <w:tcPr>
            <w:tcW w:w="1800" w:type="dxa"/>
            <w:vAlign w:val="bottom"/>
          </w:tcPr>
          <w:p>
            <w:pPr>
              <w:jc w:val="right"/>
              <w:ind w:right="1628"/>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760" w:type="dxa"/>
            <w:vAlign w:val="bottom"/>
          </w:tcPr>
          <w:p>
            <w:pPr>
              <w:jc w:val="right"/>
              <w:ind w:right="1588"/>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940" w:type="dxa"/>
            <w:vAlign w:val="bottom"/>
            <w:gridSpan w:val="2"/>
          </w:tcPr>
          <w:p>
            <w:pPr>
              <w:ind w:left="16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(4)</w:t>
            </w:r>
          </w:p>
        </w:tc>
      </w:tr>
    </w:tbl>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Improving the Presentation of Net Periodic Pension Cost and Net Periodic Postretirement Benefit Cost</w:t>
      </w:r>
    </w:p>
    <w:p>
      <w:pPr>
        <w:spacing w:after="0" w:line="243"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On January 1, 2018, as a result of a new accounting pronouncement, the Company adopted ASU 2017-07, “Compensation—Retirement Benefits (Topic 715): Improving the Presentation of Net Periodic Pension Costs and Net Periodic Postretirement Benefit Cost,” which requires an entity to disaggregate the components of net benefit cost recognized in its consolidated statements of operations. The adoption of this accounting pronouncement did not have a material impact on the Company’s Consolidated Condensed Financial Statements.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Recognition and Measurement of Financial Assets and Financial Liabilities</w:t>
      </w:r>
    </w:p>
    <w:p>
      <w:pPr>
        <w:spacing w:after="0" w:line="243"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On January 1, 2018, as a result of a new accounting pronouncement, the Company adopted ASU 2016 -01, “Financial Instruments— Overall (Subtopic 825-10): Recognition and Measurement of Financial Assets and Financial Liabilities,” which makes limited amendments to the classification and measurement of financial instruments. The amendments supersede the guidance to classify equity securities with readily determinable fair values into different categories (trading or available-for-sale) and require equity securities (including other ownership interests, such as partnerships, unincorporated joint ventures, and limited liability companies) to be measured at fair value with changes in the fair value recognized through net income. Accordingly, the Company has reclassified $2 million of net unrealized gains associated with available for sale equity securities from accumulated other comprehensive loss to beginning accumulated deficit (see Note 14 - Stockholders’ Equity).</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Intra-Entity Transfers of Assets Other Than Inventory</w:t>
      </w:r>
    </w:p>
    <w:p>
      <w:pPr>
        <w:spacing w:after="0" w:line="243" w:lineRule="exact"/>
        <w:rPr>
          <w:sz w:val="20"/>
          <w:szCs w:val="20"/>
          <w:color w:val="auto"/>
        </w:rPr>
      </w:pPr>
    </w:p>
    <w:p>
      <w:pPr>
        <w:ind w:left="500" w:right="140"/>
        <w:spacing w:after="0" w:line="254" w:lineRule="auto"/>
        <w:rPr>
          <w:sz w:val="20"/>
          <w:szCs w:val="20"/>
          <w:color w:val="auto"/>
        </w:rPr>
      </w:pPr>
      <w:r>
        <w:rPr>
          <w:rFonts w:ascii="Arial" w:cs="Arial" w:eastAsia="Arial" w:hAnsi="Arial"/>
          <w:sz w:val="18"/>
          <w:szCs w:val="18"/>
          <w:color w:val="auto"/>
        </w:rPr>
        <w:t>On January 1, 2018, as a result of a new accounting pronouncement, the Company adopted ASU 2016-16, “Income Taxes (Topic 740): Intra-Entity Transfers of Assets Other Than Inventory,” which removes the prohibition in Topic 740 against the immediate recognition of the current and deferred income tax effects of intra-entity transfers of assets other than inventory. The adoption of this accounting pronouncement did not have an impact on the Company’s Consolidated Condensed Financial Statements.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43" w:lineRule="exact"/>
        <w:rPr>
          <w:sz w:val="20"/>
          <w:szCs w:val="20"/>
          <w:color w:val="auto"/>
        </w:rPr>
      </w:pPr>
    </w:p>
    <w:p>
      <w:pPr>
        <w:ind w:left="500" w:right="100"/>
        <w:spacing w:after="0" w:line="251" w:lineRule="auto"/>
        <w:rPr>
          <w:sz w:val="20"/>
          <w:szCs w:val="20"/>
          <w:color w:val="auto"/>
        </w:rPr>
      </w:pPr>
      <w:r>
        <w:rPr>
          <w:rFonts w:ascii="Arial" w:cs="Arial" w:eastAsia="Arial" w:hAnsi="Arial"/>
          <w:sz w:val="18"/>
          <w:szCs w:val="18"/>
          <w:color w:val="auto"/>
        </w:rPr>
        <w:t xml:space="preserve">On January 1, 2018, as a result of a new accounting pronouncement, the Company adopted ASU 2014 -09, “Revenue from Contracts with Customers (Topic 606),” which outlines a single model for entities to use in accounting for revenue arising from contracts with customers and supersedes current revenue recognition guidance. The new guidance applies to all contracts with customers except for leases, insurance contracts, financial instruments, certain nonmonetary exchanges and certain guarantees. Also, additional disclosures are required about the nature, amount, timing and uncertainty of revenue and cash flows arising from customer contracts, including significant judgments and changes in judgments. The Company has adopted the requirements of the new standard on a modified retrospective basis applied to all contracts. Prior periods have not been retrospectively adjusted. As discussed in </w:t>
      </w:r>
      <w:r>
        <w:rPr>
          <w:rFonts w:ascii="Arial" w:cs="Arial" w:eastAsia="Arial" w:hAnsi="Arial"/>
          <w:sz w:val="18"/>
          <w:szCs w:val="18"/>
          <w:i w:val="1"/>
          <w:iCs w:val="1"/>
          <w:color w:val="auto"/>
        </w:rPr>
        <w:t>Leases</w:t>
      </w:r>
      <w:r>
        <w:rPr>
          <w:rFonts w:ascii="Arial" w:cs="Arial" w:eastAsia="Arial" w:hAnsi="Arial"/>
          <w:sz w:val="18"/>
          <w:szCs w:val="18"/>
          <w:color w:val="auto"/>
        </w:rPr>
        <w:t xml:space="preserve"> below, the Company’s rental related revenues will be accounted for under Topic 606 until the adoption of ASU 2016-02, “Leases (Topic 842)” on January 1, 2019. Under Topic 606, each transaction that generates customer loyalty points results in the deferral of revenue generally equivalent to the retail value of the redemption of the loyalty points. The associated revenue will be recognized at the time the customer redeems the loyalty points. Previously, the Company did not defer revenue and recorded an expense associated with the incremental cost of providing the future rental at the time when the loyalty points were earned. In the Company’s Consolidated Condensed Balance Sheet at January 1, 2018, customer loyalty program liability increased approximately $50 million related to the retail value of customer loyalty points earned, with a corresponding increase to accumulated deficit (approximately $40 million, net of tax) due to the cumulative impact of adopting Topic 606. Certain customers may receive cash-based rebates, which are accounted for as variable consideration under Topic</w:t>
      </w: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40" w:right="2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860" w:hanging="6"/>
        <w:spacing w:after="0" w:line="262"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estimates these rebates based on the expected amount to be provided to customers and reduces revenue recognized.</w:t>
      </w:r>
    </w:p>
    <w:p>
      <w:pPr>
        <w:spacing w:after="0" w:line="196"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The impact of adoption of Topic 606 on the Company’s Consolidated Condensed Statement of Comprehensive Income and Consolidated Condensed Balance Sheet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73660</wp:posOffset>
            </wp:positionV>
            <wp:extent cx="26670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ectPr>
          <w:pgSz w:w="11900" w:h="16838" w:orient="portrait"/>
          <w:cols w:equalWidth="0" w:num="1">
            <w:col w:w="11380"/>
          </w:cols>
          <w:pgMar w:left="240" w:top="14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20" w:right="980"/>
        <w:spacing w:after="0" w:line="466" w:lineRule="auto"/>
        <w:rPr>
          <w:sz w:val="20"/>
          <w:szCs w:val="20"/>
          <w:color w:val="auto"/>
        </w:rPr>
      </w:pPr>
      <w:r>
        <w:rPr>
          <w:rFonts w:ascii="Arial" w:cs="Arial" w:eastAsia="Arial" w:hAnsi="Arial"/>
          <w:sz w:val="14"/>
          <w:szCs w:val="14"/>
          <w:b w:val="1"/>
          <w:bCs w:val="1"/>
          <w:u w:val="single" w:color="auto"/>
          <w:color w:val="auto"/>
        </w:rPr>
        <w:t xml:space="preserve">Consolidated Condensed Statement of Comprehensive Income </w:t>
      </w:r>
      <w:r>
        <w:rPr>
          <w:rFonts w:ascii="Arial" w:cs="Arial" w:eastAsia="Arial" w:hAnsi="Arial"/>
          <w:sz w:val="14"/>
          <w:szCs w:val="14"/>
          <w:b w:val="1"/>
          <w:bCs w:val="1"/>
          <w:color w:val="auto"/>
        </w:rPr>
        <w:t>Revenues</w:t>
      </w:r>
    </w:p>
    <w:p>
      <w:pPr>
        <w:spacing w:after="0" w:line="91"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Expenses</w:t>
      </w:r>
    </w:p>
    <w:p>
      <w:pPr>
        <w:spacing w:after="0" w:line="127" w:lineRule="exact"/>
        <w:rPr>
          <w:sz w:val="20"/>
          <w:szCs w:val="20"/>
          <w:color w:val="auto"/>
        </w:rPr>
      </w:pPr>
    </w:p>
    <w:p>
      <w:pPr>
        <w:ind w:left="600"/>
        <w:spacing w:after="0"/>
        <w:rPr>
          <w:sz w:val="20"/>
          <w:szCs w:val="20"/>
          <w:color w:val="auto"/>
        </w:rPr>
      </w:pPr>
      <w:r>
        <w:rPr>
          <w:rFonts w:ascii="Arial" w:cs="Arial" w:eastAsia="Arial" w:hAnsi="Arial"/>
          <w:sz w:val="14"/>
          <w:szCs w:val="14"/>
          <w:color w:val="auto"/>
        </w:rPr>
        <w:t>Operating</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expenses</w:t>
      </w:r>
    </w:p>
    <w:p>
      <w:pPr>
        <w:spacing w:after="0" w:line="294"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Loss before income taxes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Benefit from income taxes</w:t>
      </w:r>
    </w:p>
    <w:p>
      <w:pPr>
        <w:spacing w:after="0" w:line="3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Net loss</w:t>
      </w:r>
    </w:p>
    <w:p>
      <w:pPr>
        <w:spacing w:after="0" w:line="200" w:lineRule="exact"/>
        <w:rPr>
          <w:sz w:val="20"/>
          <w:szCs w:val="20"/>
          <w:color w:val="auto"/>
        </w:rPr>
      </w:pPr>
    </w:p>
    <w:p>
      <w:pPr>
        <w:spacing w:after="0" w:line="20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0"/>
        <w:spacing w:after="0"/>
        <w:rPr>
          <w:sz w:val="20"/>
          <w:szCs w:val="20"/>
          <w:color w:val="auto"/>
        </w:rPr>
      </w:pPr>
      <w:r>
        <w:rPr>
          <w:rFonts w:ascii="Arial" w:cs="Arial" w:eastAsia="Arial" w:hAnsi="Arial"/>
          <w:sz w:val="14"/>
          <w:szCs w:val="14"/>
          <w:b w:val="1"/>
          <w:bCs w:val="1"/>
          <w:u w:val="single" w:color="auto"/>
          <w:color w:val="auto"/>
        </w:rPr>
        <w:t>Consolidated Condensed Balance Sheet</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520" w:right="1740"/>
        <w:spacing w:after="0" w:line="419" w:lineRule="auto"/>
        <w:rPr>
          <w:sz w:val="20"/>
          <w:szCs w:val="20"/>
          <w:color w:val="auto"/>
        </w:rPr>
      </w:pPr>
      <w:r>
        <w:rPr>
          <w:rFonts w:ascii="Arial" w:cs="Arial" w:eastAsia="Arial" w:hAnsi="Arial"/>
          <w:sz w:val="14"/>
          <w:szCs w:val="14"/>
          <w:color w:val="auto"/>
        </w:rPr>
        <w:t>Total assets exclusive of assets under vehicle programs Total assets</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Accounts payable and other current liabilities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current liabilities</w:t>
      </w:r>
    </w:p>
    <w:p>
      <w:pPr>
        <w:spacing w:after="0" w:line="31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Other non-current liabilities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liabilities exclusive of liabilities under vehicle programs</w:t>
      </w:r>
    </w:p>
    <w:p>
      <w:pPr>
        <w:spacing w:after="0" w:line="39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Accumulated deficit</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stockholders’ equity</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4"/>
          <w:szCs w:val="14"/>
          <w:b w:val="1"/>
          <w:bCs w:val="1"/>
          <w:color w:val="auto"/>
        </w:rPr>
        <w:t>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26670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Balances without</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Adoption of Topic</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6"/>
        </w:trPr>
        <w:tc>
          <w:tcPr>
            <w:tcW w:w="18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As Reported</w:t>
            </w:r>
          </w:p>
        </w:tc>
        <w:tc>
          <w:tcPr>
            <w:tcW w:w="140" w:type="dxa"/>
            <w:vAlign w:val="bottom"/>
          </w:tcPr>
          <w:p>
            <w:pPr>
              <w:spacing w:after="0"/>
              <w:rPr>
                <w:sz w:val="17"/>
                <w:szCs w:val="17"/>
                <w:color w:val="auto"/>
              </w:rPr>
            </w:pPr>
          </w:p>
        </w:tc>
        <w:tc>
          <w:tcPr>
            <w:tcW w:w="1200" w:type="dxa"/>
            <w:vAlign w:val="bottom"/>
          </w:tcPr>
          <w:p>
            <w:pPr>
              <w:jc w:val="center"/>
              <w:ind w:right="48"/>
              <w:spacing w:after="0"/>
              <w:rPr>
                <w:sz w:val="20"/>
                <w:szCs w:val="20"/>
                <w:color w:val="auto"/>
              </w:rPr>
            </w:pPr>
            <w:r>
              <w:rPr>
                <w:rFonts w:ascii="Arial" w:cs="Arial" w:eastAsia="Arial" w:hAnsi="Arial"/>
                <w:sz w:val="14"/>
                <w:szCs w:val="14"/>
                <w:b w:val="1"/>
                <w:bCs w:val="1"/>
                <w:color w:val="auto"/>
              </w:rPr>
              <w:t>606</w:t>
            </w:r>
          </w:p>
        </w:tc>
        <w:tc>
          <w:tcPr>
            <w:tcW w:w="100" w:type="dxa"/>
            <w:vAlign w:val="bottom"/>
          </w:tcPr>
          <w:p>
            <w:pPr>
              <w:spacing w:after="0"/>
              <w:rPr>
                <w:sz w:val="17"/>
                <w:szCs w:val="17"/>
                <w:color w:val="auto"/>
              </w:rPr>
            </w:pPr>
          </w:p>
        </w:tc>
        <w:tc>
          <w:tcPr>
            <w:tcW w:w="13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Effect of Change</w:t>
            </w:r>
          </w:p>
        </w:tc>
      </w:tr>
      <w:tr>
        <w:trPr>
          <w:trHeight w:val="528"/>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1,968</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1,975</w:t>
            </w:r>
          </w:p>
        </w:tc>
        <w:tc>
          <w:tcPr>
            <w:tcW w:w="100" w:type="dxa"/>
            <w:vAlign w:val="bottom"/>
          </w:tcPr>
          <w:p>
            <w:pPr>
              <w:spacing w:after="0"/>
              <w:rPr>
                <w:sz w:val="24"/>
                <w:szCs w:val="24"/>
                <w:color w:val="auto"/>
              </w:rPr>
            </w:pPr>
          </w:p>
        </w:tc>
        <w:tc>
          <w:tcPr>
            <w:tcW w:w="560" w:type="dxa"/>
            <w:vAlign w:val="bottom"/>
            <w:tcBorders>
              <w:top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r>
      <w:tr>
        <w:trPr>
          <w:trHeight w:val="708"/>
        </w:trPr>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1,093</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50"/>
        </w:trPr>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2,097</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2,098</w:t>
            </w: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447"/>
        </w:trPr>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76"/>
        </w:trPr>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37"/>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21"/>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4"/>
                <w:szCs w:val="24"/>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70"/>
        </w:trPr>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r>
      <w:tr>
        <w:trPr>
          <w:trHeight w:val="244"/>
        </w:trPr>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March 31, 2018</w:t>
            </w:r>
          </w:p>
        </w:tc>
        <w:tc>
          <w:tcPr>
            <w:tcW w:w="5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r>
      <w:tr>
        <w:trPr>
          <w:trHeight w:val="175"/>
        </w:trPr>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Balances without</w:t>
            </w: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62"/>
        </w:trPr>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Adoption of Topic</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6"/>
        </w:trPr>
        <w:tc>
          <w:tcPr>
            <w:tcW w:w="18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As Reported</w:t>
            </w:r>
          </w:p>
        </w:tc>
        <w:tc>
          <w:tcPr>
            <w:tcW w:w="140" w:type="dxa"/>
            <w:vAlign w:val="bottom"/>
          </w:tcPr>
          <w:p>
            <w:pPr>
              <w:spacing w:after="0"/>
              <w:rPr>
                <w:sz w:val="17"/>
                <w:szCs w:val="17"/>
                <w:color w:val="auto"/>
              </w:rPr>
            </w:pPr>
          </w:p>
        </w:tc>
        <w:tc>
          <w:tcPr>
            <w:tcW w:w="1200" w:type="dxa"/>
            <w:vAlign w:val="bottom"/>
          </w:tcPr>
          <w:p>
            <w:pPr>
              <w:jc w:val="center"/>
              <w:ind w:right="48"/>
              <w:spacing w:after="0"/>
              <w:rPr>
                <w:sz w:val="20"/>
                <w:szCs w:val="20"/>
                <w:color w:val="auto"/>
              </w:rPr>
            </w:pPr>
            <w:r>
              <w:rPr>
                <w:rFonts w:ascii="Arial" w:cs="Arial" w:eastAsia="Arial" w:hAnsi="Arial"/>
                <w:sz w:val="14"/>
                <w:szCs w:val="14"/>
                <w:b w:val="1"/>
                <w:bCs w:val="1"/>
                <w:color w:val="auto"/>
              </w:rPr>
              <w:t>606</w:t>
            </w:r>
          </w:p>
        </w:tc>
        <w:tc>
          <w:tcPr>
            <w:tcW w:w="100" w:type="dxa"/>
            <w:vAlign w:val="bottom"/>
          </w:tcPr>
          <w:p>
            <w:pPr>
              <w:spacing w:after="0"/>
              <w:rPr>
                <w:sz w:val="17"/>
                <w:szCs w:val="17"/>
                <w:color w:val="auto"/>
              </w:rPr>
            </w:pPr>
          </w:p>
        </w:tc>
        <w:tc>
          <w:tcPr>
            <w:tcW w:w="132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Effect of Change</w:t>
            </w:r>
          </w:p>
        </w:tc>
      </w:tr>
      <w:tr>
        <w:trPr>
          <w:trHeight w:val="534"/>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967</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955</w:t>
            </w:r>
          </w:p>
        </w:tc>
        <w:tc>
          <w:tcPr>
            <w:tcW w:w="100" w:type="dxa"/>
            <w:vAlign w:val="bottom"/>
          </w:tcPr>
          <w:p>
            <w:pPr>
              <w:spacing w:after="0"/>
              <w:rPr>
                <w:sz w:val="24"/>
                <w:szCs w:val="24"/>
                <w:color w:val="auto"/>
              </w:rPr>
            </w:pPr>
          </w:p>
        </w:tc>
        <w:tc>
          <w:tcPr>
            <w:tcW w:w="56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r>
      <w:tr>
        <w:trPr>
          <w:trHeight w:val="250"/>
        </w:trPr>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5,966</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5,954</w:t>
            </w: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r>
      <w:tr>
        <w:trPr>
          <w:trHeight w:val="250"/>
        </w:trPr>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19,222</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19,210</w:t>
            </w: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r>
      <w:tr>
        <w:trPr>
          <w:trHeight w:val="534"/>
        </w:trPr>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1,777</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1,771</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r>
      <w:tr>
        <w:trPr>
          <w:trHeight w:val="250"/>
        </w:trPr>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1,803</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1,797</w:t>
            </w: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r>
      <w:tr>
        <w:trPr>
          <w:trHeight w:val="453"/>
        </w:trPr>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763</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713</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w:t>
            </w:r>
          </w:p>
        </w:tc>
      </w:tr>
      <w:tr>
        <w:trPr>
          <w:trHeight w:val="250"/>
        </w:trPr>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6,147</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6,097</w:t>
            </w: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w:t>
            </w:r>
          </w:p>
        </w:tc>
      </w:tr>
      <w:tr>
        <w:trPr>
          <w:trHeight w:val="534"/>
        </w:trPr>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(1,300)</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r>
      <w:tr>
        <w:trPr>
          <w:trHeight w:val="237"/>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499</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2">
            <w:col w:w="5820" w:space="720"/>
            <w:col w:w="4840"/>
          </w:cols>
          <w:pgMar w:left="240" w:top="140" w:right="279" w:bottom="1440" w:gutter="0" w:footer="0" w:header="0"/>
          <w:type w:val="continuous"/>
        </w:sect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Accounting for Hedging Activities</w:t>
      </w:r>
    </w:p>
    <w:p>
      <w:pPr>
        <w:spacing w:after="0" w:line="243" w:lineRule="exact"/>
        <w:rPr>
          <w:sz w:val="20"/>
          <w:szCs w:val="20"/>
          <w:color w:val="auto"/>
        </w:rPr>
      </w:pPr>
    </w:p>
    <w:p>
      <w:pPr>
        <w:ind w:left="500" w:right="400"/>
        <w:spacing w:after="0" w:line="253" w:lineRule="auto"/>
        <w:rPr>
          <w:sz w:val="20"/>
          <w:szCs w:val="20"/>
          <w:color w:val="auto"/>
        </w:rPr>
      </w:pPr>
      <w:r>
        <w:rPr>
          <w:rFonts w:ascii="Arial" w:cs="Arial" w:eastAsia="Arial" w:hAnsi="Arial"/>
          <w:sz w:val="18"/>
          <w:szCs w:val="18"/>
          <w:color w:val="auto"/>
        </w:rPr>
        <w:t>In August 2017, the Financial Accounting Standards Board (“FASB”) issued ASU 2017-12, “Derivatives and Hedging (Topic 815): Targeted Improvements to Accounting for Hedging Activities,” which amends the existing guidance to allow companies to more accurately present the economic results of an entity’s risk management activities in the financial statements. ASU 2017-12 becomes effective for the Company on January 1, 2019. Early adoption is permitted. The Company is currently evaluating the effect of this accounting pronouncement on its Consolidated Condensed Financial Statements.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Measurement of Credit Losses on Financial Instruments</w:t>
      </w:r>
    </w:p>
    <w:p>
      <w:pPr>
        <w:spacing w:after="0" w:line="243" w:lineRule="exact"/>
        <w:rPr>
          <w:sz w:val="20"/>
          <w:szCs w:val="20"/>
          <w:color w:val="auto"/>
        </w:rPr>
      </w:pPr>
    </w:p>
    <w:p>
      <w:pPr>
        <w:ind w:left="500" w:right="360"/>
        <w:spacing w:after="0" w:line="253" w:lineRule="auto"/>
        <w:rPr>
          <w:sz w:val="20"/>
          <w:szCs w:val="20"/>
          <w:color w:val="auto"/>
        </w:rPr>
      </w:pPr>
      <w:r>
        <w:rPr>
          <w:rFonts w:ascii="Arial" w:cs="Arial" w:eastAsia="Arial" w:hAnsi="Arial"/>
          <w:sz w:val="18"/>
          <w:szCs w:val="18"/>
          <w:color w:val="auto"/>
        </w:rPr>
        <w:t>In June 2016, the FASB issued ASU 2016-13, “Financial Instruments—Credit Losses (Topic 326): Measurement of Credit Losses on Financial Instruments,” which sets forth a current expected credit loss impairment model for financial assets that replaces the current incurred loss model. This model requires a financial asset (or group of financial assets), including trade receivables, measured at amortized cost to be presented at the net amount expected to be collected with an allowance for credit losses deducted from the amortized cost basis. The allowance for credit losses should reflect management’s current estimate of credit</w:t>
      </w:r>
    </w:p>
    <w:p>
      <w:pPr>
        <w:sectPr>
          <w:pgSz w:w="11900" w:h="16838" w:orient="portrait"/>
          <w:cols w:equalWidth="0" w:num="1">
            <w:col w:w="11380"/>
          </w:cols>
          <w:pgMar w:left="240" w:top="140" w:right="279" w:bottom="1440" w:gutter="0" w:footer="0" w:header="0"/>
          <w:type w:val="continuous"/>
        </w:sect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380"/>
          </w:cols>
          <w:pgMar w:left="240" w:top="140" w:right="27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260"/>
        <w:spacing w:after="0" w:line="256" w:lineRule="auto"/>
        <w:rPr>
          <w:sz w:val="20"/>
          <w:szCs w:val="20"/>
          <w:color w:val="auto"/>
        </w:rPr>
      </w:pPr>
      <w:r>
        <w:rPr>
          <w:rFonts w:ascii="Arial" w:cs="Arial" w:eastAsia="Arial" w:hAnsi="Arial"/>
          <w:sz w:val="18"/>
          <w:szCs w:val="18"/>
          <w:color w:val="auto"/>
        </w:rPr>
        <w:t>losses that are expected to occur over the remaining life of a financial asset. ASU 2016-13 becomes effective for the Company on January 1, 2020. Early adoption is permitted as of January 1, 2019. The adoption of this accounting pronouncement is not expected to have a material impact on the Company's Consolidated Condensed Financial Statements.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Leases</w:t>
      </w:r>
    </w:p>
    <w:p>
      <w:pPr>
        <w:spacing w:after="0" w:line="243" w:lineRule="exact"/>
        <w:rPr>
          <w:sz w:val="20"/>
          <w:szCs w:val="20"/>
          <w:color w:val="auto"/>
        </w:rPr>
      </w:pPr>
    </w:p>
    <w:p>
      <w:pPr>
        <w:ind w:left="500"/>
        <w:spacing w:after="0" w:line="266" w:lineRule="auto"/>
        <w:rPr>
          <w:sz w:val="20"/>
          <w:szCs w:val="20"/>
          <w:color w:val="auto"/>
        </w:rPr>
      </w:pPr>
      <w:r>
        <w:rPr>
          <w:rFonts w:ascii="Arial" w:cs="Arial" w:eastAsia="Arial" w:hAnsi="Arial"/>
          <w:sz w:val="17"/>
          <w:szCs w:val="17"/>
          <w:color w:val="auto"/>
        </w:rPr>
        <w:t xml:space="preserve">In February 2016, the FASB issued ASU 2016-02, “Leases (Topic 842),” which requires a lessee to recognize all long-term leases on its balance sheet as a liability for its lease obligation, measured at the present value of lease payments not yet paid, and a corresponding asset representing its right to use the underlying asset over the lease term and expands disclosure of key information about leasing arrangements. The ASU does not significantly change a lessee’s recognition, measurement and presentation of expenses and cash flows. Additionally, ASU 2016-02 aligns key aspects of lessor accounting with the new revenue recognition guidance in ASU 2014-09 (see above). ASU 2016-02 becomes effective for the Company on January 1, 2019. Early adoption is permitted. In transition, lessees and lessors are required to recognize and measure leases at the beginning of the earliest period presented using a modified retrospective approach which includes a number of optional practical expedients that entities may elect to apply. The Company is currently evaluating and planning for the implementation of this ASU, including assessing its overall impact, and expects most of its operating lease commitments will be subject to the new standard and recognized as operating lease liabilities and right-of-use assets upon adoption, which will materially increase total assets and total liabilities relative to such amounts prior to adoption. The Company has determined portions of its vehicle rental contracts that convey the right to control the use of identified assets are within the scope of the accounting guidance contained in ASU 2016-02. As discussed in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above, the Company’s rental related revenues are accounted for under the revenue accounting standard Topic 606, until the adoption of this accounting pronouncement on January 1, 2019. The Company is monitoring the recently ratified ASU, “Leases (Topic 842) Targeted Improvements” that when issued will provide a transition method allowing the Company to only apply the new lease standard in the year of adoption. Additionally, it will provide a practical expedient for lessors to combine nonlease components with related lease components if certain conditions are met. This will allow the Company to account for these combined components of its vehicle rental contracts under Topic 842.</w:t>
      </w:r>
    </w:p>
    <w:p>
      <w:pPr>
        <w:spacing w:after="0" w:line="200" w:lineRule="exact"/>
        <w:rPr>
          <w:sz w:val="20"/>
          <w:szCs w:val="20"/>
          <w:color w:val="auto"/>
        </w:rPr>
      </w:pPr>
    </w:p>
    <w:p>
      <w:pPr>
        <w:spacing w:after="0" w:line="20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w:t>
      </w:r>
    </w:p>
    <w:p>
      <w:pPr>
        <w:spacing w:after="0" w:line="243" w:lineRule="exact"/>
        <w:rPr>
          <w:sz w:val="20"/>
          <w:szCs w:val="20"/>
          <w:color w:val="auto"/>
        </w:rPr>
      </w:pPr>
    </w:p>
    <w:p>
      <w:pPr>
        <w:ind w:left="500" w:right="40"/>
        <w:spacing w:after="0" w:line="269" w:lineRule="auto"/>
        <w:rPr>
          <w:sz w:val="20"/>
          <w:szCs w:val="20"/>
          <w:color w:val="auto"/>
        </w:rPr>
      </w:pPr>
      <w:r>
        <w:rPr>
          <w:rFonts w:ascii="Arial" w:cs="Arial" w:eastAsia="Arial" w:hAnsi="Arial"/>
          <w:sz w:val="17"/>
          <w:szCs w:val="17"/>
          <w:color w:val="auto"/>
        </w:rPr>
        <w:t>In January 2018, the FASB issued FASB Staff Question and Answer Topic 740, No. 5: Accounting for Global Intangible Low-Taxed Income (“GILTI”), which provides guidance on accounting for the GILTI provisions of the U.S. enacted tax reform legislation (“the Tax Act”). The GILTI provisions impose a tax on foreign income in excess of a deemed return on tangible assets of foreign corporations. The guidance allows accounting for tax on GILTI to be treated as a deferred tax item or as a component of current period income tax expense in the year incurred, subject to an accounting policy election. The Company has not completed its analysis of the GILTI provisions of the Tax Act and therefore has not made an accounting policy election related to such provision. The Company will complete its analysis in a subsequent period not to exceed one year from the date of the enactment of the Tax Act and will elect an accounting policy at such time.</w:t>
      </w:r>
    </w:p>
    <w:p>
      <w:pPr>
        <w:spacing w:after="0" w:line="173"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Company’s revenues disaggregated by geography.</w:t>
      </w:r>
    </w:p>
    <w:p>
      <w:pPr>
        <w:spacing w:after="0" w:line="145"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7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r>
      <w:tr>
        <w:trPr>
          <w:trHeight w:val="246"/>
        </w:trPr>
        <w:tc>
          <w:tcPr>
            <w:tcW w:w="79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March 31, 2018</w:t>
            </w:r>
          </w:p>
        </w:tc>
      </w:tr>
      <w:tr>
        <w:trPr>
          <w:trHeight w:val="243"/>
        </w:trPr>
        <w:tc>
          <w:tcPr>
            <w:tcW w:w="7920" w:type="dxa"/>
            <w:vAlign w:val="bottom"/>
          </w:tcPr>
          <w:p>
            <w:pPr>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1,348</w:t>
            </w:r>
          </w:p>
        </w:tc>
      </w:tr>
      <w:tr>
        <w:trPr>
          <w:trHeight w:val="257"/>
        </w:trPr>
        <w:tc>
          <w:tcPr>
            <w:tcW w:w="792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200" w:type="dxa"/>
            <w:vAlign w:val="bottom"/>
          </w:tcPr>
          <w:p>
            <w:pPr>
              <w:spacing w:after="0"/>
              <w:rPr>
                <w:sz w:val="22"/>
                <w:szCs w:val="22"/>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447</w:t>
            </w:r>
          </w:p>
        </w:tc>
      </w:tr>
      <w:tr>
        <w:trPr>
          <w:trHeight w:val="264"/>
        </w:trPr>
        <w:tc>
          <w:tcPr>
            <w:tcW w:w="7920" w:type="dxa"/>
            <w:vAlign w:val="bottom"/>
          </w:tcPr>
          <w:p>
            <w:pPr>
              <w:spacing w:after="0"/>
              <w:rPr>
                <w:sz w:val="20"/>
                <w:szCs w:val="20"/>
                <w:color w:val="auto"/>
              </w:rPr>
            </w:pPr>
            <w:r>
              <w:rPr>
                <w:rFonts w:ascii="Arial" w:cs="Arial" w:eastAsia="Arial" w:hAnsi="Arial"/>
                <w:sz w:val="18"/>
                <w:szCs w:val="18"/>
                <w:color w:val="auto"/>
              </w:rPr>
              <w:t>Asia and Australasia</w:t>
            </w:r>
          </w:p>
        </w:tc>
        <w:tc>
          <w:tcPr>
            <w:tcW w:w="20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173</w:t>
            </w:r>
          </w:p>
        </w:tc>
      </w:tr>
      <w:tr>
        <w:trPr>
          <w:trHeight w:val="257"/>
        </w:trPr>
        <w:tc>
          <w:tcPr>
            <w:tcW w:w="7920" w:type="dxa"/>
            <w:vAlign w:val="bottom"/>
          </w:tcPr>
          <w:p>
            <w:pPr>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1,968</w:t>
            </w:r>
          </w:p>
        </w:tc>
      </w:tr>
      <w:tr>
        <w:trPr>
          <w:trHeight w:val="20"/>
        </w:trPr>
        <w:tc>
          <w:tcPr>
            <w:tcW w:w="7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Company’s revenues disaggregated by brand.</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0"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87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5"/>
        </w:trPr>
        <w:tc>
          <w:tcPr>
            <w:tcW w:w="1400" w:type="dxa"/>
            <w:vAlign w:val="bottom"/>
            <w:tcBorders>
              <w:top w:val="single" w:sz="8" w:color="0000EE"/>
            </w:tcBorders>
          </w:tcPr>
          <w:p>
            <w:pPr>
              <w:spacing w:after="0"/>
              <w:rPr>
                <w:sz w:val="24"/>
                <w:szCs w:val="24"/>
                <w:color w:val="auto"/>
              </w:rPr>
            </w:pPr>
          </w:p>
        </w:tc>
        <w:tc>
          <w:tcPr>
            <w:tcW w:w="7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80" w:type="dxa"/>
            <w:vAlign w:val="bottom"/>
          </w:tcPr>
          <w:p>
            <w:pPr>
              <w:jc w:val="right"/>
              <w:ind w:right="2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6"/>
        </w:trPr>
        <w:tc>
          <w:tcPr>
            <w:tcW w:w="140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March 31, 2018</w:t>
            </w:r>
          </w:p>
        </w:tc>
        <w:tc>
          <w:tcPr>
            <w:tcW w:w="0" w:type="dxa"/>
            <w:vAlign w:val="bottom"/>
          </w:tcPr>
          <w:p>
            <w:pPr>
              <w:spacing w:after="0"/>
              <w:rPr>
                <w:sz w:val="1"/>
                <w:szCs w:val="1"/>
                <w:color w:val="auto"/>
              </w:rPr>
            </w:pPr>
          </w:p>
        </w:tc>
      </w:tr>
      <w:tr>
        <w:trPr>
          <w:trHeight w:val="243"/>
        </w:trPr>
        <w:tc>
          <w:tcPr>
            <w:tcW w:w="8740" w:type="dxa"/>
            <w:vAlign w:val="bottom"/>
            <w:gridSpan w:val="2"/>
          </w:tcPr>
          <w:p>
            <w:pPr>
              <w:ind w:left="820"/>
              <w:spacing w:after="0"/>
              <w:rPr>
                <w:sz w:val="20"/>
                <w:szCs w:val="20"/>
                <w:color w:val="auto"/>
              </w:rPr>
            </w:pPr>
            <w:r>
              <w:rPr>
                <w:rFonts w:ascii="Arial" w:cs="Arial" w:eastAsia="Arial" w:hAnsi="Arial"/>
                <w:sz w:val="18"/>
                <w:szCs w:val="18"/>
                <w:color w:val="auto"/>
              </w:rPr>
              <w:t>Avis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57"/>
        </w:trPr>
        <w:tc>
          <w:tcPr>
            <w:tcW w:w="8740" w:type="dxa"/>
            <w:vAlign w:val="bottom"/>
            <w:gridSpan w:val="2"/>
          </w:tcPr>
          <w:p>
            <w:pPr>
              <w:ind w:left="820"/>
              <w:spacing w:after="0"/>
              <w:rPr>
                <w:sz w:val="20"/>
                <w:szCs w:val="20"/>
                <w:color w:val="auto"/>
              </w:rPr>
            </w:pPr>
            <w:r>
              <w:rPr>
                <w:rFonts w:ascii="Arial" w:cs="Arial" w:eastAsia="Arial" w:hAnsi="Arial"/>
                <w:sz w:val="18"/>
                <w:szCs w:val="18"/>
                <w:color w:val="auto"/>
              </w:rPr>
              <w:t>Budget</w:t>
            </w:r>
          </w:p>
        </w:tc>
        <w:tc>
          <w:tcPr>
            <w:tcW w:w="200" w:type="dxa"/>
            <w:vAlign w:val="bottom"/>
          </w:tcPr>
          <w:p>
            <w:pPr>
              <w:spacing w:after="0"/>
              <w:rPr>
                <w:sz w:val="22"/>
                <w:szCs w:val="22"/>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64"/>
        </w:trPr>
        <w:tc>
          <w:tcPr>
            <w:tcW w:w="8740" w:type="dxa"/>
            <w:vAlign w:val="bottom"/>
            <w:gridSpan w:val="2"/>
          </w:tcPr>
          <w:p>
            <w:pPr>
              <w:ind w:left="8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57"/>
        </w:trPr>
        <w:tc>
          <w:tcPr>
            <w:tcW w:w="8740" w:type="dxa"/>
            <w:vAlign w:val="bottom"/>
            <w:gridSpan w:val="2"/>
          </w:tcPr>
          <w:p>
            <w:pPr>
              <w:ind w:left="82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20"/>
        </w:trPr>
        <w:tc>
          <w:tcPr>
            <w:tcW w:w="1400" w:type="dxa"/>
            <w:vAlign w:val="bottom"/>
            <w:vMerge w:val="restart"/>
          </w:tcPr>
          <w:p>
            <w:pPr>
              <w:ind w:left="500"/>
              <w:spacing w:after="0"/>
              <w:rPr>
                <w:sz w:val="20"/>
                <w:szCs w:val="20"/>
                <w:color w:val="auto"/>
              </w:rPr>
            </w:pPr>
            <w:r>
              <w:rPr>
                <w:rFonts w:ascii="Arial" w:cs="Arial" w:eastAsia="Arial" w:hAnsi="Arial"/>
                <w:sz w:val="14"/>
                <w:szCs w:val="14"/>
                <w:color w:val="auto"/>
              </w:rPr>
              <w:t>________</w:t>
            </w:r>
          </w:p>
        </w:tc>
        <w:tc>
          <w:tcPr>
            <w:tcW w:w="7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400" w:type="dxa"/>
            <w:vAlign w:val="bottom"/>
            <w:vMerge w:val="continue"/>
          </w:tcPr>
          <w:p>
            <w:pPr>
              <w:spacing w:after="0"/>
              <w:rPr>
                <w:sz w:val="12"/>
                <w:szCs w:val="12"/>
                <w:color w:val="auto"/>
              </w:rPr>
            </w:pPr>
          </w:p>
        </w:tc>
        <w:tc>
          <w:tcPr>
            <w:tcW w:w="7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8740" w:type="dxa"/>
            <w:vAlign w:val="bottom"/>
            <w:gridSpan w:val="2"/>
          </w:tcPr>
          <w:p>
            <w:pPr>
              <w:ind w:left="500"/>
              <w:spacing w:after="0"/>
              <w:rPr>
                <w:sz w:val="20"/>
                <w:szCs w:val="20"/>
                <w:color w:val="auto"/>
              </w:rPr>
            </w:pPr>
            <w:r>
              <w:rPr>
                <w:rFonts w:ascii="Arial" w:cs="Arial" w:eastAsia="Arial" w:hAnsi="Arial"/>
                <w:sz w:val="14"/>
                <w:szCs w:val="14"/>
                <w:color w:val="auto"/>
              </w:rPr>
              <w:t>Other includes Zipcar, Payless, Apex, Maggiore and FranceCars.</w:t>
            </w:r>
          </w:p>
        </w:tc>
        <w:tc>
          <w:tcPr>
            <w:tcW w:w="2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The Company derives revenues primarily by providing vehicle rentals and other related products and mobility services to commercial and leisure customers, as well as through licensing of its rental systems. Other related products and mobility services include sales of collision and loss damage waivers under which a customer is relieved from financial responsibility arising from vehicle damage incurred during the rental; products and services for driving convenience such as fuel service options, chauffeur drive services, roadside safety net, electronic toll collection, tablet rentals, access to satellite radio, portable navigation units and child safety seat rentals; and rentals of other supplemental items including automobile towing equipment and other moving accessories and supplies. The Company also receives payment from customers for certain operating expenses that it incurs, including airport concession fees that are paid by the Company in exchange for the right to operate at airports and other locations, as well as vehicle licensing fees. In addition, the Company collects membership fees in connection with its car sharing business.</w:t>
      </w:r>
    </w:p>
    <w:p>
      <w:pPr>
        <w:spacing w:after="0" w:line="213" w:lineRule="exact"/>
        <w:rPr>
          <w:sz w:val="20"/>
          <w:szCs w:val="20"/>
          <w:color w:val="auto"/>
        </w:rPr>
      </w:pPr>
    </w:p>
    <w:p>
      <w:pPr>
        <w:ind w:left="500" w:right="20"/>
        <w:spacing w:after="0" w:line="251" w:lineRule="auto"/>
        <w:rPr>
          <w:sz w:val="20"/>
          <w:szCs w:val="20"/>
          <w:color w:val="auto"/>
        </w:rPr>
      </w:pPr>
      <w:r>
        <w:rPr>
          <w:rFonts w:ascii="Arial" w:cs="Arial" w:eastAsia="Arial" w:hAnsi="Arial"/>
          <w:sz w:val="18"/>
          <w:szCs w:val="18"/>
          <w:color w:val="auto"/>
        </w:rPr>
        <w:t>Revenue is recognized when obligations under the terms of a contract with the customer are satisfied; generally this occurs evenly over the contract (over time); when control of the promised products or services is transferred to the customer. Revenue is measured as the amount of consideration the Company expects to be entitled to receive in exchange for transferring products or services. Certain customers may receive cash-based rebates, which are accounted for as variable consideration. The Company estimates these rebates based on the expected amount to be provided to customers and reduces revenue recognized. Vehicle rental and rental-related revenues are recognized evenly over the period of rental. Licensing revenues principally consist of royalties paid by the Company’s licensees and are recorded as the licensees’ revenues are earned (over the rental period). The Company renews license agreements in the normal course of business and occasionally terminates, purchases or sells license agreements. In connection with ongoing fees that the Company receives from its licensees pursuant to license agreements, the Company is required to provide certain services, such as training, marketing and the operation of reservation systems. Revenues and expenses associated with gasoline, airport concessions and vehicle licensing are recorded on a gross basis within revenues and operating expenses. Membership fees related to the Company’s car sharing business are generally nonrefundable, are deferred and recognized ratably over the period of membership.</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247" w:lineRule="exact"/>
        <w:rPr>
          <w:sz w:val="20"/>
          <w:szCs w:val="20"/>
          <w:color w:val="auto"/>
        </w:rPr>
      </w:pPr>
    </w:p>
    <w:p>
      <w:pPr>
        <w:ind w:left="500" w:right="60"/>
        <w:spacing w:after="0" w:line="252" w:lineRule="auto"/>
        <w:rPr>
          <w:sz w:val="20"/>
          <w:szCs w:val="20"/>
          <w:color w:val="auto"/>
        </w:rPr>
      </w:pPr>
      <w:r>
        <w:rPr>
          <w:rFonts w:ascii="Arial" w:cs="Arial" w:eastAsia="Arial" w:hAnsi="Arial"/>
          <w:sz w:val="18"/>
          <w:szCs w:val="18"/>
          <w:color w:val="auto"/>
        </w:rPr>
        <w:t>The Company records deferred revenues when cash payments are received in advance of satisfying its performance obligations, including amounts that are refundable. In addition, certain customers earn loyalty points on rentals, for which the Company defers a portion of its rental revenues representing the relative fair value of points expected to be redeemed. The Company estimates points that will never be redeemed based upon actual redemption and expiration patterns. Currently loyalty points expire at the earlier of 12 months of member inactivity or five years from when they were earned. Future changes to expiration assumptions or expiration policy, or to program rules, may result in changes to deferred revenue as well as recognized revenues from the program.</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08" w:right="27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presents changes in the Company’s deferred revenue balances during the three months ended March 31, 2018.</w:t>
      </w:r>
    </w:p>
    <w:p>
      <w:pPr>
        <w:spacing w:after="0" w:line="145"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2520" w:type="dxa"/>
            <w:vAlign w:val="bottom"/>
          </w:tcPr>
          <w:p>
            <w:pPr>
              <w:spacing w:after="0"/>
              <w:rPr>
                <w:sz w:val="17"/>
                <w:szCs w:val="17"/>
                <w:color w:val="auto"/>
              </w:rPr>
            </w:pPr>
          </w:p>
        </w:tc>
        <w:tc>
          <w:tcPr>
            <w:tcW w:w="1960" w:type="dxa"/>
            <w:vAlign w:val="bottom"/>
            <w:gridSpan w:val="3"/>
          </w:tcPr>
          <w:p>
            <w:pPr>
              <w:ind w:left="100"/>
              <w:spacing w:after="0"/>
              <w:rPr>
                <w:sz w:val="20"/>
                <w:szCs w:val="20"/>
                <w:color w:val="auto"/>
              </w:rPr>
            </w:pPr>
            <w:r>
              <w:rPr>
                <w:rFonts w:ascii="Arial" w:cs="Arial" w:eastAsia="Arial" w:hAnsi="Arial"/>
                <w:sz w:val="18"/>
                <w:szCs w:val="18"/>
                <w:b w:val="1"/>
                <w:bCs w:val="1"/>
                <w:color w:val="auto"/>
              </w:rPr>
              <w:t>Balance at January</w:t>
            </w: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at March 31,</w:t>
            </w:r>
          </w:p>
        </w:tc>
      </w:tr>
      <w:tr>
        <w:trPr>
          <w:trHeight w:val="246"/>
        </w:trPr>
        <w:tc>
          <w:tcPr>
            <w:tcW w:w="2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jc w:val="right"/>
              <w:ind w:right="550"/>
              <w:spacing w:after="0"/>
              <w:rPr>
                <w:sz w:val="20"/>
                <w:szCs w:val="20"/>
                <w:color w:val="auto"/>
              </w:rPr>
            </w:pPr>
            <w:r>
              <w:rPr>
                <w:rFonts w:ascii="Arial" w:cs="Arial" w:eastAsia="Arial" w:hAnsi="Arial"/>
                <w:sz w:val="18"/>
                <w:szCs w:val="18"/>
                <w:b w:val="1"/>
                <w:bCs w:val="1"/>
                <w:color w:val="auto"/>
              </w:rPr>
              <w:t>1, 2018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 deferred</w:t>
            </w:r>
          </w:p>
        </w:tc>
        <w:tc>
          <w:tcPr>
            <w:tcW w:w="1980" w:type="dxa"/>
            <w:vAlign w:val="bottom"/>
            <w:gridSpan w:val="3"/>
          </w:tcPr>
          <w:p>
            <w:pPr>
              <w:ind w:left="60"/>
              <w:spacing w:after="0"/>
              <w:rPr>
                <w:sz w:val="20"/>
                <w:szCs w:val="20"/>
                <w:color w:val="auto"/>
              </w:rPr>
            </w:pPr>
            <w:r>
              <w:rPr>
                <w:rFonts w:ascii="Arial" w:cs="Arial" w:eastAsia="Arial" w:hAnsi="Arial"/>
                <w:sz w:val="18"/>
                <w:szCs w:val="18"/>
                <w:b w:val="1"/>
                <w:bCs w:val="1"/>
                <w:color w:val="auto"/>
              </w:rPr>
              <w:t>Revenue recognized</w:t>
            </w:r>
          </w:p>
        </w:tc>
        <w:tc>
          <w:tcPr>
            <w:tcW w:w="420" w:type="dxa"/>
            <w:vAlign w:val="bottom"/>
          </w:tcPr>
          <w:p>
            <w:pPr>
              <w:spacing w:after="0"/>
              <w:rPr>
                <w:sz w:val="21"/>
                <w:szCs w:val="21"/>
                <w:color w:val="auto"/>
              </w:rPr>
            </w:pPr>
          </w:p>
        </w:tc>
        <w:tc>
          <w:tcPr>
            <w:tcW w:w="1440" w:type="dxa"/>
            <w:vAlign w:val="bottom"/>
          </w:tcPr>
          <w:p>
            <w:pPr>
              <w:jc w:val="right"/>
              <w:ind w:right="630"/>
              <w:spacing w:after="0"/>
              <w:rPr>
                <w:sz w:val="20"/>
                <w:szCs w:val="20"/>
                <w:color w:val="auto"/>
              </w:rPr>
            </w:pPr>
            <w:r>
              <w:rPr>
                <w:rFonts w:ascii="Arial" w:cs="Arial" w:eastAsia="Arial" w:hAnsi="Arial"/>
                <w:sz w:val="18"/>
                <w:szCs w:val="18"/>
                <w:b w:val="1"/>
                <w:bCs w:val="1"/>
                <w:color w:val="auto"/>
              </w:rPr>
              <w:t>2018</w:t>
            </w:r>
          </w:p>
        </w:tc>
      </w:tr>
      <w:tr>
        <w:trPr>
          <w:trHeight w:val="294"/>
        </w:trPr>
        <w:tc>
          <w:tcPr>
            <w:tcW w:w="2520" w:type="dxa"/>
            <w:vAlign w:val="bottom"/>
          </w:tcPr>
          <w:p>
            <w:pPr>
              <w:spacing w:after="0"/>
              <w:rPr>
                <w:sz w:val="20"/>
                <w:szCs w:val="20"/>
                <w:color w:val="auto"/>
              </w:rPr>
            </w:pPr>
            <w:r>
              <w:rPr>
                <w:rFonts w:ascii="Arial" w:cs="Arial" w:eastAsia="Arial" w:hAnsi="Arial"/>
                <w:sz w:val="18"/>
                <w:szCs w:val="18"/>
                <w:color w:val="auto"/>
              </w:rPr>
              <w:t>Prepaid rentals</w:t>
            </w:r>
            <w:r>
              <w:rPr>
                <w:rFonts w:ascii="Arial" w:cs="Arial" w:eastAsia="Arial" w:hAnsi="Arial"/>
                <w:sz w:val="21"/>
                <w:szCs w:val="21"/>
                <w:color w:val="auto"/>
                <w:vertAlign w:val="superscript"/>
              </w:rPr>
              <w:t>(a)</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4"/>
                <w:szCs w:val="24"/>
                <w:color w:val="auto"/>
              </w:rPr>
            </w:pPr>
          </w:p>
        </w:tc>
        <w:tc>
          <w:tcPr>
            <w:tcW w:w="80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313</w:t>
            </w:r>
          </w:p>
        </w:tc>
        <w:tc>
          <w:tcPr>
            <w:tcW w:w="100" w:type="dxa"/>
            <w:vAlign w:val="bottom"/>
          </w:tcPr>
          <w:p>
            <w:pPr>
              <w:spacing w:after="0"/>
              <w:rPr>
                <w:sz w:val="24"/>
                <w:szCs w:val="24"/>
                <w:color w:val="auto"/>
              </w:rPr>
            </w:pPr>
          </w:p>
        </w:tc>
        <w:tc>
          <w:tcPr>
            <w:tcW w:w="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155</w:t>
            </w:r>
          </w:p>
        </w:tc>
      </w:tr>
      <w:tr>
        <w:trPr>
          <w:trHeight w:val="233"/>
        </w:trPr>
        <w:tc>
          <w:tcPr>
            <w:tcW w:w="2520" w:type="dxa"/>
            <w:vAlign w:val="bottom"/>
          </w:tcPr>
          <w:p>
            <w:pPr>
              <w:spacing w:after="0" w:line="233" w:lineRule="exact"/>
              <w:rPr>
                <w:sz w:val="20"/>
                <w:szCs w:val="20"/>
                <w:color w:val="auto"/>
              </w:rPr>
            </w:pPr>
            <w:r>
              <w:rPr>
                <w:rFonts w:ascii="Arial" w:cs="Arial" w:eastAsia="Arial" w:hAnsi="Arial"/>
                <w:sz w:val="18"/>
                <w:szCs w:val="18"/>
                <w:color w:val="auto"/>
              </w:rPr>
              <w:t>Other deferred revenue</w:t>
            </w:r>
            <w:r>
              <w:rPr>
                <w:rFonts w:ascii="Arial" w:cs="Arial" w:eastAsia="Arial" w:hAnsi="Arial"/>
                <w:sz w:val="21"/>
                <w:szCs w:val="21"/>
                <w:color w:val="auto"/>
                <w:vertAlign w:val="superscript"/>
              </w:rPr>
              <w:t>(b)</w:t>
            </w: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w:t>
            </w:r>
          </w:p>
        </w:tc>
      </w:tr>
      <w:tr>
        <w:trPr>
          <w:trHeight w:val="250"/>
        </w:trPr>
        <w:tc>
          <w:tcPr>
            <w:tcW w:w="2520" w:type="dxa"/>
            <w:vAlign w:val="bottom"/>
          </w:tcPr>
          <w:p>
            <w:pPr>
              <w:spacing w:after="0"/>
              <w:rPr>
                <w:sz w:val="20"/>
                <w:szCs w:val="20"/>
                <w:color w:val="auto"/>
              </w:rPr>
            </w:pPr>
            <w:r>
              <w:rPr>
                <w:rFonts w:ascii="Arial" w:cs="Arial" w:eastAsia="Arial" w:hAnsi="Arial"/>
                <w:sz w:val="18"/>
                <w:szCs w:val="18"/>
                <w:color w:val="auto"/>
              </w:rPr>
              <w:t>Total deferred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0</wp:posOffset>
            </wp:positionV>
            <wp:extent cx="494855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48555" cy="26035"/>
                    </a:xfrm>
                    <a:prstGeom prst="rect">
                      <a:avLst/>
                    </a:prstGeom>
                    <a:noFill/>
                  </pic:spPr>
                </pic:pic>
              </a:graphicData>
            </a:graphic>
          </wp:anchor>
        </w:drawing>
      </w:r>
    </w:p>
    <w:p>
      <w:pPr>
        <w:spacing w:after="0" w:line="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w:t>
      </w:r>
    </w:p>
    <w:p>
      <w:pPr>
        <w:ind w:left="820" w:hanging="326"/>
        <w:spacing w:after="0" w:line="204" w:lineRule="auto"/>
        <w:tabs>
          <w:tab w:leader="none" w:pos="820" w:val="left"/>
        </w:tabs>
        <w:numPr>
          <w:ilvl w:val="1"/>
          <w:numId w:val="9"/>
        </w:numPr>
        <w:rPr>
          <w:rFonts w:ascii="Arial" w:cs="Arial" w:eastAsia="Arial" w:hAnsi="Arial"/>
          <w:sz w:val="18"/>
          <w:szCs w:val="18"/>
          <w:color w:val="auto"/>
          <w:vertAlign w:val="superscript"/>
        </w:rPr>
      </w:pPr>
      <w:r>
        <w:rPr>
          <w:rFonts w:ascii="Arial" w:cs="Arial" w:eastAsia="Arial" w:hAnsi="Arial"/>
          <w:sz w:val="14"/>
          <w:szCs w:val="14"/>
          <w:color w:val="auto"/>
        </w:rPr>
        <w:t>At March 31, 2018, included in accounts payable and other current liabilities.</w:t>
      </w:r>
    </w:p>
    <w:p>
      <w:pPr>
        <w:ind w:left="820" w:right="480" w:hanging="326"/>
        <w:spacing w:after="0" w:line="218" w:lineRule="auto"/>
        <w:tabs>
          <w:tab w:leader="none" w:pos="820" w:val="left"/>
        </w:tabs>
        <w:numPr>
          <w:ilvl w:val="1"/>
          <w:numId w:val="9"/>
        </w:numPr>
        <w:rPr>
          <w:rFonts w:ascii="Arial" w:cs="Arial" w:eastAsia="Arial" w:hAnsi="Arial"/>
          <w:sz w:val="18"/>
          <w:szCs w:val="18"/>
          <w:color w:val="auto"/>
          <w:vertAlign w:val="superscript"/>
        </w:rPr>
      </w:pPr>
      <w:r>
        <w:rPr>
          <w:rFonts w:ascii="Arial" w:cs="Arial" w:eastAsia="Arial" w:hAnsi="Arial"/>
          <w:sz w:val="14"/>
          <w:szCs w:val="14"/>
          <w:color w:val="auto"/>
        </w:rPr>
        <w:t>At March 31, 2018, $39 million included in accounts payable and other current liabilities and $56 million in other non-current liabilities. Non-current amounts are expected to be recognized as revenue within two to three years.</w:t>
      </w:r>
    </w:p>
    <w:p>
      <w:pPr>
        <w:spacing w:after="0" w:line="124" w:lineRule="exact"/>
        <w:rPr>
          <w:rFonts w:ascii="Arial" w:cs="Arial" w:eastAsia="Arial" w:hAnsi="Arial"/>
          <w:sz w:val="18"/>
          <w:szCs w:val="18"/>
          <w:color w:val="auto"/>
          <w:vertAlign w:val="superscript"/>
        </w:rPr>
      </w:pPr>
    </w:p>
    <w:p>
      <w:pPr>
        <w:ind w:left="500" w:right="7380" w:hanging="492"/>
        <w:spacing w:after="0" w:line="513" w:lineRule="auto"/>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Restructuring and Other Related Charges </w:t>
      </w:r>
      <w:r>
        <w:rPr>
          <w:rFonts w:ascii="Arial" w:cs="Arial" w:eastAsia="Arial" w:hAnsi="Arial"/>
          <w:sz w:val="18"/>
          <w:szCs w:val="18"/>
          <w:b w:val="1"/>
          <w:bCs w:val="1"/>
          <w:i w:val="1"/>
          <w:iCs w:val="1"/>
          <w:color w:val="auto"/>
        </w:rPr>
        <w:t>Restructuring</w:t>
      </w:r>
    </w:p>
    <w:p>
      <w:pPr>
        <w:spacing w:after="0" w:line="1" w:lineRule="exact"/>
        <w:rPr>
          <w:rFonts w:ascii="Arial" w:cs="Arial" w:eastAsia="Arial" w:hAnsi="Arial"/>
          <w:sz w:val="18"/>
          <w:szCs w:val="18"/>
          <w:b w:val="1"/>
          <w:bCs w:val="1"/>
          <w:color w:val="auto"/>
        </w:rPr>
      </w:pPr>
    </w:p>
    <w:p>
      <w:pPr>
        <w:ind w:left="500" w:right="4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During first quarter 2018, the Company initiated a strategic restructuring plan to improve processes and reduce headcount in response to its new workforce planning technology that allows more effective management of staff levels (“Workforce planning”). During the three months ended March 31, 2018, as part of this process, the Company formally communicated the termination of employment</w:t>
      </w:r>
    </w:p>
    <w:p>
      <w:pPr>
        <w:spacing w:after="0" w:line="1" w:lineRule="exact"/>
        <w:rPr>
          <w:rFonts w:ascii="Arial" w:cs="Arial" w:eastAsia="Arial" w:hAnsi="Arial"/>
          <w:sz w:val="18"/>
          <w:szCs w:val="18"/>
          <w:b w:val="1"/>
          <w:bCs w:val="1"/>
          <w:color w:val="auto"/>
        </w:rPr>
      </w:pPr>
    </w:p>
    <w:p>
      <w:pPr>
        <w:ind w:left="500" w:right="3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to 47 employees, and as of March 31, 2018, the Company had terminated 43 of these employees. The costs associated with this initiative primarily represent severance, outplacement services and other costs associated with employee terminations, the majority of which have been or are expected to be settled in cash. The Company expects further restructuring expense of approximately $15 million related to this initiative to be incurred in 2018.</w:t>
      </w:r>
    </w:p>
    <w:p>
      <w:pPr>
        <w:spacing w:after="0" w:line="204" w:lineRule="exact"/>
        <w:rPr>
          <w:rFonts w:ascii="Arial" w:cs="Arial" w:eastAsia="Arial" w:hAnsi="Arial"/>
          <w:sz w:val="18"/>
          <w:szCs w:val="18"/>
          <w:b w:val="1"/>
          <w:bCs w:val="1"/>
          <w:color w:val="auto"/>
        </w:rPr>
      </w:pPr>
    </w:p>
    <w:p>
      <w:pPr>
        <w:ind w:left="50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During fourth quarter 2017, the Company initiated a strategic restructuring initiative to better position its truck rental operations in the U.S., in which it closed certain rental locations and reduced the size of the older rental fleet, with the intent to increase fleet utilization and reduce vehicle and overhead costs (“Truck initiative”). The Company expects further restructuring expense of approximately $2 million related to this initiative to be incurred in 2018.</w:t>
      </w:r>
    </w:p>
    <w:p>
      <w:pPr>
        <w:spacing w:after="0" w:line="204" w:lineRule="exact"/>
        <w:rPr>
          <w:rFonts w:ascii="Arial" w:cs="Arial" w:eastAsia="Arial" w:hAnsi="Arial"/>
          <w:sz w:val="18"/>
          <w:szCs w:val="18"/>
          <w:b w:val="1"/>
          <w:bCs w:val="1"/>
          <w:color w:val="auto"/>
        </w:rPr>
      </w:pPr>
    </w:p>
    <w:p>
      <w:pPr>
        <w:ind w:left="5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During first quarter 2017, the Company initiated a strategic restructuring initiative to drive operational efficiency throughout the organization by reducing headcount, improving processes and consolidating functions, closing certain rental locations and decreasing the size of its fleet (“T17”). As of March 31, 2018, the Company had terminated the employment of 673 employees related to this initiative. The costs associated with this initiative primarily represent severance, outplacement services and other costs associated with employee terminations, the majority of which have been or are expected to be settled in cash. This initiative is substantially complete.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the changes to our restructuring-related liabilities and identify the amounts recorded within the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Company’s reporting segments for restructuring charges and corresponding payments and utilizations: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5740" w:type="dxa"/>
            <w:vAlign w:val="bottom"/>
          </w:tcPr>
          <w:p>
            <w:pPr>
              <w:spacing w:after="0"/>
              <w:rPr>
                <w:sz w:val="19"/>
                <w:szCs w:val="19"/>
                <w:color w:val="auto"/>
              </w:rPr>
            </w:pPr>
          </w:p>
        </w:tc>
        <w:tc>
          <w:tcPr>
            <w:tcW w:w="1140" w:type="dxa"/>
            <w:vAlign w:val="bottom"/>
          </w:tcPr>
          <w:p>
            <w:pPr>
              <w:jc w:val="center"/>
              <w:ind w:left="214"/>
              <w:spacing w:after="0"/>
              <w:rPr>
                <w:sz w:val="20"/>
                <w:szCs w:val="20"/>
                <w:color w:val="auto"/>
              </w:rPr>
            </w:pPr>
            <w:r>
              <w:rPr>
                <w:rFonts w:ascii="Arial" w:cs="Arial" w:eastAsia="Arial" w:hAnsi="Arial"/>
                <w:sz w:val="16"/>
                <w:szCs w:val="16"/>
                <w:b w:val="1"/>
                <w:bCs w:val="1"/>
                <w:color w:val="auto"/>
                <w:w w:val="99"/>
              </w:rPr>
              <w:t>Americas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International</w:t>
            </w:r>
          </w:p>
        </w:tc>
        <w:tc>
          <w:tcPr>
            <w:tcW w:w="340" w:type="dxa"/>
            <w:vAlign w:val="bottom"/>
          </w:tcPr>
          <w:p>
            <w:pPr>
              <w:spacing w:after="0"/>
              <w:rPr>
                <w:sz w:val="19"/>
                <w:szCs w:val="19"/>
                <w:color w:val="auto"/>
              </w:rPr>
            </w:pPr>
          </w:p>
        </w:tc>
        <w:tc>
          <w:tcPr>
            <w:tcW w:w="112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Balance as of January 1, 2018</w:t>
            </w:r>
          </w:p>
        </w:tc>
        <w:tc>
          <w:tcPr>
            <w:tcW w:w="1140" w:type="dxa"/>
            <w:vAlign w:val="bottom"/>
            <w:tcBorders>
              <w:top w:val="single" w:sz="8" w:color="auto"/>
            </w:tcBorders>
          </w:tcPr>
          <w:p>
            <w:pPr>
              <w:jc w:val="right"/>
              <w:ind w:right="934"/>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5740" w:type="dxa"/>
            <w:vAlign w:val="bottom"/>
          </w:tcPr>
          <w:p>
            <w:pPr>
              <w:ind w:left="220"/>
              <w:spacing w:after="0"/>
              <w:rPr>
                <w:sz w:val="20"/>
                <w:szCs w:val="20"/>
                <w:color w:val="auto"/>
              </w:rPr>
            </w:pPr>
            <w:r>
              <w:rPr>
                <w:rFonts w:ascii="Arial" w:cs="Arial" w:eastAsia="Arial" w:hAnsi="Arial"/>
                <w:sz w:val="18"/>
                <w:szCs w:val="18"/>
                <w:color w:val="auto"/>
              </w:rPr>
              <w:t>Restructuring expense:</w:t>
            </w: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Workforce planning</w:t>
            </w:r>
          </w:p>
        </w:tc>
        <w:tc>
          <w:tcPr>
            <w:tcW w:w="1140" w:type="dxa"/>
            <w:vAlign w:val="bottom"/>
          </w:tcPr>
          <w:p>
            <w:pPr>
              <w:spacing w:after="0"/>
              <w:rPr>
                <w:sz w:val="23"/>
                <w:szCs w:val="23"/>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Truck initiative</w:t>
            </w:r>
          </w:p>
        </w:tc>
        <w:tc>
          <w:tcPr>
            <w:tcW w:w="1140" w:type="dxa"/>
            <w:vAlign w:val="bottom"/>
          </w:tcPr>
          <w:p>
            <w:pPr>
              <w:spacing w:after="0"/>
              <w:rPr>
                <w:sz w:val="23"/>
                <w:szCs w:val="23"/>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5740" w:type="dxa"/>
            <w:vAlign w:val="bottom"/>
          </w:tcPr>
          <w:p>
            <w:pPr>
              <w:ind w:left="220"/>
              <w:spacing w:after="0"/>
              <w:rPr>
                <w:sz w:val="20"/>
                <w:szCs w:val="20"/>
                <w:color w:val="auto"/>
              </w:rPr>
            </w:pPr>
            <w:r>
              <w:rPr>
                <w:rFonts w:ascii="Arial" w:cs="Arial" w:eastAsia="Arial" w:hAnsi="Arial"/>
                <w:sz w:val="18"/>
                <w:szCs w:val="18"/>
                <w:color w:val="auto"/>
              </w:rPr>
              <w:t>Restructuring payment/utilization:</w:t>
            </w: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Workforce planning</w:t>
            </w:r>
          </w:p>
        </w:tc>
        <w:tc>
          <w:tcPr>
            <w:tcW w:w="114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Truck initiative</w:t>
            </w:r>
          </w:p>
        </w:tc>
        <w:tc>
          <w:tcPr>
            <w:tcW w:w="114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7"/>
        </w:trPr>
        <w:tc>
          <w:tcPr>
            <w:tcW w:w="5740" w:type="dxa"/>
            <w:vAlign w:val="bottom"/>
          </w:tcPr>
          <w:p>
            <w:pPr>
              <w:ind w:left="340"/>
              <w:spacing w:after="0"/>
              <w:rPr>
                <w:sz w:val="20"/>
                <w:szCs w:val="20"/>
                <w:color w:val="auto"/>
              </w:rPr>
            </w:pPr>
            <w:r>
              <w:rPr>
                <w:rFonts w:ascii="Arial" w:cs="Arial" w:eastAsia="Arial" w:hAnsi="Arial"/>
                <w:sz w:val="18"/>
                <w:szCs w:val="18"/>
                <w:color w:val="auto"/>
              </w:rPr>
              <w:t>T17</w:t>
            </w: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5740" w:type="dxa"/>
            <w:vAlign w:val="bottom"/>
          </w:tcPr>
          <w:p>
            <w:pPr>
              <w:ind w:left="20"/>
              <w:spacing w:after="0"/>
              <w:rPr>
                <w:sz w:val="20"/>
                <w:szCs w:val="20"/>
                <w:color w:val="auto"/>
              </w:rPr>
            </w:pPr>
            <w:r>
              <w:rPr>
                <w:rFonts w:ascii="Arial" w:cs="Arial" w:eastAsia="Arial" w:hAnsi="Arial"/>
                <w:sz w:val="18"/>
                <w:szCs w:val="18"/>
                <w:color w:val="auto"/>
              </w:rPr>
              <w:t>Balance as of March 31, 2018</w:t>
            </w: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740" w:type="dxa"/>
            <w:vAlign w:val="bottom"/>
          </w:tcPr>
          <w:p>
            <w:pPr>
              <w:spacing w:after="0"/>
              <w:rPr>
                <w:sz w:val="24"/>
                <w:szCs w:val="24"/>
                <w:color w:val="auto"/>
              </w:rPr>
            </w:pPr>
          </w:p>
        </w:tc>
        <w:tc>
          <w:tcPr>
            <w:tcW w:w="1140" w:type="dxa"/>
            <w:vAlign w:val="bottom"/>
          </w:tcPr>
          <w:p>
            <w:pPr>
              <w:jc w:val="center"/>
              <w:ind w:left="234"/>
              <w:spacing w:after="0"/>
              <w:rPr>
                <w:sz w:val="20"/>
                <w:szCs w:val="20"/>
                <w:color w:val="auto"/>
              </w:rPr>
            </w:pPr>
            <w:r>
              <w:rPr>
                <w:rFonts w:ascii="Arial" w:cs="Arial" w:eastAsia="Arial" w:hAnsi="Arial"/>
                <w:sz w:val="16"/>
                <w:szCs w:val="16"/>
                <w:b w:val="1"/>
                <w:bCs w:val="1"/>
                <w:color w:val="auto"/>
              </w:rPr>
              <w:t>Personnel</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1140" w:type="dxa"/>
            <w:vAlign w:val="bottom"/>
            <w:tcBorders>
              <w:bottom w:val="single" w:sz="8" w:color="auto"/>
            </w:tcBorders>
          </w:tcPr>
          <w:p>
            <w:pPr>
              <w:jc w:val="center"/>
              <w:ind w:left="234"/>
              <w:spacing w:after="0"/>
              <w:rPr>
                <w:sz w:val="20"/>
                <w:szCs w:val="20"/>
                <w:color w:val="auto"/>
              </w:rPr>
            </w:pPr>
            <w:r>
              <w:rPr>
                <w:rFonts w:ascii="Arial" w:cs="Arial" w:eastAsia="Arial" w:hAnsi="Arial"/>
                <w:sz w:val="16"/>
                <w:szCs w:val="16"/>
                <w:b w:val="1"/>
                <w:bCs w:val="1"/>
                <w:color w:val="auto"/>
              </w:rPr>
              <w:t>Related</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31"/>
              <w:spacing w:after="0" w:line="234" w:lineRule="exact"/>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1"/>
                <w:szCs w:val="21"/>
                <w:b w:val="1"/>
                <w:bCs w:val="1"/>
                <w:color w:val="auto"/>
                <w:vertAlign w:val="superscript"/>
              </w:rPr>
              <w:t>(a)</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Balance as of January 1, 2018</w:t>
            </w: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5740" w:type="dxa"/>
            <w:vAlign w:val="bottom"/>
          </w:tcPr>
          <w:p>
            <w:pPr>
              <w:ind w:left="220"/>
              <w:spacing w:after="0"/>
              <w:rPr>
                <w:sz w:val="20"/>
                <w:szCs w:val="20"/>
                <w:color w:val="auto"/>
              </w:rPr>
            </w:pPr>
            <w:r>
              <w:rPr>
                <w:rFonts w:ascii="Arial" w:cs="Arial" w:eastAsia="Arial" w:hAnsi="Arial"/>
                <w:sz w:val="18"/>
                <w:szCs w:val="18"/>
                <w:color w:val="auto"/>
              </w:rPr>
              <w:t>Restructuring expense:</w:t>
            </w: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Workforce planning</w:t>
            </w:r>
          </w:p>
        </w:tc>
        <w:tc>
          <w:tcPr>
            <w:tcW w:w="1140" w:type="dxa"/>
            <w:vAlign w:val="bottom"/>
          </w:tcPr>
          <w:p>
            <w:pPr>
              <w:spacing w:after="0"/>
              <w:rPr>
                <w:sz w:val="23"/>
                <w:szCs w:val="23"/>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Truck initiative</w:t>
            </w:r>
          </w:p>
        </w:tc>
        <w:tc>
          <w:tcPr>
            <w:tcW w:w="1140" w:type="dxa"/>
            <w:vAlign w:val="bottom"/>
          </w:tcPr>
          <w:p>
            <w:pPr>
              <w:spacing w:after="0"/>
              <w:rPr>
                <w:sz w:val="23"/>
                <w:szCs w:val="2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5740" w:type="dxa"/>
            <w:vAlign w:val="bottom"/>
          </w:tcPr>
          <w:p>
            <w:pPr>
              <w:ind w:left="220"/>
              <w:spacing w:after="0"/>
              <w:rPr>
                <w:sz w:val="20"/>
                <w:szCs w:val="20"/>
                <w:color w:val="auto"/>
              </w:rPr>
            </w:pPr>
            <w:r>
              <w:rPr>
                <w:rFonts w:ascii="Arial" w:cs="Arial" w:eastAsia="Arial" w:hAnsi="Arial"/>
                <w:sz w:val="18"/>
                <w:szCs w:val="18"/>
                <w:color w:val="auto"/>
              </w:rPr>
              <w:t>Restructuring payment/utilization:</w:t>
            </w: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Workforce planning</w:t>
            </w:r>
          </w:p>
        </w:tc>
        <w:tc>
          <w:tcPr>
            <w:tcW w:w="114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Truck initiative</w:t>
            </w:r>
          </w:p>
        </w:tc>
        <w:tc>
          <w:tcPr>
            <w:tcW w:w="1140" w:type="dxa"/>
            <w:vAlign w:val="bottom"/>
          </w:tcPr>
          <w:p>
            <w:pPr>
              <w:spacing w:after="0"/>
              <w:rPr>
                <w:sz w:val="23"/>
                <w:szCs w:val="2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7"/>
        </w:trPr>
        <w:tc>
          <w:tcPr>
            <w:tcW w:w="5740" w:type="dxa"/>
            <w:vAlign w:val="bottom"/>
          </w:tcPr>
          <w:p>
            <w:pPr>
              <w:ind w:left="340"/>
              <w:spacing w:after="0"/>
              <w:rPr>
                <w:sz w:val="20"/>
                <w:szCs w:val="20"/>
                <w:color w:val="auto"/>
              </w:rPr>
            </w:pPr>
            <w:r>
              <w:rPr>
                <w:rFonts w:ascii="Arial" w:cs="Arial" w:eastAsia="Arial" w:hAnsi="Arial"/>
                <w:sz w:val="18"/>
                <w:szCs w:val="18"/>
                <w:color w:val="auto"/>
              </w:rPr>
              <w:t>T17</w:t>
            </w: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5740" w:type="dxa"/>
            <w:vAlign w:val="bottom"/>
          </w:tcPr>
          <w:p>
            <w:pPr>
              <w:ind w:left="20"/>
              <w:spacing w:after="0"/>
              <w:rPr>
                <w:sz w:val="20"/>
                <w:szCs w:val="20"/>
                <w:color w:val="auto"/>
              </w:rPr>
            </w:pPr>
            <w:r>
              <w:rPr>
                <w:rFonts w:ascii="Arial" w:cs="Arial" w:eastAsia="Arial" w:hAnsi="Arial"/>
                <w:sz w:val="18"/>
                <w:szCs w:val="18"/>
                <w:color w:val="auto"/>
              </w:rPr>
              <w:t>Balance as of March 31, 2018</w:t>
            </w: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74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89" w:lineRule="auto"/>
        <w:tabs>
          <w:tab w:leader="none" w:pos="82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Includes expenses primarily related to the disposition of vehicles.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Related Charges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Limited Voluntary Opportunity Plans (“LVOP”)</w:t>
      </w:r>
    </w:p>
    <w:p>
      <w:pPr>
        <w:spacing w:after="0" w:line="243"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During 2017, the Company offered voluntary termination programs to certain employees in the Americas’ field operations, shared services, and general and administrative functions for a limited time. These employees, if qualified, elected resignation from employment in return for enhanced severance benefits to be settled in cash. As of March 31, 2018, 358 qualified employees elected to participate in the plans and the employment of substantially all participants had been terminated.</w:t>
      </w:r>
    </w:p>
    <w:p>
      <w:pPr>
        <w:spacing w:after="0" w:line="182"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149" w:lineRule="exact"/>
        <w:rPr>
          <w:sz w:val="20"/>
          <w:szCs w:val="20"/>
          <w:color w:val="auto"/>
        </w:rPr>
      </w:pPr>
    </w:p>
    <w:p>
      <w:pPr>
        <w:ind w:left="872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7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March 31,</w:t>
            </w:r>
          </w:p>
        </w:tc>
      </w:tr>
      <w:tr>
        <w:trPr>
          <w:trHeight w:val="244"/>
        </w:trPr>
        <w:tc>
          <w:tcPr>
            <w:tcW w:w="79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43"/>
        </w:trPr>
        <w:tc>
          <w:tcPr>
            <w:tcW w:w="7920" w:type="dxa"/>
            <w:vAlign w:val="bottom"/>
          </w:tcPr>
          <w:p>
            <w:pPr>
              <w:ind w:left="20"/>
              <w:spacing w:after="0"/>
              <w:rPr>
                <w:sz w:val="20"/>
                <w:szCs w:val="20"/>
                <w:color w:val="auto"/>
              </w:rPr>
            </w:pPr>
            <w:r>
              <w:rPr>
                <w:rFonts w:ascii="Arial" w:cs="Arial" w:eastAsia="Arial" w:hAnsi="Arial"/>
                <w:sz w:val="18"/>
                <w:szCs w:val="18"/>
                <w:color w:val="auto"/>
              </w:rPr>
              <w:t>Net loss for basic and diluted EPS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557"/>
        </w:trPr>
        <w:tc>
          <w:tcPr>
            <w:tcW w:w="7920" w:type="dxa"/>
            <w:vAlign w:val="bottom"/>
          </w:tcPr>
          <w:p>
            <w:pPr>
              <w:ind w:left="20"/>
              <w:spacing w:after="0"/>
              <w:rPr>
                <w:sz w:val="20"/>
                <w:szCs w:val="20"/>
                <w:color w:val="auto"/>
              </w:rPr>
            </w:pPr>
            <w:r>
              <w:rPr>
                <w:rFonts w:ascii="Arial" w:cs="Arial" w:eastAsia="Arial" w:hAnsi="Arial"/>
                <w:sz w:val="18"/>
                <w:szCs w:val="18"/>
                <w:color w:val="auto"/>
              </w:rPr>
              <w:t xml:space="preserve">Basic and diluted weighted average shares outstanding </w:t>
            </w:r>
            <w:r>
              <w:rPr>
                <w:rFonts w:ascii="Arial" w:cs="Arial" w:eastAsia="Arial" w:hAnsi="Arial"/>
                <w:sz w:val="21"/>
                <w:szCs w:val="21"/>
                <w:color w:val="auto"/>
                <w:vertAlign w:val="superscript"/>
              </w:rPr>
              <w:t>(a)</w:t>
            </w: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85.7</w:t>
            </w:r>
          </w:p>
        </w:tc>
      </w:tr>
      <w:tr>
        <w:trPr>
          <w:trHeight w:val="443"/>
        </w:trPr>
        <w:tc>
          <w:tcPr>
            <w:tcW w:w="7920" w:type="dxa"/>
            <w:vAlign w:val="bottom"/>
          </w:tcPr>
          <w:p>
            <w:pPr>
              <w:ind w:left="20"/>
              <w:spacing w:after="0"/>
              <w:rPr>
                <w:sz w:val="20"/>
                <w:szCs w:val="20"/>
                <w:color w:val="auto"/>
              </w:rPr>
            </w:pPr>
            <w:r>
              <w:rPr>
                <w:rFonts w:ascii="Arial" w:cs="Arial" w:eastAsia="Arial" w:hAnsi="Arial"/>
                <w:sz w:val="18"/>
                <w:szCs w:val="18"/>
                <w:i w:val="1"/>
                <w:iCs w:val="1"/>
                <w:color w:val="auto"/>
              </w:rPr>
              <w:t>Loss per share: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70"/>
        </w:trPr>
        <w:tc>
          <w:tcPr>
            <w:tcW w:w="7920" w:type="dxa"/>
            <w:vAlign w:val="bottom"/>
          </w:tcPr>
          <w:p>
            <w:pPr>
              <w:ind w:left="220"/>
              <w:spacing w:after="0"/>
              <w:rPr>
                <w:sz w:val="20"/>
                <w:szCs w:val="20"/>
                <w:color w:val="auto"/>
              </w:rPr>
            </w:pPr>
            <w:r>
              <w:rPr>
                <w:rFonts w:ascii="Arial" w:cs="Arial" w:eastAsia="Arial" w:hAnsi="Arial"/>
                <w:sz w:val="18"/>
                <w:szCs w:val="18"/>
                <w:color w:val="auto"/>
              </w:rPr>
              <w:t>Basic and diluted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7920" w:type="dxa"/>
            <w:vAlign w:val="bottom"/>
          </w:tcPr>
          <w:p>
            <w:pPr>
              <w:spacing w:after="0"/>
              <w:rPr>
                <w:sz w:val="20"/>
                <w:szCs w:val="20"/>
                <w:color w:val="auto"/>
              </w:rPr>
            </w:pPr>
            <w:r>
              <w:rPr>
                <w:rFonts w:ascii="Arial" w:cs="Arial" w:eastAsia="Arial" w:hAnsi="Arial"/>
                <w:sz w:val="18"/>
                <w:szCs w:val="18"/>
                <w:color w:val="auto"/>
              </w:rPr>
              <w:t>__________</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bl>
    <w:p>
      <w:pPr>
        <w:spacing w:after="0" w:line="5" w:lineRule="exact"/>
        <w:rPr>
          <w:sz w:val="20"/>
          <w:szCs w:val="20"/>
          <w:color w:val="auto"/>
        </w:rPr>
      </w:pPr>
    </w:p>
    <w:p>
      <w:pPr>
        <w:ind w:left="820" w:right="140" w:hanging="326"/>
        <w:spacing w:after="0" w:line="218" w:lineRule="auto"/>
        <w:tabs>
          <w:tab w:leader="none" w:pos="820" w:val="left"/>
        </w:tabs>
        <w:numPr>
          <w:ilvl w:val="0"/>
          <w:numId w:val="13"/>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March 31, 2018 and 2017, 0.1 million and 0.8 million outstanding options, respectively, and 1.5 million and 2.6 million non-vested stock awards, respectively, have an anti-dilutive effect and therefore are excluded from the computation of diluted weighted average shares outstanding.</w:t>
      </w:r>
    </w:p>
    <w:p>
      <w:pPr>
        <w:sectPr>
          <w:pgSz w:w="11900" w:h="16838" w:orient="portrait"/>
          <w:cols w:equalWidth="0" w:num="1">
            <w:col w:w="11340"/>
          </w:cols>
          <w:pgMar w:left="240" w:top="140" w:right="319" w:bottom="1440" w:gutter="0" w:footer="0" w:header="0"/>
        </w:sectPr>
      </w:pPr>
    </w:p>
    <w:p>
      <w:pPr>
        <w:spacing w:after="0" w:line="38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340"/>
          </w:cols>
          <w:pgMar w:left="240" w:top="140" w:right="31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Other Investments</w:t>
      </w:r>
    </w:p>
    <w:p>
      <w:pPr>
        <w:spacing w:after="0" w:line="247" w:lineRule="exact"/>
        <w:rPr>
          <w:rFonts w:ascii="Arial" w:cs="Arial" w:eastAsia="Arial" w:hAnsi="Arial"/>
          <w:sz w:val="18"/>
          <w:szCs w:val="18"/>
          <w:b w:val="1"/>
          <w:bCs w:val="1"/>
          <w:color w:val="auto"/>
        </w:rPr>
      </w:pPr>
    </w:p>
    <w:p>
      <w:pPr>
        <w:ind w:left="5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March 2018, the Company made an initial equity investment of $19 million in its licensee in Greece (“Greece”), for a 20% ownership stake. In connection with this investment, the Company entered into an agreement to purchase an additional 20% equity interest, 10% in March 2019 and 10% in March 2020, for $20 million. The Company’s equity investment is recorded within other non-current assets. The Company’s share of Greece’s operating results are reported within operating expenses and are not material for the three months ended March 31, 2018.</w:t>
      </w:r>
    </w:p>
    <w:p>
      <w:pPr>
        <w:spacing w:after="0" w:line="183" w:lineRule="exact"/>
        <w:rPr>
          <w:rFonts w:ascii="Arial" w:cs="Arial" w:eastAsia="Arial" w:hAnsi="Arial"/>
          <w:sz w:val="18"/>
          <w:szCs w:val="18"/>
          <w:b w:val="1"/>
          <w:bCs w:val="1"/>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consisted of:</w:t>
      </w:r>
    </w:p>
    <w:p>
      <w:pPr>
        <w:spacing w:after="0" w:line="14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6840" w:type="dxa"/>
            <w:vAlign w:val="bottom"/>
          </w:tcPr>
          <w:p>
            <w:pPr>
              <w:spacing w:after="0"/>
              <w:rPr>
                <w:sz w:val="17"/>
                <w:szCs w:val="17"/>
                <w:color w:val="auto"/>
              </w:rPr>
            </w:pPr>
          </w:p>
        </w:tc>
        <w:tc>
          <w:tcPr>
            <w:tcW w:w="1280" w:type="dxa"/>
            <w:vAlign w:val="bottom"/>
          </w:tcPr>
          <w:p>
            <w:pPr>
              <w:jc w:val="center"/>
              <w:ind w:left="270"/>
              <w:spacing w:after="0"/>
              <w:rPr>
                <w:sz w:val="20"/>
                <w:szCs w:val="20"/>
                <w:color w:val="auto"/>
              </w:rPr>
            </w:pPr>
            <w:r>
              <w:rPr>
                <w:rFonts w:ascii="Arial" w:cs="Arial" w:eastAsia="Arial" w:hAnsi="Arial"/>
                <w:sz w:val="18"/>
                <w:szCs w:val="18"/>
                <w:b w:val="1"/>
                <w:bCs w:val="1"/>
                <w:color w:val="auto"/>
                <w:w w:val="97"/>
              </w:rPr>
              <w:t>As of</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6840" w:type="dxa"/>
            <w:vAlign w:val="bottom"/>
          </w:tcPr>
          <w:p>
            <w:pPr>
              <w:spacing w:after="0"/>
              <w:rPr>
                <w:sz w:val="17"/>
                <w:szCs w:val="17"/>
                <w:color w:val="auto"/>
              </w:rPr>
            </w:pPr>
          </w:p>
        </w:tc>
        <w:tc>
          <w:tcPr>
            <w:tcW w:w="1280" w:type="dxa"/>
            <w:vAlign w:val="bottom"/>
          </w:tcPr>
          <w:p>
            <w:pPr>
              <w:jc w:val="center"/>
              <w:ind w:left="330"/>
              <w:spacing w:after="0" w:line="202" w:lineRule="exact"/>
              <w:rPr>
                <w:sz w:val="20"/>
                <w:szCs w:val="20"/>
                <w:color w:val="auto"/>
              </w:rPr>
            </w:pPr>
            <w:r>
              <w:rPr>
                <w:rFonts w:ascii="Arial" w:cs="Arial" w:eastAsia="Arial" w:hAnsi="Arial"/>
                <w:sz w:val="18"/>
                <w:szCs w:val="18"/>
                <w:b w:val="1"/>
                <w:bCs w:val="1"/>
                <w:color w:val="auto"/>
                <w:w w:val="98"/>
              </w:rPr>
              <w:t>March 31,</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w w:val="99"/>
              </w:rPr>
              <w:t>As of December</w:t>
            </w:r>
          </w:p>
        </w:tc>
      </w:tr>
      <w:tr>
        <w:trPr>
          <w:trHeight w:val="246"/>
        </w:trPr>
        <w:tc>
          <w:tcPr>
            <w:tcW w:w="6840" w:type="dxa"/>
            <w:vAlign w:val="bottom"/>
          </w:tcPr>
          <w:p>
            <w:pPr>
              <w:spacing w:after="0"/>
              <w:rPr>
                <w:sz w:val="21"/>
                <w:szCs w:val="21"/>
                <w:color w:val="auto"/>
              </w:rPr>
            </w:pPr>
          </w:p>
        </w:tc>
        <w:tc>
          <w:tcPr>
            <w:tcW w:w="12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99"/>
              </w:rPr>
              <w:t>2018</w:t>
            </w:r>
          </w:p>
        </w:tc>
        <w:tc>
          <w:tcPr>
            <w:tcW w:w="4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31, 2017</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Sales and use taxes</w:t>
            </w:r>
          </w:p>
        </w:tc>
        <w:tc>
          <w:tcPr>
            <w:tcW w:w="1280" w:type="dxa"/>
            <w:vAlign w:val="bottom"/>
          </w:tcPr>
          <w:p>
            <w:pPr>
              <w:jc w:val="right"/>
              <w:ind w:right="105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293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Prepaid expenses</w:t>
            </w:r>
          </w:p>
        </w:tc>
        <w:tc>
          <w:tcPr>
            <w:tcW w:w="1280" w:type="dxa"/>
            <w:vAlign w:val="bottom"/>
          </w:tcPr>
          <w:p>
            <w:pPr>
              <w:spacing w:after="0"/>
              <w:rPr>
                <w:sz w:val="23"/>
                <w:szCs w:val="23"/>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w w:val="93"/>
              </w:rPr>
              <w:t>218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7"/>
        </w:trPr>
        <w:tc>
          <w:tcPr>
            <w:tcW w:w="6840" w:type="dxa"/>
            <w:vAlign w:val="bottom"/>
          </w:tcPr>
          <w:p>
            <w:pPr>
              <w:spacing w:after="0"/>
              <w:rPr>
                <w:sz w:val="20"/>
                <w:szCs w:val="20"/>
                <w:color w:val="auto"/>
              </w:rPr>
            </w:pPr>
            <w:r>
              <w:rPr>
                <w:rFonts w:ascii="Arial" w:cs="Arial" w:eastAsia="Arial" w:hAnsi="Arial"/>
                <w:sz w:val="18"/>
                <w:szCs w:val="18"/>
                <w:color w:val="auto"/>
              </w:rPr>
              <w:t>Other</w:t>
            </w:r>
          </w:p>
        </w:tc>
        <w:tc>
          <w:tcPr>
            <w:tcW w:w="1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188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Other current assets</w:t>
            </w:r>
          </w:p>
        </w:tc>
        <w:tc>
          <w:tcPr>
            <w:tcW w:w="128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699</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r>
      <w:tr>
        <w:trPr>
          <w:trHeight w:val="20"/>
        </w:trPr>
        <w:tc>
          <w:tcPr>
            <w:tcW w:w="68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consisted of:</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2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rPr>
              <w:t>As of March 31, 2018</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center"/>
              <w:ind w:left="636"/>
              <w:spacing w:after="0"/>
              <w:rPr>
                <w:sz w:val="20"/>
                <w:szCs w:val="20"/>
                <w:color w:val="auto"/>
              </w:rPr>
            </w:pPr>
            <w:r>
              <w:rPr>
                <w:rFonts w:ascii="Arial" w:cs="Arial" w:eastAsia="Arial" w:hAnsi="Arial"/>
                <w:sz w:val="16"/>
                <w:szCs w:val="16"/>
                <w:b w:val="1"/>
                <w:bCs w:val="1"/>
                <w:color w:val="auto"/>
              </w:rPr>
              <w:t>As of December 31, 2017</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center"/>
              <w:ind w:right="36"/>
              <w:spacing w:after="0"/>
              <w:rPr>
                <w:sz w:val="20"/>
                <w:szCs w:val="20"/>
                <w:color w:val="auto"/>
              </w:rPr>
            </w:pPr>
            <w:r>
              <w:rPr>
                <w:rFonts w:ascii="Arial" w:cs="Arial" w:eastAsia="Arial" w:hAnsi="Arial"/>
                <w:sz w:val="14"/>
                <w:szCs w:val="14"/>
                <w:b w:val="1"/>
                <w:bCs w:val="1"/>
                <w:color w:val="auto"/>
              </w:rPr>
              <w:t>Gross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5"/>
                <w:szCs w:val="15"/>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center"/>
              <w:ind w:right="16"/>
              <w:spacing w:after="0"/>
              <w:rPr>
                <w:sz w:val="20"/>
                <w:szCs w:val="20"/>
                <w:color w:val="auto"/>
              </w:rPr>
            </w:pPr>
            <w:r>
              <w:rPr>
                <w:rFonts w:ascii="Arial" w:cs="Arial" w:eastAsia="Arial" w:hAnsi="Arial"/>
                <w:sz w:val="14"/>
                <w:szCs w:val="14"/>
                <w:b w:val="1"/>
                <w:bCs w:val="1"/>
                <w:color w:val="auto"/>
              </w:rPr>
              <w:t>Carrying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center"/>
              <w:ind w:right="36"/>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7"/>
                <w:szCs w:val="17"/>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7"/>
                <w:szCs w:val="17"/>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1"/>
        </w:trPr>
        <w:tc>
          <w:tcPr>
            <w:tcW w:w="2700" w:type="dxa"/>
            <w:vAlign w:val="bottom"/>
          </w:tcPr>
          <w:p>
            <w:pPr>
              <w:ind w:left="20"/>
              <w:spacing w:after="0"/>
              <w:rPr>
                <w:sz w:val="20"/>
                <w:szCs w:val="20"/>
                <w:color w:val="auto"/>
              </w:rPr>
            </w:pPr>
            <w:r>
              <w:rPr>
                <w:rFonts w:ascii="Arial" w:cs="Arial" w:eastAsia="Arial" w:hAnsi="Arial"/>
                <w:sz w:val="16"/>
                <w:szCs w:val="16"/>
                <w:i w:val="1"/>
                <w:iCs w:val="1"/>
                <w:color w:val="auto"/>
              </w:rPr>
              <w:t>Amortized Intangible Assets</w:t>
            </w:r>
          </w:p>
        </w:tc>
        <w:tc>
          <w:tcPr>
            <w:tcW w:w="2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700" w:type="dxa"/>
            <w:vAlign w:val="bottom"/>
          </w:tcPr>
          <w:p>
            <w:pPr>
              <w:ind w:left="20"/>
              <w:spacing w:after="0"/>
              <w:rPr>
                <w:sz w:val="20"/>
                <w:szCs w:val="20"/>
                <w:color w:val="auto"/>
              </w:rPr>
            </w:pPr>
            <w:r>
              <w:rPr>
                <w:rFonts w:ascii="Arial" w:cs="Arial" w:eastAsia="Arial" w:hAnsi="Arial"/>
                <w:sz w:val="16"/>
                <w:szCs w:val="16"/>
                <w:color w:val="auto"/>
              </w:rPr>
              <w:t>License agreements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294</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0"/>
        </w:trPr>
        <w:tc>
          <w:tcPr>
            <w:tcW w:w="270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7"/>
        </w:trPr>
        <w:tc>
          <w:tcPr>
            <w:tcW w:w="2700" w:type="dxa"/>
            <w:vAlign w:val="bottom"/>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1"/>
        </w:trPr>
        <w:tc>
          <w:tcPr>
            <w:tcW w:w="2700" w:type="dxa"/>
            <w:vAlign w:val="bottom"/>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592</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27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Unamortized Intangible Assets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700" w:type="dxa"/>
            <w:vAlign w:val="bottom"/>
          </w:tcPr>
          <w:p>
            <w:pPr>
              <w:ind w:left="20"/>
              <w:spacing w:after="0"/>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1,085</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700" w:type="dxa"/>
            <w:vAlign w:val="bottom"/>
          </w:tcPr>
          <w:p>
            <w:pPr>
              <w:ind w:left="20"/>
              <w:spacing w:after="0"/>
              <w:rPr>
                <w:sz w:val="20"/>
                <w:szCs w:val="20"/>
                <w:color w:val="auto"/>
              </w:rPr>
            </w:pPr>
            <w:r>
              <w:rPr>
                <w:rFonts w:ascii="Arial" w:cs="Arial" w:eastAsia="Arial" w:hAnsi="Arial"/>
                <w:sz w:val="16"/>
                <w:szCs w:val="16"/>
                <w:color w:val="auto"/>
              </w:rPr>
              <w:t>Trademarks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6"/>
                <w:szCs w:val="16"/>
                <w:color w:val="auto"/>
              </w:rPr>
              <w:t>_________</w:t>
            </w: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820" w:hanging="326"/>
        <w:spacing w:after="0" w:line="205" w:lineRule="auto"/>
        <w:tabs>
          <w:tab w:leader="none" w:pos="82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The increase in the carrying amount since December 31, 2017, primarily reflects currency translation.</w:t>
      </w:r>
    </w:p>
    <w:p>
      <w:pPr>
        <w:spacing w:after="0" w:line="174"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For the three months ended March 31, 2018 and 2017, amortization expense related to amortizable intangible assets was approximately $14 million and $15 million, respectively. Based on the Company’s amortizable intangible assets at March 31, 2018, the Company expects amortization expense of approximately $38 million for the remainder of 2018, $46 million for 2019, $44 million for 2020, $31 million for 2021, $25 million for 2022 and $22 million for 2023, excluding effects of currency exchange rates.</w:t>
      </w:r>
    </w:p>
    <w:p>
      <w:pPr>
        <w:spacing w:after="0" w:line="182"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vehicles, net within assets under vehicle programs were as follows:</w:t>
      </w:r>
    </w:p>
    <w:p>
      <w:pPr>
        <w:spacing w:after="0" w:line="149"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6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r>
      <w:tr>
        <w:trPr>
          <w:trHeight w:val="270"/>
        </w:trPr>
        <w:tc>
          <w:tcPr>
            <w:tcW w:w="6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March 31,</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6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6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Rental vehicles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13,616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11,652</w:t>
            </w:r>
          </w:p>
        </w:tc>
      </w:tr>
      <w:tr>
        <w:trPr>
          <w:trHeight w:val="277"/>
        </w:trPr>
        <w:tc>
          <w:tcPr>
            <w:tcW w:w="68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r>
      <w:tr>
        <w:trPr>
          <w:trHeight w:val="243"/>
        </w:trPr>
        <w:tc>
          <w:tcPr>
            <w:tcW w:w="6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12,008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77"/>
        </w:trPr>
        <w:tc>
          <w:tcPr>
            <w:tcW w:w="6840" w:type="dxa"/>
            <w:vAlign w:val="bottom"/>
          </w:tcPr>
          <w:p>
            <w:pPr>
              <w:spacing w:after="0"/>
              <w:rPr>
                <w:sz w:val="20"/>
                <w:szCs w:val="20"/>
                <w:color w:val="auto"/>
              </w:rPr>
            </w:pPr>
            <w:r>
              <w:rPr>
                <w:rFonts w:ascii="Arial" w:cs="Arial" w:eastAsia="Arial" w:hAnsi="Arial"/>
                <w:sz w:val="18"/>
                <w:szCs w:val="18"/>
                <w:color w:val="auto"/>
              </w:rPr>
              <w:t>Vehicles held for sale</w:t>
            </w: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Vehicles, net</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12,354</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10,626</w:t>
            </w:r>
          </w:p>
        </w:tc>
      </w:tr>
      <w:tr>
        <w:trPr>
          <w:trHeight w:val="20"/>
        </w:trPr>
        <w:tc>
          <w:tcPr>
            <w:tcW w:w="6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40" w:top="140" w:right="319" w:bottom="1440" w:gutter="0" w:footer="0" w:header="0"/>
        </w:sectPr>
      </w:pPr>
    </w:p>
    <w:p>
      <w:pPr>
        <w:spacing w:after="0" w:line="4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340"/>
          </w:cols>
          <w:pgMar w:left="240" w:top="140" w:right="31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149"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2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80" w:type="dxa"/>
            <w:vAlign w:val="bottom"/>
            <w:tcBorders>
              <w:bottom w:val="single" w:sz="8" w:color="auto"/>
            </w:tcBorders>
          </w:tcPr>
          <w:p>
            <w:pPr>
              <w:spacing w:after="0"/>
              <w:rPr>
                <w:sz w:val="20"/>
                <w:szCs w:val="20"/>
                <w:color w:val="auto"/>
              </w:rPr>
            </w:pPr>
          </w:p>
        </w:tc>
      </w:tr>
      <w:tr>
        <w:trPr>
          <w:trHeight w:val="257"/>
        </w:trPr>
        <w:tc>
          <w:tcPr>
            <w:tcW w:w="728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r>
      <w:tr>
        <w:trPr>
          <w:trHeight w:val="243"/>
        </w:trPr>
        <w:tc>
          <w:tcPr>
            <w:tcW w:w="7280" w:type="dxa"/>
            <w:vAlign w:val="bottom"/>
          </w:tcPr>
          <w:p>
            <w:pPr>
              <w:spacing w:after="0"/>
              <w:rPr>
                <w:sz w:val="20"/>
                <w:szCs w:val="20"/>
                <w:color w:val="auto"/>
              </w:rPr>
            </w:pPr>
            <w:r>
              <w:rPr>
                <w:rFonts w:ascii="Arial" w:cs="Arial" w:eastAsia="Arial" w:hAnsi="Arial"/>
                <w:sz w:val="18"/>
                <w:szCs w:val="18"/>
                <w:color w:val="auto"/>
              </w:rPr>
              <w:t>Depreciation expense</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4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70"/>
        </w:trPr>
        <w:tc>
          <w:tcPr>
            <w:tcW w:w="7280" w:type="dxa"/>
            <w:vAlign w:val="bottom"/>
          </w:tcPr>
          <w:p>
            <w:pPr>
              <w:spacing w:after="0"/>
              <w:rPr>
                <w:sz w:val="20"/>
                <w:szCs w:val="20"/>
                <w:color w:val="auto"/>
              </w:rPr>
            </w:pPr>
            <w:r>
              <w:rPr>
                <w:rFonts w:ascii="Arial" w:cs="Arial" w:eastAsia="Arial" w:hAnsi="Arial"/>
                <w:sz w:val="18"/>
                <w:szCs w:val="18"/>
                <w:color w:val="auto"/>
              </w:rPr>
              <w:t>Lease charges</w:t>
            </w:r>
          </w:p>
        </w:tc>
        <w:tc>
          <w:tcPr>
            <w:tcW w:w="100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7"/>
        </w:trPr>
        <w:tc>
          <w:tcPr>
            <w:tcW w:w="7280" w:type="dxa"/>
            <w:vAlign w:val="bottom"/>
          </w:tcPr>
          <w:p>
            <w:pPr>
              <w:spacing w:after="0"/>
              <w:rPr>
                <w:sz w:val="20"/>
                <w:szCs w:val="20"/>
                <w:color w:val="auto"/>
              </w:rPr>
            </w:pPr>
            <w:r>
              <w:rPr>
                <w:rFonts w:ascii="Arial" w:cs="Arial" w:eastAsia="Arial" w:hAnsi="Arial"/>
                <w:sz w:val="18"/>
                <w:szCs w:val="18"/>
                <w:color w:val="auto"/>
              </w:rPr>
              <w:t>(Gain) loss on sale of vehicles, net</w:t>
            </w: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57"/>
        </w:trPr>
        <w:tc>
          <w:tcPr>
            <w:tcW w:w="7280" w:type="dxa"/>
            <w:vAlign w:val="bottom"/>
          </w:tcPr>
          <w:p>
            <w:pPr>
              <w:spacing w:after="0"/>
              <w:rPr>
                <w:sz w:val="20"/>
                <w:szCs w:val="20"/>
                <w:color w:val="auto"/>
              </w:rPr>
            </w:pPr>
            <w:r>
              <w:rPr>
                <w:rFonts w:ascii="Arial" w:cs="Arial" w:eastAsia="Arial" w:hAnsi="Arial"/>
                <w:sz w:val="18"/>
                <w:szCs w:val="18"/>
                <w:color w:val="auto"/>
              </w:rPr>
              <w:t>Vehicle depreciation and lease charges, net</w:t>
            </w: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r>
      <w:tr>
        <w:trPr>
          <w:trHeight w:val="20"/>
        </w:trPr>
        <w:tc>
          <w:tcPr>
            <w:tcW w:w="7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500" w:right="140"/>
        <w:spacing w:after="0" w:line="256" w:lineRule="auto"/>
        <w:rPr>
          <w:sz w:val="20"/>
          <w:szCs w:val="20"/>
          <w:color w:val="auto"/>
        </w:rPr>
      </w:pPr>
      <w:r>
        <w:rPr>
          <w:rFonts w:ascii="Arial" w:cs="Arial" w:eastAsia="Arial" w:hAnsi="Arial"/>
          <w:sz w:val="18"/>
          <w:szCs w:val="18"/>
          <w:color w:val="auto"/>
        </w:rPr>
        <w:t>At March 31, 2018 and 2017, the Company had payables related to vehicle purchases included in liabilities under vehicle programs - other of $641 million and $546 million, respectively, and receivables related to vehicle sales included in assets under vehicle programs - receivables from vehicle manufacturers and other of $329 million and $277 million, respectively.</w:t>
      </w:r>
    </w:p>
    <w:p>
      <w:pPr>
        <w:spacing w:after="0" w:line="180"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47" w:lineRule="exact"/>
        <w:rPr>
          <w:rFonts w:ascii="Arial" w:cs="Arial" w:eastAsia="Arial" w:hAnsi="Arial"/>
          <w:sz w:val="18"/>
          <w:szCs w:val="18"/>
          <w:b w:val="1"/>
          <w:bCs w:val="1"/>
          <w:color w:val="auto"/>
        </w:rPr>
      </w:pPr>
    </w:p>
    <w:p>
      <w:pPr>
        <w:jc w:val="both"/>
        <w:ind w:left="500" w:right="2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three months ended March 31, 2018 is a benefit of 32.6%. Such rate differed from the Federal statutory rate of 21.0% primarily due to U.S. and foreign taxes on our international operations and state taxes. Tax benefits associated with stock-based compensation increased the benefit for income taxes recorded in the current period.</w:t>
      </w:r>
    </w:p>
    <w:p>
      <w:pPr>
        <w:spacing w:after="0" w:line="20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three months ended March 31, 2017 was a benefit of 35.2%.</w:t>
      </w:r>
    </w:p>
    <w:p>
      <w:pPr>
        <w:spacing w:after="0" w:line="225" w:lineRule="exact"/>
        <w:rPr>
          <w:rFonts w:ascii="Arial" w:cs="Arial" w:eastAsia="Arial" w:hAnsi="Arial"/>
          <w:sz w:val="18"/>
          <w:szCs w:val="18"/>
          <w:b w:val="1"/>
          <w:bCs w:val="1"/>
          <w:color w:val="auto"/>
        </w:rPr>
      </w:pPr>
    </w:p>
    <w:p>
      <w:pPr>
        <w:ind w:left="500" w:right="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Company has not finalized the accounting for the effects of the Tax Act due to the complex analysis necessary to determine the historical earnings of foreign subsidiaries, the ability to utilize tax attributes such as foreign tax credits, and the impact of the repeal of the like-kind exchange provision for personal property together with the corresponding impact on deferred tax components and valuation allowances. Therefore, the Company has not recorded any adjustments to the provisional amounts recorded in 2017 during the three months ended March 31, 2018. Any adjustments to provisional amounts recorded in 2017 will be recorded when the Company finalizes its accounting of the tax effects within a subsequent measurement period that will not exceed one year from the date of the enactment of the Tax Act.</w:t>
      </w:r>
    </w:p>
    <w:p>
      <w:pPr>
        <w:spacing w:after="0" w:line="207" w:lineRule="exact"/>
        <w:rPr>
          <w:rFonts w:ascii="Arial" w:cs="Arial" w:eastAsia="Arial" w:hAnsi="Arial"/>
          <w:sz w:val="18"/>
          <w:szCs w:val="18"/>
          <w:b w:val="1"/>
          <w:bCs w:val="1"/>
          <w:color w:val="auto"/>
        </w:rPr>
      </w:pPr>
    </w:p>
    <w:p>
      <w:pPr>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Company continues to evaluate whether or not to continue to assert indefinite reinvestment on a part or all of its undistributed foreign earnings. This requires the Company to analyze its global working capital and cash requirements in light of the Tax Act and the potential tax liabilities attributable to a repatriation to the U.S., such as foreign withholding taxes and U.S. tax on currency transaction gains or losses. The Company did not record any deferred taxes attributable to its investments in its foreign subsidiaries. The Company will record the tax effects of any change in its assertion within a subsequent measurement period that will not exceed one year from the date of the enactment of the Tax Act.</w:t>
      </w:r>
    </w:p>
    <w:p>
      <w:pPr>
        <w:spacing w:after="0" w:line="186" w:lineRule="exact"/>
        <w:rPr>
          <w:rFonts w:ascii="Arial" w:cs="Arial" w:eastAsia="Arial" w:hAnsi="Arial"/>
          <w:sz w:val="18"/>
          <w:szCs w:val="18"/>
          <w:b w:val="1"/>
          <w:bCs w:val="1"/>
          <w:color w:val="auto"/>
        </w:rPr>
      </w:pPr>
    </w:p>
    <w:p>
      <w:pPr>
        <w:ind w:left="500" w:right="6300" w:hanging="492"/>
        <w:spacing w:after="0" w:line="497" w:lineRule="auto"/>
        <w:tabs>
          <w:tab w:leader="none" w:pos="50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Current Liabilities </w:t>
      </w:r>
      <w:r>
        <w:rPr>
          <w:rFonts w:ascii="Arial" w:cs="Arial" w:eastAsia="Arial" w:hAnsi="Arial"/>
          <w:sz w:val="17"/>
          <w:szCs w:val="17"/>
          <w:color w:val="auto"/>
        </w:rPr>
        <w:t>Accounts payable and other current liabilities consisted of:</w:t>
      </w:r>
    </w:p>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6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r>
      <w:tr>
        <w:trPr>
          <w:trHeight w:val="270"/>
        </w:trPr>
        <w:tc>
          <w:tcPr>
            <w:tcW w:w="6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68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6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800" w:type="dxa"/>
            <w:vAlign w:val="bottom"/>
          </w:tcPr>
          <w:p>
            <w:pPr>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Accrued sales and use taxes</w:t>
            </w:r>
          </w:p>
        </w:tc>
        <w:tc>
          <w:tcPr>
            <w:tcW w:w="2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Accrued marketing and commissions</w:t>
            </w:r>
          </w:p>
        </w:tc>
        <w:tc>
          <w:tcPr>
            <w:tcW w:w="2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Deferred revenue – current</w:t>
            </w:r>
          </w:p>
        </w:tc>
        <w:tc>
          <w:tcPr>
            <w:tcW w:w="2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Accrued payroll and related</w:t>
            </w:r>
          </w:p>
        </w:tc>
        <w:tc>
          <w:tcPr>
            <w:tcW w:w="2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Public liability and property damage insurance liabilities – current</w:t>
            </w:r>
          </w:p>
        </w:tc>
        <w:tc>
          <w:tcPr>
            <w:tcW w:w="2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Accrued insurance</w:t>
            </w:r>
          </w:p>
        </w:tc>
        <w:tc>
          <w:tcPr>
            <w:tcW w:w="26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7"/>
        </w:trPr>
        <w:tc>
          <w:tcPr>
            <w:tcW w:w="680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r>
      <w:tr>
        <w:trPr>
          <w:trHeight w:val="257"/>
        </w:trPr>
        <w:tc>
          <w:tcPr>
            <w:tcW w:w="680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1,777</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w:t>
            </w:r>
          </w:p>
        </w:tc>
      </w:tr>
      <w:tr>
        <w:trPr>
          <w:trHeight w:val="20"/>
        </w:trPr>
        <w:tc>
          <w:tcPr>
            <w:tcW w:w="6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20"/>
          </w:cols>
          <w:pgMar w:left="240" w:top="140"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right="5480" w:hanging="492"/>
        <w:spacing w:after="0" w:line="488" w:lineRule="auto"/>
        <w:tabs>
          <w:tab w:leader="none" w:pos="5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Corporate Debt and Borrowing Arrangements </w:t>
      </w:r>
      <w:r>
        <w:rPr>
          <w:rFonts w:ascii="Arial" w:cs="Arial" w:eastAsia="Arial" w:hAnsi="Arial"/>
          <w:sz w:val="18"/>
          <w:szCs w:val="18"/>
          <w:color w:val="auto"/>
        </w:rPr>
        <w:t>Long-term corporate debt and borrowing arrangements consisted of:</w:t>
      </w:r>
    </w:p>
    <w:tbl>
      <w:tblPr>
        <w:tblLayout w:type="fixed"/>
        <w:tblInd w:w="50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As of</w:t>
            </w: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1"/>
                <w:szCs w:val="21"/>
                <w:color w:val="auto"/>
              </w:rPr>
            </w:pPr>
          </w:p>
        </w:tc>
        <w:tc>
          <w:tcPr>
            <w:tcW w:w="186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Maturity</w:t>
            </w:r>
          </w:p>
        </w:tc>
        <w:tc>
          <w:tcPr>
            <w:tcW w:w="240" w:type="dxa"/>
            <w:vAlign w:val="bottom"/>
          </w:tcPr>
          <w:p>
            <w:pPr>
              <w:spacing w:after="0"/>
              <w:rPr>
                <w:sz w:val="21"/>
                <w:szCs w:val="21"/>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21"/>
                <w:szCs w:val="21"/>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82"/>
        </w:trPr>
        <w:tc>
          <w:tcPr>
            <w:tcW w:w="5460" w:type="dxa"/>
            <w:vAlign w:val="bottom"/>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vMerge w:val="restart"/>
          </w:tcPr>
          <w:p>
            <w:pPr>
              <w:jc w:val="center"/>
              <w:ind w:right="1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28"/>
        </w:trPr>
        <w:tc>
          <w:tcPr>
            <w:tcW w:w="5460" w:type="dxa"/>
            <w:vAlign w:val="bottom"/>
          </w:tcPr>
          <w:p>
            <w:pPr>
              <w:spacing w:after="0"/>
              <w:rPr>
                <w:sz w:val="19"/>
                <w:szCs w:val="19"/>
                <w:color w:val="auto"/>
              </w:rPr>
            </w:pPr>
          </w:p>
        </w:tc>
        <w:tc>
          <w:tcPr>
            <w:tcW w:w="1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Dates</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60" w:type="dxa"/>
            <w:vAlign w:val="bottom"/>
          </w:tcPr>
          <w:p>
            <w:pPr>
              <w:ind w:left="20"/>
              <w:spacing w:after="0"/>
              <w:rPr>
                <w:sz w:val="20"/>
                <w:szCs w:val="20"/>
                <w:color w:val="auto"/>
              </w:rPr>
            </w:pPr>
            <w:r>
              <w:rPr>
                <w:rFonts w:ascii="Arial" w:cs="Arial" w:eastAsia="Arial" w:hAnsi="Arial"/>
                <w:sz w:val="16"/>
                <w:szCs w:val="16"/>
                <w:color w:val="auto"/>
              </w:rPr>
              <w:t>Floating Rate Term Loan</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2022</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1,136</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5⅛%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June 2022</w:t>
            </w:r>
          </w:p>
        </w:tc>
        <w:tc>
          <w:tcPr>
            <w:tcW w:w="2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5½%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2023</w:t>
            </w:r>
          </w:p>
        </w:tc>
        <w:tc>
          <w:tcPr>
            <w:tcW w:w="2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6⅜%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2024</w:t>
            </w:r>
          </w:p>
        </w:tc>
        <w:tc>
          <w:tcPr>
            <w:tcW w:w="2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4⅛% euro-denominated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2024</w:t>
            </w:r>
          </w:p>
        </w:tc>
        <w:tc>
          <w:tcPr>
            <w:tcW w:w="2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346"/>
        </w:trPr>
        <w:tc>
          <w:tcPr>
            <w:tcW w:w="5460" w:type="dxa"/>
            <w:vAlign w:val="bottom"/>
          </w:tcPr>
          <w:p>
            <w:pPr>
              <w:ind w:left="2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February 2025</w:t>
            </w:r>
          </w:p>
        </w:tc>
        <w:tc>
          <w:tcPr>
            <w:tcW w:w="24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1,131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5460" w:type="dxa"/>
            <w:vAlign w:val="bottom"/>
          </w:tcPr>
          <w:p>
            <w:pPr>
              <w:ind w:left="20"/>
              <w:spacing w:after="0"/>
              <w:rPr>
                <w:sz w:val="20"/>
                <w:szCs w:val="20"/>
                <w:color w:val="auto"/>
              </w:rPr>
            </w:pPr>
            <w:r>
              <w:rPr>
                <w:rFonts w:ascii="Arial" w:cs="Arial" w:eastAsia="Arial" w:hAnsi="Arial"/>
                <w:sz w:val="16"/>
                <w:szCs w:val="16"/>
                <w:color w:val="auto"/>
              </w:rPr>
              <w:t>5¼%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2025</w:t>
            </w:r>
          </w:p>
        </w:tc>
        <w:tc>
          <w:tcPr>
            <w:tcW w:w="240" w:type="dxa"/>
            <w:vAlign w:val="bottom"/>
          </w:tcPr>
          <w:p>
            <w:pPr>
              <w:spacing w:after="0"/>
              <w:rPr>
                <w:sz w:val="16"/>
                <w:szCs w:val="16"/>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4½% euro-denominated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May 2025</w:t>
            </w:r>
          </w:p>
        </w:tc>
        <w:tc>
          <w:tcPr>
            <w:tcW w:w="2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46"/>
        </w:trPr>
        <w:tc>
          <w:tcPr>
            <w:tcW w:w="5460" w:type="dxa"/>
            <w:vAlign w:val="bottom"/>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8"/>
        </w:trPr>
        <w:tc>
          <w:tcPr>
            <w:tcW w:w="5460" w:type="dxa"/>
            <w:vAlign w:val="bottom"/>
          </w:tcPr>
          <w:p>
            <w:pPr>
              <w:ind w:left="20"/>
              <w:spacing w:after="0"/>
              <w:rPr>
                <w:sz w:val="20"/>
                <w:szCs w:val="20"/>
                <w:color w:val="auto"/>
              </w:rPr>
            </w:pPr>
            <w:r>
              <w:rPr>
                <w:rFonts w:ascii="Arial" w:cs="Arial" w:eastAsia="Arial" w:hAnsi="Arial"/>
                <w:sz w:val="16"/>
                <w:szCs w:val="16"/>
                <w:color w:val="auto"/>
              </w:rPr>
              <w:t>Deferred financing fees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7"/>
        </w:trPr>
        <w:tc>
          <w:tcPr>
            <w:tcW w:w="5460" w:type="dxa"/>
            <w:vAlign w:val="bottom"/>
          </w:tcPr>
          <w:p>
            <w:pPr>
              <w:ind w:left="20"/>
              <w:spacing w:after="0"/>
              <w:rPr>
                <w:sz w:val="20"/>
                <w:szCs w:val="20"/>
                <w:color w:val="auto"/>
              </w:rPr>
            </w:pPr>
            <w:r>
              <w:rPr>
                <w:rFonts w:ascii="Arial" w:cs="Arial" w:eastAsia="Arial" w:hAnsi="Arial"/>
                <w:sz w:val="16"/>
                <w:szCs w:val="16"/>
                <w:color w:val="auto"/>
              </w:rPr>
              <w:t>Total</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3,607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3,599</w:t>
            </w:r>
          </w:p>
        </w:tc>
        <w:tc>
          <w:tcPr>
            <w:tcW w:w="0" w:type="dxa"/>
            <w:vAlign w:val="bottom"/>
          </w:tcPr>
          <w:p>
            <w:pPr>
              <w:spacing w:after="0"/>
              <w:rPr>
                <w:sz w:val="1"/>
                <w:szCs w:val="1"/>
                <w:color w:val="auto"/>
              </w:rPr>
            </w:pPr>
          </w:p>
        </w:tc>
      </w:tr>
      <w:tr>
        <w:trPr>
          <w:trHeight w:val="283"/>
        </w:trPr>
        <w:tc>
          <w:tcPr>
            <w:tcW w:w="5460" w:type="dxa"/>
            <w:vAlign w:val="bottom"/>
          </w:tcPr>
          <w:p>
            <w:pPr>
              <w:ind w:left="20"/>
              <w:spacing w:after="0"/>
              <w:rPr>
                <w:sz w:val="20"/>
                <w:szCs w:val="20"/>
                <w:color w:val="auto"/>
              </w:rPr>
            </w:pPr>
            <w:r>
              <w:rPr>
                <w:rFonts w:ascii="Arial" w:cs="Arial" w:eastAsia="Arial" w:hAnsi="Arial"/>
                <w:sz w:val="16"/>
                <w:szCs w:val="16"/>
                <w:color w:val="auto"/>
              </w:rPr>
              <w:t>Less: Short-term debt and current portion of long-term debt</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7"/>
        </w:trPr>
        <w:tc>
          <w:tcPr>
            <w:tcW w:w="54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3,581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3,573</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6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right="40" w:hanging="326"/>
        <w:spacing w:after="0" w:line="225" w:lineRule="auto"/>
        <w:tabs>
          <w:tab w:leader="none" w:pos="82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 As of March 31, 2018, the floating rate term loan due 2025 bears interest at three-month LIBOR plus 200 basis points, for an aggregate rate of 4.31%. The Company has entered into a swap to hedge $700 million of its interest rate exposure related to the floating rate term loan at an aggregate rate of 3.79%.</w:t>
      </w:r>
    </w:p>
    <w:p>
      <w:pPr>
        <w:spacing w:after="0" w:line="1"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Primarily includes capital leases which are secured by liens on the related assets.</w:t>
      </w:r>
    </w:p>
    <w:p>
      <w:pPr>
        <w:spacing w:after="0" w:line="201" w:lineRule="exact"/>
        <w:rPr>
          <w:sz w:val="20"/>
          <w:szCs w:val="20"/>
          <w:color w:val="auto"/>
        </w:rPr>
      </w:pPr>
    </w:p>
    <w:p>
      <w:pPr>
        <w:ind w:left="500" w:right="360"/>
        <w:spacing w:after="0" w:line="449" w:lineRule="auto"/>
        <w:rPr>
          <w:sz w:val="20"/>
          <w:szCs w:val="20"/>
          <w:color w:val="auto"/>
        </w:rPr>
      </w:pPr>
      <w:r>
        <w:rPr>
          <w:rFonts w:ascii="Arial" w:cs="Arial" w:eastAsia="Arial" w:hAnsi="Arial"/>
          <w:sz w:val="18"/>
          <w:szCs w:val="18"/>
          <w:color w:val="auto"/>
        </w:rPr>
        <w:t xml:space="preserve">In February 2018, the Company amended the terms of its Floating Rate Term Loan due 2022 and extended its maturity term to 2025. </w:t>
      </w:r>
      <w:r>
        <w:rPr>
          <w:rFonts w:ascii="Arial" w:cs="Arial" w:eastAsia="Arial" w:hAnsi="Arial"/>
          <w:sz w:val="18"/>
          <w:szCs w:val="18"/>
          <w:b w:val="1"/>
          <w:bCs w:val="1"/>
          <w:i w:val="1"/>
          <w:iCs w:val="1"/>
          <w:color w:val="auto"/>
        </w:rPr>
        <w:t>Committed Credit Facilities and Available Funding Arrangements</w:t>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March 31, 2018, the committed corporate credit facilities available to the Company and/or its subsidiaries were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6"/>
                <w:szCs w:val="16"/>
                <w:color w:val="auto"/>
              </w:rPr>
            </w:pPr>
          </w:p>
        </w:tc>
        <w:tc>
          <w:tcPr>
            <w:tcW w:w="15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rPr>
              <w:t>Outstanding</w:t>
            </w:r>
          </w:p>
        </w:tc>
        <w:tc>
          <w:tcPr>
            <w:tcW w:w="13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Letters of</w:t>
            </w:r>
          </w:p>
        </w:tc>
        <w:tc>
          <w:tcPr>
            <w:tcW w:w="240" w:type="dxa"/>
            <w:vAlign w:val="bottom"/>
          </w:tcPr>
          <w:p>
            <w:pPr>
              <w:spacing w:after="0"/>
              <w:rPr>
                <w:sz w:val="16"/>
                <w:szCs w:val="16"/>
                <w:color w:val="auto"/>
              </w:rPr>
            </w:pPr>
          </w:p>
        </w:tc>
        <w:tc>
          <w:tcPr>
            <w:tcW w:w="1200" w:type="dxa"/>
            <w:vAlign w:val="bottom"/>
          </w:tcPr>
          <w:p>
            <w:pPr>
              <w:jc w:val="right"/>
              <w:ind w:right="279"/>
              <w:spacing w:after="0"/>
              <w:rPr>
                <w:sz w:val="20"/>
                <w:szCs w:val="20"/>
                <w:color w:val="auto"/>
              </w:rPr>
            </w:pPr>
            <w:r>
              <w:rPr>
                <w:rFonts w:ascii="Arial" w:cs="Arial" w:eastAsia="Arial" w:hAnsi="Arial"/>
                <w:sz w:val="16"/>
                <w:szCs w:val="16"/>
                <w:b w:val="1"/>
                <w:bCs w:val="1"/>
                <w:color w:val="auto"/>
              </w:rPr>
              <w:t>Available</w:t>
            </w:r>
          </w:p>
        </w:tc>
      </w:tr>
      <w:tr>
        <w:trPr>
          <w:trHeight w:val="228"/>
        </w:trPr>
        <w:tc>
          <w:tcPr>
            <w:tcW w:w="4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Credit Issued</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r>
      <w:tr>
        <w:trPr>
          <w:trHeight w:val="270"/>
        </w:trPr>
        <w:tc>
          <w:tcPr>
            <w:tcW w:w="422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2023 </w:t>
            </w:r>
            <w:r>
              <w:rPr>
                <w:rFonts w:ascii="Arial" w:cs="Arial" w:eastAsia="Arial" w:hAnsi="Arial"/>
                <w:sz w:val="17"/>
                <w:szCs w:val="17"/>
                <w:color w:val="auto"/>
                <w:vertAlign w:val="superscript"/>
              </w:rPr>
              <w:t>(a)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1,087</w:t>
            </w:r>
          </w:p>
        </w:tc>
        <w:tc>
          <w:tcPr>
            <w:tcW w:w="10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713</w:t>
            </w:r>
          </w:p>
        </w:tc>
      </w:tr>
      <w:tr>
        <w:trPr>
          <w:trHeight w:val="259"/>
        </w:trPr>
        <w:tc>
          <w:tcPr>
            <w:tcW w:w="4220" w:type="dxa"/>
            <w:vAlign w:val="bottom"/>
          </w:tcPr>
          <w:p>
            <w:pPr>
              <w:ind w:left="20"/>
              <w:spacing w:after="0"/>
              <w:rPr>
                <w:sz w:val="20"/>
                <w:szCs w:val="20"/>
                <w:color w:val="auto"/>
              </w:rPr>
            </w:pPr>
            <w:r>
              <w:rPr>
                <w:rFonts w:ascii="Arial" w:cs="Arial" w:eastAsia="Arial" w:hAnsi="Arial"/>
                <w:sz w:val="16"/>
                <w:szCs w:val="16"/>
                <w:color w:val="auto"/>
              </w:rPr>
              <w:t xml:space="preserve">Other facilities </w:t>
            </w:r>
            <w:r>
              <w:rPr>
                <w:rFonts w:ascii="Arial" w:cs="Arial" w:eastAsia="Arial" w:hAnsi="Arial"/>
                <w:sz w:val="17"/>
                <w:szCs w:val="17"/>
                <w:color w:val="auto"/>
                <w:vertAlign w:val="superscript"/>
              </w:rPr>
              <w:t>(b)</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7"/>
        </w:trPr>
        <w:tc>
          <w:tcPr>
            <w:tcW w:w="4220" w:type="dxa"/>
            <w:vAlign w:val="bottom"/>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5" w:lineRule="exact"/>
        <w:rPr>
          <w:sz w:val="20"/>
          <w:szCs w:val="20"/>
          <w:color w:val="auto"/>
        </w:rPr>
      </w:pPr>
    </w:p>
    <w:p>
      <w:pPr>
        <w:ind w:left="820" w:right="40" w:hanging="326"/>
        <w:spacing w:after="0"/>
        <w:tabs>
          <w:tab w:leader="none" w:pos="82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spacing w:after="0" w:line="118"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These facilities encompass bank overdraft lines of credit, bearing interest of 3.22% as of March 31, 2018.</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February 2018, the Company amended the terms of its Senior revolving credit facility maturing 2021 and extended its maturity to 2023.</w:t>
      </w:r>
    </w:p>
    <w:p>
      <w:pPr>
        <w:spacing w:after="0" w:line="225" w:lineRule="exact"/>
        <w:rPr>
          <w:sz w:val="20"/>
          <w:szCs w:val="20"/>
          <w:color w:val="auto"/>
        </w:rPr>
      </w:pPr>
    </w:p>
    <w:p>
      <w:pPr>
        <w:ind w:left="500" w:right="160"/>
        <w:spacing w:after="0" w:line="262" w:lineRule="auto"/>
        <w:rPr>
          <w:sz w:val="20"/>
          <w:szCs w:val="20"/>
          <w:color w:val="auto"/>
        </w:rPr>
      </w:pPr>
      <w:r>
        <w:rPr>
          <w:rFonts w:ascii="Arial" w:cs="Arial" w:eastAsia="Arial" w:hAnsi="Arial"/>
          <w:sz w:val="18"/>
          <w:szCs w:val="18"/>
          <w:color w:val="auto"/>
        </w:rPr>
        <w:t>At March 31, 2018, the Company had various uncommitted credit facilities available, under which it had drawn approximately $1 million, which bear interest at rates between 0.00% and 4.50%.</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47" w:lineRule="exact"/>
        <w:rPr>
          <w:sz w:val="20"/>
          <w:szCs w:val="20"/>
          <w:color w:val="auto"/>
        </w:rPr>
      </w:pPr>
    </w:p>
    <w:p>
      <w:pPr>
        <w:ind w:left="500" w:right="340"/>
        <w:spacing w:after="0" w:line="253" w:lineRule="auto"/>
        <w:rPr>
          <w:sz w:val="20"/>
          <w:szCs w:val="20"/>
          <w:color w:val="auto"/>
        </w:rPr>
      </w:pPr>
      <w:r>
        <w:rPr>
          <w:rFonts w:ascii="Arial" w:cs="Arial" w:eastAsia="Arial" w:hAnsi="Arial"/>
          <w:sz w:val="18"/>
          <w:szCs w:val="18"/>
          <w:color w:val="auto"/>
        </w:rPr>
        <w:t>The agreements governing the Company’s indebtedness contain restrictive covenants, including restrictions on dividends paid to the Company by certain of its subsidiaries, the incurrence of additional indebtedness by the Company and certain of its subsidiaries, acquisitions, mergers, liquidations, and sale and leaseback transactions. The Company’s senior credit facility also contains a consolidated first lien leverage ratio requirement. As of March 31, 2018, the Company was in compliance with the financial covenants governing its indebtedness.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0"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47" w:lineRule="exact"/>
        <w:rPr>
          <w:rFonts w:ascii="Arial" w:cs="Arial" w:eastAsia="Arial" w:hAnsi="Arial"/>
          <w:sz w:val="18"/>
          <w:szCs w:val="18"/>
          <w:b w:val="1"/>
          <w:bCs w:val="1"/>
          <w:color w:val="auto"/>
        </w:rPr>
      </w:pPr>
    </w:p>
    <w:p>
      <w:pPr>
        <w:ind w:left="500" w:right="28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134"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6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March 31,</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7"/>
        </w:trPr>
        <w:tc>
          <w:tcPr>
            <w:tcW w:w="68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96"/>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Americas - Debt due to Avis Budget Rental Car Funding </w:t>
            </w:r>
            <w:r>
              <w:rPr>
                <w:rFonts w:ascii="Arial" w:cs="Arial" w:eastAsia="Arial" w:hAnsi="Arial"/>
                <w:sz w:val="21"/>
                <w:szCs w:val="21"/>
                <w:color w:val="auto"/>
                <w:vertAlign w:val="superscript"/>
              </w:rPr>
              <w:t>(a)</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7,787</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6,516</w:t>
            </w:r>
          </w:p>
        </w:tc>
        <w:tc>
          <w:tcPr>
            <w:tcW w:w="0" w:type="dxa"/>
            <w:vAlign w:val="bottom"/>
          </w:tcPr>
          <w:p>
            <w:pPr>
              <w:spacing w:after="0"/>
              <w:rPr>
                <w:sz w:val="1"/>
                <w:szCs w:val="1"/>
                <w:color w:val="auto"/>
              </w:rPr>
            </w:pPr>
          </w:p>
        </w:tc>
      </w:tr>
      <w:tr>
        <w:trPr>
          <w:trHeight w:val="217"/>
        </w:trPr>
        <w:tc>
          <w:tcPr>
            <w:tcW w:w="6860" w:type="dxa"/>
            <w:vAlign w:val="bottom"/>
          </w:tcPr>
          <w:p>
            <w:pPr>
              <w:ind w:left="20"/>
              <w:spacing w:after="0"/>
              <w:rPr>
                <w:sz w:val="20"/>
                <w:szCs w:val="20"/>
                <w:color w:val="auto"/>
              </w:rPr>
            </w:pPr>
            <w:r>
              <w:rPr>
                <w:rFonts w:ascii="Arial" w:cs="Arial" w:eastAsia="Arial" w:hAnsi="Arial"/>
                <w:sz w:val="18"/>
                <w:szCs w:val="18"/>
                <w:color w:val="auto"/>
              </w:rPr>
              <w:t>Americas - Debt borrowings</w:t>
            </w:r>
          </w:p>
        </w:tc>
        <w:tc>
          <w:tcPr>
            <w:tcW w:w="28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70"/>
        </w:trPr>
        <w:tc>
          <w:tcPr>
            <w:tcW w:w="6860" w:type="dxa"/>
            <w:vAlign w:val="bottom"/>
          </w:tcPr>
          <w:p>
            <w:pPr>
              <w:ind w:left="20"/>
              <w:spacing w:after="0"/>
              <w:rPr>
                <w:sz w:val="20"/>
                <w:szCs w:val="20"/>
                <w:color w:val="auto"/>
              </w:rPr>
            </w:pPr>
            <w:r>
              <w:rPr>
                <w:rFonts w:ascii="Arial" w:cs="Arial" w:eastAsia="Arial" w:hAnsi="Arial"/>
                <w:sz w:val="18"/>
                <w:szCs w:val="18"/>
                <w:color w:val="auto"/>
              </w:rPr>
              <w:t>International - Debt borrowings</w:t>
            </w: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1,798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70"/>
        </w:trPr>
        <w:tc>
          <w:tcPr>
            <w:tcW w:w="6860" w:type="dxa"/>
            <w:vAlign w:val="bottom"/>
          </w:tcPr>
          <w:p>
            <w:pPr>
              <w:ind w:left="20"/>
              <w:spacing w:after="0"/>
              <w:rPr>
                <w:sz w:val="20"/>
                <w:szCs w:val="20"/>
                <w:color w:val="auto"/>
              </w:rPr>
            </w:pPr>
            <w:r>
              <w:rPr>
                <w:rFonts w:ascii="Arial" w:cs="Arial" w:eastAsia="Arial" w:hAnsi="Arial"/>
                <w:sz w:val="18"/>
                <w:szCs w:val="18"/>
                <w:color w:val="auto"/>
              </w:rPr>
              <w:t>International - Capital leases</w:t>
            </w: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0"/>
        </w:trPr>
        <w:tc>
          <w:tcPr>
            <w:tcW w:w="6860" w:type="dxa"/>
            <w:vAlign w:val="bottom"/>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4"/>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1"/>
                <w:szCs w:val="21"/>
                <w:color w:val="auto"/>
                <w:vertAlign w:val="superscript"/>
              </w:rPr>
              <w:t>(b)</w:t>
            </w:r>
          </w:p>
        </w:tc>
        <w:tc>
          <w:tcPr>
            <w:tcW w:w="2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0"/>
        </w:trPr>
        <w:tc>
          <w:tcPr>
            <w:tcW w:w="686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10,382</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9,221</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The increase reflects additional borrowings principally to fund increases in the Company’s car rental fleet.</w:t>
      </w:r>
    </w:p>
    <w:p>
      <w:pPr>
        <w:ind w:left="820" w:right="460" w:hanging="326"/>
        <w:spacing w:after="0" w:line="218" w:lineRule="auto"/>
        <w:tabs>
          <w:tab w:leader="none" w:pos="82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Deferred financing fees related to Debt due to Avis Budget Rental Car Funding as of March 31, 2018 and December 31, 2017 were $33 million and $36 million, respectively.</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Maturities</w:t>
      </w:r>
    </w:p>
    <w:p>
      <w:pPr>
        <w:spacing w:after="0" w:line="247"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The following table provides the contractual maturities of the Company’s debt under vehicle programs, including related party debt due to Avis Budget Rental Car Funding, at March 31, 2018.</w:t>
      </w:r>
    </w:p>
    <w:p>
      <w:pPr>
        <w:spacing w:after="0" w:line="116"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8640" w:type="dxa"/>
            <w:vAlign w:val="bottom"/>
          </w:tcPr>
          <w:p>
            <w:pPr>
              <w:spacing w:after="0"/>
              <w:rPr>
                <w:sz w:val="17"/>
                <w:szCs w:val="17"/>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Debt under Vehicle</w:t>
            </w:r>
          </w:p>
        </w:tc>
      </w:tr>
      <w:tr>
        <w:trPr>
          <w:trHeight w:val="246"/>
        </w:trPr>
        <w:tc>
          <w:tcPr>
            <w:tcW w:w="86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Programs</w:t>
            </w:r>
          </w:p>
        </w:tc>
      </w:tr>
      <w:tr>
        <w:trPr>
          <w:trHeight w:val="243"/>
        </w:trPr>
        <w:tc>
          <w:tcPr>
            <w:tcW w:w="8640" w:type="dxa"/>
            <w:vAlign w:val="bottom"/>
          </w:tcPr>
          <w:p>
            <w:pPr>
              <w:spacing w:after="0"/>
              <w:rPr>
                <w:sz w:val="20"/>
                <w:szCs w:val="20"/>
                <w:color w:val="auto"/>
              </w:rPr>
            </w:pPr>
            <w:r>
              <w:rPr>
                <w:rFonts w:ascii="Arial" w:cs="Arial" w:eastAsia="Arial" w:hAnsi="Arial"/>
                <w:sz w:val="18"/>
                <w:szCs w:val="18"/>
                <w:color w:val="auto"/>
              </w:rPr>
              <w:t>Within 1 year</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1,903</w:t>
            </w:r>
          </w:p>
        </w:tc>
      </w:tr>
      <w:tr>
        <w:trPr>
          <w:trHeight w:val="257"/>
        </w:trPr>
        <w:tc>
          <w:tcPr>
            <w:tcW w:w="8640" w:type="dxa"/>
            <w:vAlign w:val="bottom"/>
          </w:tcPr>
          <w:p>
            <w:pPr>
              <w:spacing w:after="0"/>
              <w:rPr>
                <w:sz w:val="20"/>
                <w:szCs w:val="20"/>
                <w:color w:val="auto"/>
              </w:rPr>
            </w:pPr>
            <w:r>
              <w:rPr>
                <w:rFonts w:ascii="Arial" w:cs="Arial" w:eastAsia="Arial" w:hAnsi="Arial"/>
                <w:sz w:val="18"/>
                <w:szCs w:val="18"/>
                <w:color w:val="auto"/>
              </w:rPr>
              <w:t>Between 1 and 2 years</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5,046</w:t>
            </w:r>
          </w:p>
        </w:tc>
      </w:tr>
      <w:tr>
        <w:trPr>
          <w:trHeight w:val="257"/>
        </w:trPr>
        <w:tc>
          <w:tcPr>
            <w:tcW w:w="8640" w:type="dxa"/>
            <w:vAlign w:val="bottom"/>
          </w:tcPr>
          <w:p>
            <w:pPr>
              <w:spacing w:after="0"/>
              <w:rPr>
                <w:sz w:val="20"/>
                <w:szCs w:val="20"/>
                <w:color w:val="auto"/>
              </w:rPr>
            </w:pPr>
            <w:r>
              <w:rPr>
                <w:rFonts w:ascii="Arial" w:cs="Arial" w:eastAsia="Arial" w:hAnsi="Arial"/>
                <w:sz w:val="18"/>
                <w:szCs w:val="18"/>
                <w:color w:val="auto"/>
              </w:rPr>
              <w:t>Between 2 and 3 years</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1,415</w:t>
            </w:r>
          </w:p>
        </w:tc>
      </w:tr>
      <w:tr>
        <w:trPr>
          <w:trHeight w:val="257"/>
        </w:trPr>
        <w:tc>
          <w:tcPr>
            <w:tcW w:w="8640" w:type="dxa"/>
            <w:vAlign w:val="bottom"/>
          </w:tcPr>
          <w:p>
            <w:pPr>
              <w:spacing w:after="0"/>
              <w:rPr>
                <w:sz w:val="20"/>
                <w:szCs w:val="20"/>
                <w:color w:val="auto"/>
              </w:rPr>
            </w:pPr>
            <w:r>
              <w:rPr>
                <w:rFonts w:ascii="Arial" w:cs="Arial" w:eastAsia="Arial" w:hAnsi="Arial"/>
                <w:sz w:val="18"/>
                <w:szCs w:val="18"/>
                <w:color w:val="auto"/>
              </w:rPr>
              <w:t>Between 3 and 4 years</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783</w:t>
            </w:r>
          </w:p>
        </w:tc>
      </w:tr>
      <w:tr>
        <w:trPr>
          <w:trHeight w:val="257"/>
        </w:trPr>
        <w:tc>
          <w:tcPr>
            <w:tcW w:w="8640" w:type="dxa"/>
            <w:vAlign w:val="bottom"/>
          </w:tcPr>
          <w:p>
            <w:pPr>
              <w:spacing w:after="0"/>
              <w:rPr>
                <w:sz w:val="20"/>
                <w:szCs w:val="20"/>
                <w:color w:val="auto"/>
              </w:rPr>
            </w:pPr>
            <w:r>
              <w:rPr>
                <w:rFonts w:ascii="Arial" w:cs="Arial" w:eastAsia="Arial" w:hAnsi="Arial"/>
                <w:sz w:val="18"/>
                <w:szCs w:val="18"/>
                <w:color w:val="auto"/>
              </w:rPr>
              <w:t>Between 4 and 5 years</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1,160</w:t>
            </w:r>
          </w:p>
        </w:tc>
      </w:tr>
      <w:tr>
        <w:trPr>
          <w:trHeight w:val="264"/>
        </w:trPr>
        <w:tc>
          <w:tcPr>
            <w:tcW w:w="8640" w:type="dxa"/>
            <w:vAlign w:val="bottom"/>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57"/>
        </w:trPr>
        <w:tc>
          <w:tcPr>
            <w:tcW w:w="864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10,421</w:t>
            </w:r>
          </w:p>
        </w:tc>
      </w:tr>
      <w:tr>
        <w:trPr>
          <w:trHeight w:val="20"/>
        </w:trPr>
        <w:tc>
          <w:tcPr>
            <w:tcW w:w="8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47" w:lineRule="exact"/>
        <w:rPr>
          <w:sz w:val="20"/>
          <w:szCs w:val="20"/>
          <w:color w:val="auto"/>
        </w:rPr>
      </w:pPr>
    </w:p>
    <w:p>
      <w:pPr>
        <w:ind w:left="500" w:right="160"/>
        <w:spacing w:after="0" w:line="262" w:lineRule="auto"/>
        <w:rPr>
          <w:sz w:val="20"/>
          <w:szCs w:val="20"/>
          <w:color w:val="auto"/>
        </w:rPr>
      </w:pPr>
      <w:r>
        <w:rPr>
          <w:rFonts w:ascii="Arial" w:cs="Arial" w:eastAsia="Arial" w:hAnsi="Arial"/>
          <w:sz w:val="18"/>
          <w:szCs w:val="18"/>
          <w:color w:val="auto"/>
        </w:rPr>
        <w:t>As of March 31, 2018, available funding under the Company’s vehicle programs, including related party debt due to Avis Budget Rental Car Funding, consisted of:</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5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Total</w:t>
            </w:r>
          </w:p>
        </w:tc>
        <w:tc>
          <w:tcPr>
            <w:tcW w:w="18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Outstanding</w:t>
            </w:r>
          </w:p>
        </w:tc>
        <w:tc>
          <w:tcPr>
            <w:tcW w:w="260" w:type="dxa"/>
            <w:vAlign w:val="bottom"/>
          </w:tcPr>
          <w:p>
            <w:pPr>
              <w:spacing w:after="0"/>
              <w:rPr>
                <w:sz w:val="18"/>
                <w:szCs w:val="18"/>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rPr>
              <w:t>Available</w:t>
            </w:r>
          </w:p>
        </w:tc>
        <w:tc>
          <w:tcPr>
            <w:tcW w:w="0" w:type="dxa"/>
            <w:vAlign w:val="bottom"/>
          </w:tcPr>
          <w:p>
            <w:pPr>
              <w:spacing w:after="0"/>
              <w:rPr>
                <w:sz w:val="1"/>
                <w:szCs w:val="1"/>
                <w:color w:val="auto"/>
              </w:rPr>
            </w:pPr>
          </w:p>
        </w:tc>
      </w:tr>
      <w:tr>
        <w:trPr>
          <w:trHeight w:val="252"/>
        </w:trPr>
        <w:tc>
          <w:tcPr>
            <w:tcW w:w="5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 xml:space="preserve">Capacity </w:t>
            </w:r>
            <w:r>
              <w:rPr>
                <w:rFonts w:ascii="Arial" w:cs="Arial" w:eastAsia="Arial" w:hAnsi="Arial"/>
                <w:sz w:val="18"/>
                <w:szCs w:val="18"/>
                <w:color w:val="auto"/>
                <w:w w:val="94"/>
                <w:vertAlign w:val="superscript"/>
              </w:rPr>
              <w:t>(a)</w:t>
            </w:r>
          </w:p>
        </w:tc>
        <w:tc>
          <w:tcPr>
            <w:tcW w:w="180" w:type="dxa"/>
            <w:vAlign w:val="bottom"/>
          </w:tcPr>
          <w:p>
            <w:pPr>
              <w:spacing w:after="0"/>
              <w:rPr>
                <w:sz w:val="21"/>
                <w:szCs w:val="21"/>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 xml:space="preserve">Borrowings </w:t>
            </w:r>
            <w:r>
              <w:rPr>
                <w:rFonts w:ascii="Arial" w:cs="Arial" w:eastAsia="Arial" w:hAnsi="Arial"/>
                <w:sz w:val="18"/>
                <w:szCs w:val="18"/>
                <w:color w:val="auto"/>
                <w:w w:val="95"/>
                <w:vertAlign w:val="superscript"/>
              </w:rPr>
              <w:t>(b)</w:t>
            </w:r>
          </w:p>
        </w:tc>
        <w:tc>
          <w:tcPr>
            <w:tcW w:w="260" w:type="dxa"/>
            <w:vAlign w:val="bottom"/>
          </w:tcPr>
          <w:p>
            <w:pPr>
              <w:spacing w:after="0"/>
              <w:rPr>
                <w:sz w:val="21"/>
                <w:szCs w:val="21"/>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Capacity</w:t>
            </w:r>
          </w:p>
        </w:tc>
        <w:tc>
          <w:tcPr>
            <w:tcW w:w="0" w:type="dxa"/>
            <w:vAlign w:val="bottom"/>
          </w:tcPr>
          <w:p>
            <w:pPr>
              <w:spacing w:after="0"/>
              <w:rPr>
                <w:sz w:val="1"/>
                <w:szCs w:val="1"/>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color w:val="auto"/>
              </w:rPr>
              <w:t>Americas - Debt due to Avis Budget Rental Car Funding</w:t>
            </w: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8,887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7,787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70"/>
        </w:trPr>
        <w:tc>
          <w:tcPr>
            <w:tcW w:w="5400" w:type="dxa"/>
            <w:vAlign w:val="bottom"/>
          </w:tcPr>
          <w:p>
            <w:pPr>
              <w:ind w:left="20"/>
              <w:spacing w:after="0"/>
              <w:rPr>
                <w:sz w:val="20"/>
                <w:szCs w:val="20"/>
                <w:color w:val="auto"/>
              </w:rPr>
            </w:pPr>
            <w:r>
              <w:rPr>
                <w:rFonts w:ascii="Arial" w:cs="Arial" w:eastAsia="Arial" w:hAnsi="Arial"/>
                <w:sz w:val="18"/>
                <w:szCs w:val="18"/>
                <w:color w:val="auto"/>
              </w:rPr>
              <w:t>Americas - Debt borrowings</w:t>
            </w:r>
          </w:p>
        </w:tc>
        <w:tc>
          <w:tcPr>
            <w:tcW w:w="2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0"/>
        </w:trPr>
        <w:tc>
          <w:tcPr>
            <w:tcW w:w="5400" w:type="dxa"/>
            <w:vAlign w:val="bottom"/>
          </w:tcPr>
          <w:p>
            <w:pPr>
              <w:ind w:left="20"/>
              <w:spacing w:after="0"/>
              <w:rPr>
                <w:sz w:val="20"/>
                <w:szCs w:val="20"/>
                <w:color w:val="auto"/>
              </w:rPr>
            </w:pPr>
            <w:r>
              <w:rPr>
                <w:rFonts w:ascii="Arial" w:cs="Arial" w:eastAsia="Arial" w:hAnsi="Arial"/>
                <w:sz w:val="18"/>
                <w:szCs w:val="18"/>
                <w:color w:val="auto"/>
              </w:rPr>
              <w:t>International - Debt borrowings</w:t>
            </w:r>
          </w:p>
        </w:tc>
        <w:tc>
          <w:tcPr>
            <w:tcW w:w="2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1,798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70"/>
        </w:trPr>
        <w:tc>
          <w:tcPr>
            <w:tcW w:w="5400" w:type="dxa"/>
            <w:vAlign w:val="bottom"/>
          </w:tcPr>
          <w:p>
            <w:pPr>
              <w:ind w:left="20"/>
              <w:spacing w:after="0"/>
              <w:rPr>
                <w:sz w:val="20"/>
                <w:szCs w:val="20"/>
                <w:color w:val="auto"/>
              </w:rPr>
            </w:pPr>
            <w:r>
              <w:rPr>
                <w:rFonts w:ascii="Arial" w:cs="Arial" w:eastAsia="Arial" w:hAnsi="Arial"/>
                <w:sz w:val="18"/>
                <w:szCs w:val="18"/>
                <w:color w:val="auto"/>
              </w:rPr>
              <w:t>International - Capital leases</w:t>
            </w:r>
          </w:p>
        </w:tc>
        <w:tc>
          <w:tcPr>
            <w:tcW w:w="2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7"/>
        </w:trPr>
        <w:tc>
          <w:tcPr>
            <w:tcW w:w="540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40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13,050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10,421</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Capacity is subject to maintaining sufficient assets to collateralize debt.</w:t>
      </w:r>
    </w:p>
    <w:p>
      <w:pPr>
        <w:ind w:left="820" w:right="540" w:hanging="326"/>
        <w:spacing w:after="0" w:line="218" w:lineRule="auto"/>
        <w:tabs>
          <w:tab w:leader="none" w:pos="82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vehicles and related assets of $9.2 billion for Americas - Debt due to Avis Budget Rental Car Funding; $1.0 billion for Americas - Debt borrowings; $2.3 billion for International - Debt borrowings; and $0.2 billion for International - Capital leases.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47"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The agreements under the Company’s vehicle-backed funding programs contain restrictive covenants, including restrictions on dividends paid to the Company by certain of its subsidiaries and restrictions on</w:t>
      </w:r>
    </w:p>
    <w:p>
      <w:pPr>
        <w:sectPr>
          <w:pgSz w:w="11900" w:h="16838" w:orient="portrait"/>
          <w:cols w:equalWidth="0" w:num="1">
            <w:col w:w="11380"/>
          </w:cols>
          <w:pgMar w:left="240" w:top="140" w:right="279" w:bottom="1440" w:gutter="0" w:footer="0" w:header="0"/>
        </w:sect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380"/>
          </w:cols>
          <w:pgMar w:left="240" w:top="140" w:right="27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100"/>
        <w:spacing w:after="0" w:line="256" w:lineRule="auto"/>
        <w:rPr>
          <w:sz w:val="20"/>
          <w:szCs w:val="20"/>
          <w:color w:val="auto"/>
        </w:rPr>
      </w:pPr>
      <w:r>
        <w:rPr>
          <w:rFonts w:ascii="Arial" w:cs="Arial" w:eastAsia="Arial" w:hAnsi="Arial"/>
          <w:sz w:val="18"/>
          <w:szCs w:val="18"/>
          <w:color w:val="auto"/>
        </w:rPr>
        <w:t>indebtedness, mergers, liens, liquidations, and sale and leaseback transactions and in some cases also require compliance with certain financial requirements. As of March 31, 2018, the Company is not aware of any instances of non-compliance with any of the financial covenants contained in the debt agreements under its vehicle-backed funding programs.</w:t>
      </w:r>
    </w:p>
    <w:p>
      <w:pPr>
        <w:spacing w:after="0" w:line="180" w:lineRule="exact"/>
        <w:rPr>
          <w:sz w:val="20"/>
          <w:szCs w:val="20"/>
          <w:color w:val="auto"/>
        </w:rPr>
      </w:pPr>
    </w:p>
    <w:p>
      <w:pPr>
        <w:ind w:left="500" w:right="8020" w:hanging="492"/>
        <w:spacing w:after="0" w:line="513" w:lineRule="auto"/>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spacing w:after="0" w:line="1" w:lineRule="exact"/>
        <w:rPr>
          <w:rFonts w:ascii="Arial" w:cs="Arial" w:eastAsia="Arial" w:hAnsi="Arial"/>
          <w:sz w:val="18"/>
          <w:szCs w:val="18"/>
          <w:b w:val="1"/>
          <w:bCs w:val="1"/>
          <w:color w:val="auto"/>
        </w:rPr>
      </w:pPr>
    </w:p>
    <w:p>
      <w:pPr>
        <w:ind w:left="500" w:right="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In 2006, the Company completed the spin-offs of its Realogy and Wyndham subsidiaries. The Company does not believe that the impact of any resolution of pre-existing contingent liabilities in connection with the spin-offs should result in a material liability to the Company in relation to its consolidated financial position or liquidity, as Realogy and Wyndham each have agreed to assume responsibility for these liabilities. The Company is also named in litigation that is primarily related to the businesses of its former subsidiaries, including Realogy and Wyndham. The Company is entitled to indemnification from such entities for any liability resulting from such litigation.</w:t>
      </w:r>
    </w:p>
    <w:p>
      <w:pPr>
        <w:spacing w:after="0" w:line="192" w:lineRule="exact"/>
        <w:rPr>
          <w:rFonts w:ascii="Arial" w:cs="Arial" w:eastAsia="Arial" w:hAnsi="Arial"/>
          <w:sz w:val="18"/>
          <w:szCs w:val="18"/>
          <w:b w:val="1"/>
          <w:bCs w:val="1"/>
          <w:color w:val="auto"/>
        </w:rPr>
      </w:pPr>
    </w:p>
    <w:p>
      <w:pPr>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In February 2017, following a state court trial in Georgia, a jury found the Company liable for damages in a case brought by a plaintiff who was injured in a vehicle accident allegedly caused by an employee of an independent contractor of the Company who was acting outside of the scope of employment. In March 2017, the Company was also found liable for damages in a companion case arising from the same incident. The Company considers the attribution of liability to the Company, and the amount of damages awarded, to be unsupported by the facts of these cases and intends to appeal the verdicts. The Company has recognized a liability for the expected loss related to these cases, net of recoverable insurance proceeds, of approximately $12 million.</w:t>
      </w:r>
    </w:p>
    <w:p>
      <w:pPr>
        <w:spacing w:after="0" w:line="208" w:lineRule="exact"/>
        <w:rPr>
          <w:rFonts w:ascii="Arial" w:cs="Arial" w:eastAsia="Arial" w:hAnsi="Arial"/>
          <w:sz w:val="18"/>
          <w:szCs w:val="18"/>
          <w:b w:val="1"/>
          <w:bCs w:val="1"/>
          <w:color w:val="auto"/>
        </w:rPr>
      </w:pPr>
    </w:p>
    <w:p>
      <w:pPr>
        <w:ind w:left="500" w:right="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Company is involved in claims, legal proceedings and governmental inquiries that are incidental to its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 Litigation is inherently unpredictable and, although the Company believes that its accruals are adequate and/or that it has valid defenses in these matters, unfavorable resolutions could occur. The Company estimates that the potential exposure resulting from adverse outcomes of legal proceedings in which it is reasonably possible that a loss may be incurred could, in the aggregate, be up to approximately $50 million in excess of amounts accrued as of March 31, 2018. The Company does not believe that the impact should result in a material liability to the Company in relation to its consolidated financial condition or results of operations.</w:t>
      </w:r>
    </w:p>
    <w:p>
      <w:pPr>
        <w:spacing w:after="0" w:line="184"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Commitments to Purchase Vehicles</w:t>
      </w:r>
    </w:p>
    <w:p>
      <w:pPr>
        <w:spacing w:after="0" w:line="247" w:lineRule="exact"/>
        <w:rPr>
          <w:rFonts w:ascii="Arial" w:cs="Arial" w:eastAsia="Arial" w:hAnsi="Arial"/>
          <w:sz w:val="18"/>
          <w:szCs w:val="18"/>
          <w:b w:val="1"/>
          <w:bCs w:val="1"/>
          <w:color w:val="auto"/>
        </w:rPr>
      </w:pPr>
    </w:p>
    <w:p>
      <w:pPr>
        <w:ind w:left="500" w:right="1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 maintains agreements with vehicle manufacturers under which the Company has agreed to purchase approximately $5.4 billion of vehicles from manufacturers over the next 12 months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spacing w:after="0" w:line="182"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Concentrations</w:t>
      </w:r>
    </w:p>
    <w:p>
      <w:pPr>
        <w:spacing w:after="0" w:line="247" w:lineRule="exact"/>
        <w:rPr>
          <w:rFonts w:ascii="Arial" w:cs="Arial" w:eastAsia="Arial" w:hAnsi="Arial"/>
          <w:sz w:val="18"/>
          <w:szCs w:val="18"/>
          <w:b w:val="1"/>
          <w:bCs w:val="1"/>
          <w:color w:val="auto"/>
        </w:rPr>
      </w:pPr>
    </w:p>
    <w:p>
      <w:pPr>
        <w:ind w:left="500" w:right="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Concentrations of credit risk at March 31, 2018 include (i) risks related to the Company’s repurchase and guaranteed depreciation agreements with domestic and foreign car manufacturers, primarily with respect to receivables for program cars that have been disposed but for which the Company has not yet received payment from the manufacturers and (ii) risks related to Realogy and Wyndham, including receivables of $23 million and $14 million, respectively, related to certain contingent, income tax and other corporate liabilities assumed by Realogy and Wyndham in connection with their disposition.</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140"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right="8760" w:hanging="492"/>
        <w:spacing w:after="0" w:line="544" w:lineRule="auto"/>
        <w:tabs>
          <w:tab w:leader="none" w:pos="50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Stockholder Rights Plan</w:t>
      </w:r>
    </w:p>
    <w:p>
      <w:pPr>
        <w:ind w:left="500" w:right="60"/>
        <w:spacing w:after="0" w:line="251" w:lineRule="auto"/>
        <w:rPr>
          <w:rFonts w:ascii="Arial" w:cs="Arial" w:eastAsia="Arial" w:hAnsi="Arial"/>
          <w:sz w:val="17"/>
          <w:szCs w:val="17"/>
          <w:b w:val="1"/>
          <w:bCs w:val="1"/>
          <w:color w:val="auto"/>
        </w:rPr>
      </w:pPr>
      <w:r>
        <w:rPr>
          <w:rFonts w:ascii="Arial" w:cs="Arial" w:eastAsia="Arial" w:hAnsi="Arial"/>
          <w:sz w:val="18"/>
          <w:szCs w:val="18"/>
          <w:color w:val="auto"/>
        </w:rPr>
        <w:t>In January 2018, the Company’s Board of Directors authorized the adoption of a short-term stockholder rights plan, with an expiration date in January 2019. Effective April 16, 2018, the Company terminated the rights plan. Pursuant to the rights plan, the Company declared a dividend of one preferred share purchase right for each outstanding share of common stock, payable to holders of record as of the close of business on January 26, 2018. Each right, which was exercisable only in the event any person or group were to acquire beneficial ownership of 15% or more of the Company’s outstanding common stock (with certain limited exceptions), would have entitled any holder other than the person or group whose ownership position had exceeded the ownership limit to purchase common stock having a value equal to twice the $100 exercise price of the right, or, at the election of the Board of Directors, to exchange each right for one share of common stock (subject to adjustment). On April 16, 2018, the Company also entered into a new cooperation agreement with SRS Investment Management LLC and certain of its affiliates.</w:t>
      </w:r>
    </w:p>
    <w:p>
      <w:pPr>
        <w:spacing w:after="0" w:line="190"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Share Repurchases</w:t>
      </w:r>
    </w:p>
    <w:p>
      <w:pPr>
        <w:spacing w:after="0" w:line="247" w:lineRule="exact"/>
        <w:rPr>
          <w:rFonts w:ascii="Arial" w:cs="Arial" w:eastAsia="Arial" w:hAnsi="Arial"/>
          <w:sz w:val="17"/>
          <w:szCs w:val="17"/>
          <w:b w:val="1"/>
          <w:bCs w:val="1"/>
          <w:color w:val="auto"/>
        </w:rPr>
      </w:pPr>
    </w:p>
    <w:p>
      <w:pPr>
        <w:ind w:left="500"/>
        <w:spacing w:after="0" w:line="250" w:lineRule="auto"/>
        <w:rPr>
          <w:rFonts w:ascii="Arial" w:cs="Arial" w:eastAsia="Arial" w:hAnsi="Arial"/>
          <w:sz w:val="17"/>
          <w:szCs w:val="17"/>
          <w:b w:val="1"/>
          <w:bCs w:val="1"/>
          <w:color w:val="auto"/>
        </w:rPr>
      </w:pPr>
      <w:r>
        <w:rPr>
          <w:rFonts w:ascii="Arial" w:cs="Arial" w:eastAsia="Arial" w:hAnsi="Arial"/>
          <w:sz w:val="18"/>
          <w:szCs w:val="18"/>
          <w:color w:val="auto"/>
        </w:rPr>
        <w:t>The Company’s Board of Directors has authorized the repurchase of up to $1.5 billion of its common stock under a plan originally approved in 2013 and subsequently expanded, most recently in 2016. During the three months ended March 31, 2018, the Company did not repurchase any shares of common stock under the program. During the three months ended March 31, 2017, the Company repurchased approximately 1.5 million shares of common stock at a cost of approximately $50 million under the program. As of</w:t>
      </w:r>
    </w:p>
    <w:p>
      <w:pPr>
        <w:spacing w:after="0" w:line="1"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color w:val="auto"/>
        </w:rPr>
        <w:t>March 31, 2018, approximately $100 million of authorization remains available to repurchase common stock under this plan.</w:t>
      </w:r>
    </w:p>
    <w:p>
      <w:pPr>
        <w:spacing w:after="0" w:line="203"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Total Comprehensive Income (Loss)</w:t>
      </w:r>
    </w:p>
    <w:p>
      <w:pPr>
        <w:spacing w:after="0" w:line="247" w:lineRule="exact"/>
        <w:rPr>
          <w:rFonts w:ascii="Arial" w:cs="Arial" w:eastAsia="Arial" w:hAnsi="Arial"/>
          <w:sz w:val="17"/>
          <w:szCs w:val="17"/>
          <w:b w:val="1"/>
          <w:bCs w:val="1"/>
          <w:color w:val="auto"/>
        </w:rPr>
      </w:pPr>
    </w:p>
    <w:p>
      <w:pPr>
        <w:ind w:left="500"/>
        <w:spacing w:after="0" w:line="262" w:lineRule="auto"/>
        <w:rPr>
          <w:rFonts w:ascii="Arial" w:cs="Arial" w:eastAsia="Arial" w:hAnsi="Arial"/>
          <w:sz w:val="17"/>
          <w:szCs w:val="17"/>
          <w:b w:val="1"/>
          <w:bCs w:val="1"/>
          <w:color w:val="auto"/>
        </w:rPr>
      </w:pPr>
      <w:r>
        <w:rPr>
          <w:rFonts w:ascii="Arial" w:cs="Arial" w:eastAsia="Arial" w:hAnsi="Arial"/>
          <w:sz w:val="18"/>
          <w:szCs w:val="18"/>
          <w:color w:val="auto"/>
        </w:rPr>
        <w:t>Comprehensive income consists of net income and other gains and losses affecting stockholders’ equity that, under GAAP, are excluded from net income.</w:t>
      </w:r>
    </w:p>
    <w:p>
      <w:pPr>
        <w:spacing w:after="0" w:line="196"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color w:val="auto"/>
        </w:rPr>
        <w:t>The components of other comprehensive income (loss) were as follows:</w:t>
      </w:r>
    </w:p>
    <w:p>
      <w:pPr>
        <w:spacing w:after="0" w:line="149" w:lineRule="exact"/>
        <w:rPr>
          <w:sz w:val="20"/>
          <w:szCs w:val="20"/>
          <w:color w:val="auto"/>
        </w:rPr>
      </w:pPr>
    </w:p>
    <w:p>
      <w:pPr>
        <w:ind w:left="842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0"/>
        </w:trPr>
        <w:tc>
          <w:tcPr>
            <w:tcW w:w="73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320" w:type="dxa"/>
            <w:vAlign w:val="bottom"/>
          </w:tcPr>
          <w:p>
            <w:pPr>
              <w:ind w:left="120"/>
              <w:spacing w:after="0"/>
              <w:rPr>
                <w:sz w:val="20"/>
                <w:szCs w:val="20"/>
                <w:color w:val="auto"/>
              </w:rPr>
            </w:pPr>
            <w:r>
              <w:rPr>
                <w:rFonts w:ascii="Arial" w:cs="Arial" w:eastAsia="Arial" w:hAnsi="Arial"/>
                <w:sz w:val="18"/>
                <w:szCs w:val="18"/>
                <w:color w:val="auto"/>
              </w:rPr>
              <w:t>Currency translation adjustments (net of tax of $5 and $3, respectively)</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7320" w:type="dxa"/>
            <w:vAlign w:val="bottom"/>
          </w:tcPr>
          <w:p>
            <w:pPr>
              <w:ind w:left="120"/>
              <w:spacing w:after="0"/>
              <w:rPr>
                <w:sz w:val="20"/>
                <w:szCs w:val="20"/>
                <w:color w:val="auto"/>
              </w:rPr>
            </w:pPr>
            <w:r>
              <w:rPr>
                <w:rFonts w:ascii="Arial" w:cs="Arial" w:eastAsia="Arial" w:hAnsi="Arial"/>
                <w:sz w:val="18"/>
                <w:szCs w:val="18"/>
                <w:color w:val="auto"/>
              </w:rPr>
              <w:t>Net unrealized gain (loss) on cash flow hedges (net of tax of $(2) and $0, respectively)</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7"/>
        </w:trPr>
        <w:tc>
          <w:tcPr>
            <w:tcW w:w="7320" w:type="dxa"/>
            <w:vAlign w:val="bottom"/>
          </w:tcPr>
          <w:p>
            <w:pPr>
              <w:ind w:left="120"/>
              <w:spacing w:after="0"/>
              <w:rPr>
                <w:sz w:val="20"/>
                <w:szCs w:val="20"/>
                <w:color w:val="auto"/>
              </w:rPr>
            </w:pPr>
            <w:r>
              <w:rPr>
                <w:rFonts w:ascii="Arial" w:cs="Arial" w:eastAsia="Arial" w:hAnsi="Arial"/>
                <w:sz w:val="18"/>
                <w:szCs w:val="18"/>
                <w:color w:val="auto"/>
              </w:rPr>
              <w:t>Minimum pension liability adjustment (net of tax of $(1) and $(1), respectively)</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0"/>
        </w:trPr>
        <w:tc>
          <w:tcPr>
            <w:tcW w:w="73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7"/>
        </w:trPr>
        <w:tc>
          <w:tcPr>
            <w:tcW w:w="73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Currency translation adjustments exclude income taxes related to indefinite investments in foreign subsidiaries (See Note 9 - Income Taxes).</w:t>
      </w: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140" w:right="31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income (loss) were as follows:</w:t>
      </w:r>
    </w:p>
    <w:p>
      <w:pPr>
        <w:spacing w:after="0" w:line="136"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center"/>
              <w:ind w:left="177"/>
              <w:spacing w:after="0"/>
              <w:rPr>
                <w:sz w:val="20"/>
                <w:szCs w:val="20"/>
                <w:color w:val="auto"/>
              </w:rPr>
            </w:pPr>
            <w:r>
              <w:rPr>
                <w:rFonts w:ascii="Arial" w:cs="Arial" w:eastAsia="Arial" w:hAnsi="Arial"/>
                <w:sz w:val="13"/>
                <w:szCs w:val="13"/>
                <w:b w:val="1"/>
                <w:bCs w:val="1"/>
                <w:color w:val="auto"/>
                <w:w w:val="95"/>
              </w:rPr>
              <w:t>Net Unrealized</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Minimum</w:t>
            </w:r>
          </w:p>
        </w:tc>
        <w:tc>
          <w:tcPr>
            <w:tcW w:w="160" w:type="dxa"/>
            <w:vAlign w:val="bottom"/>
          </w:tcPr>
          <w:p>
            <w:pPr>
              <w:spacing w:after="0"/>
              <w:rPr>
                <w:sz w:val="13"/>
                <w:szCs w:val="13"/>
                <w:color w:val="auto"/>
              </w:rPr>
            </w:pPr>
          </w:p>
        </w:tc>
        <w:tc>
          <w:tcPr>
            <w:tcW w:w="1260" w:type="dxa"/>
            <w:vAlign w:val="bottom"/>
          </w:tcPr>
          <w:p>
            <w:pPr>
              <w:jc w:val="center"/>
              <w:ind w:right="97"/>
              <w:spacing w:after="0"/>
              <w:rPr>
                <w:sz w:val="20"/>
                <w:szCs w:val="20"/>
                <w:color w:val="auto"/>
              </w:rPr>
            </w:pPr>
            <w:r>
              <w:rPr>
                <w:rFonts w:ascii="Arial" w:cs="Arial" w:eastAsia="Arial" w:hAnsi="Arial"/>
                <w:sz w:val="13"/>
                <w:szCs w:val="13"/>
                <w:b w:val="1"/>
                <w:bCs w:val="1"/>
                <w:color w:val="auto"/>
                <w:w w:val="95"/>
              </w:rPr>
              <w:t>Accumulated</w:t>
            </w: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120" w:type="dxa"/>
            <w:vAlign w:val="bottom"/>
          </w:tcPr>
          <w:p>
            <w:pPr>
              <w:jc w:val="center"/>
              <w:ind w:left="237"/>
              <w:spacing w:after="0" w:line="135" w:lineRule="exact"/>
              <w:rPr>
                <w:sz w:val="20"/>
                <w:szCs w:val="20"/>
                <w:color w:val="auto"/>
              </w:rPr>
            </w:pPr>
            <w:r>
              <w:rPr>
                <w:rFonts w:ascii="Arial" w:cs="Arial" w:eastAsia="Arial" w:hAnsi="Arial"/>
                <w:sz w:val="13"/>
                <w:szCs w:val="13"/>
                <w:b w:val="1"/>
                <w:bCs w:val="1"/>
                <w:color w:val="auto"/>
                <w:w w:val="94"/>
              </w:rPr>
              <w:t>Currency</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left="177"/>
              <w:spacing w:after="0" w:line="135" w:lineRule="exact"/>
              <w:rPr>
                <w:sz w:val="20"/>
                <w:szCs w:val="20"/>
                <w:color w:val="auto"/>
              </w:rPr>
            </w:pPr>
            <w:r>
              <w:rPr>
                <w:rFonts w:ascii="Arial" w:cs="Arial" w:eastAsia="Arial" w:hAnsi="Arial"/>
                <w:sz w:val="13"/>
                <w:szCs w:val="13"/>
                <w:b w:val="1"/>
                <w:bCs w:val="1"/>
                <w:color w:val="auto"/>
                <w:w w:val="96"/>
              </w:rPr>
              <w:t>Gains (Losses)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Net Unrealized Gains</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8"/>
              </w:rPr>
              <w:t>Pension</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120" w:type="dxa"/>
            <w:vAlign w:val="bottom"/>
          </w:tcPr>
          <w:p>
            <w:pPr>
              <w:jc w:val="center"/>
              <w:ind w:left="237"/>
              <w:spacing w:after="0" w:line="135" w:lineRule="exact"/>
              <w:rPr>
                <w:sz w:val="20"/>
                <w:szCs w:val="20"/>
                <w:color w:val="auto"/>
              </w:rPr>
            </w:pPr>
            <w:r>
              <w:rPr>
                <w:rFonts w:ascii="Arial" w:cs="Arial" w:eastAsia="Arial" w:hAnsi="Arial"/>
                <w:sz w:val="13"/>
                <w:szCs w:val="13"/>
                <w:b w:val="1"/>
                <w:bCs w:val="1"/>
                <w:color w:val="auto"/>
                <w:w w:val="94"/>
              </w:rPr>
              <w:t>Translation</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left="177"/>
              <w:spacing w:after="0" w:line="135" w:lineRule="exact"/>
              <w:rPr>
                <w:sz w:val="20"/>
                <w:szCs w:val="20"/>
                <w:color w:val="auto"/>
              </w:rPr>
            </w:pPr>
            <w:r>
              <w:rPr>
                <w:rFonts w:ascii="Arial" w:cs="Arial" w:eastAsia="Arial" w:hAnsi="Arial"/>
                <w:sz w:val="13"/>
                <w:szCs w:val="13"/>
                <w:b w:val="1"/>
                <w:bCs w:val="1"/>
                <w:color w:val="auto"/>
                <w:w w:val="96"/>
              </w:rPr>
              <w:t>on Cash Flow</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(Losses) on Available-</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3"/>
              </w:rPr>
              <w:t>Liability</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78"/>
        </w:trPr>
        <w:tc>
          <w:tcPr>
            <w:tcW w:w="2660" w:type="dxa"/>
            <w:vAlign w:val="bottom"/>
          </w:tcPr>
          <w:p>
            <w:pPr>
              <w:spacing w:after="0"/>
              <w:rPr>
                <w:sz w:val="15"/>
                <w:szCs w:val="15"/>
                <w:color w:val="auto"/>
              </w:rPr>
            </w:pPr>
          </w:p>
        </w:tc>
        <w:tc>
          <w:tcPr>
            <w:tcW w:w="1120" w:type="dxa"/>
            <w:vAlign w:val="bottom"/>
          </w:tcPr>
          <w:p>
            <w:pPr>
              <w:jc w:val="center"/>
              <w:ind w:left="237"/>
              <w:spacing w:after="0"/>
              <w:rPr>
                <w:sz w:val="20"/>
                <w:szCs w:val="20"/>
                <w:color w:val="auto"/>
              </w:rPr>
            </w:pPr>
            <w:r>
              <w:rPr>
                <w:rFonts w:ascii="Arial" w:cs="Arial" w:eastAsia="Arial" w:hAnsi="Arial"/>
                <w:sz w:val="13"/>
                <w:szCs w:val="13"/>
                <w:b w:val="1"/>
                <w:bCs w:val="1"/>
                <w:color w:val="auto"/>
                <w:w w:val="99"/>
              </w:rPr>
              <w:t>Adjustments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left="177"/>
              <w:spacing w:after="0"/>
              <w:rPr>
                <w:sz w:val="20"/>
                <w:szCs w:val="20"/>
                <w:color w:val="auto"/>
              </w:rPr>
            </w:pPr>
            <w:r>
              <w:rPr>
                <w:rFonts w:ascii="Arial" w:cs="Arial" w:eastAsia="Arial" w:hAnsi="Arial"/>
                <w:sz w:val="13"/>
                <w:szCs w:val="13"/>
                <w:b w:val="1"/>
                <w:bCs w:val="1"/>
                <w:color w:val="auto"/>
              </w:rPr>
              <w:t>Hedges</w:t>
            </w:r>
            <w:r>
              <w:rPr>
                <w:rFonts w:ascii="Arial" w:cs="Arial" w:eastAsia="Arial" w:hAnsi="Arial"/>
                <w:sz w:val="8"/>
                <w:szCs w:val="8"/>
                <w:b w:val="1"/>
                <w:bCs w:val="1"/>
                <w:color w:val="auto"/>
              </w:rPr>
              <w:t>(a)</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for Sale Securities</w:t>
            </w:r>
          </w:p>
        </w:tc>
        <w:tc>
          <w:tcPr>
            <w:tcW w:w="2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Adjustment</w:t>
            </w:r>
            <w:r>
              <w:rPr>
                <w:rFonts w:ascii="Arial" w:cs="Arial" w:eastAsia="Arial" w:hAnsi="Arial"/>
                <w:sz w:val="8"/>
                <w:szCs w:val="8"/>
                <w:b w:val="1"/>
                <w:bCs w:val="1"/>
                <w:color w:val="auto"/>
              </w:rPr>
              <w:t>(b)</w:t>
            </w:r>
          </w:p>
        </w:tc>
        <w:tc>
          <w:tcPr>
            <w:tcW w:w="160" w:type="dxa"/>
            <w:vAlign w:val="bottom"/>
          </w:tcPr>
          <w:p>
            <w:pPr>
              <w:spacing w:after="0"/>
              <w:rPr>
                <w:sz w:val="15"/>
                <w:szCs w:val="15"/>
                <w:color w:val="auto"/>
              </w:rPr>
            </w:pPr>
          </w:p>
        </w:tc>
        <w:tc>
          <w:tcPr>
            <w:tcW w:w="1260" w:type="dxa"/>
            <w:vAlign w:val="bottom"/>
          </w:tcPr>
          <w:p>
            <w:pPr>
              <w:jc w:val="center"/>
              <w:ind w:right="97"/>
              <w:spacing w:after="0"/>
              <w:rPr>
                <w:sz w:val="20"/>
                <w:szCs w:val="20"/>
                <w:color w:val="auto"/>
              </w:rPr>
            </w:pPr>
            <w:r>
              <w:rPr>
                <w:rFonts w:ascii="Arial" w:cs="Arial" w:eastAsia="Arial" w:hAnsi="Arial"/>
                <w:sz w:val="13"/>
                <w:szCs w:val="13"/>
                <w:b w:val="1"/>
                <w:bCs w:val="1"/>
                <w:color w:val="auto"/>
                <w:w w:val="97"/>
              </w:rPr>
              <w:t>Income (Loss)</w:t>
            </w:r>
          </w:p>
        </w:tc>
        <w:tc>
          <w:tcPr>
            <w:tcW w:w="0" w:type="dxa"/>
            <w:vAlign w:val="bottom"/>
          </w:tcPr>
          <w:p>
            <w:pPr>
              <w:spacing w:after="0"/>
              <w:rPr>
                <w:sz w:val="1"/>
                <w:szCs w:val="1"/>
                <w:color w:val="auto"/>
              </w:rPr>
            </w:pPr>
          </w:p>
        </w:tc>
      </w:tr>
      <w:tr>
        <w:trPr>
          <w:trHeight w:val="241"/>
        </w:trPr>
        <w:tc>
          <w:tcPr>
            <w:tcW w:w="2660" w:type="dxa"/>
            <w:vAlign w:val="bottom"/>
          </w:tcPr>
          <w:p>
            <w:pPr>
              <w:ind w:left="20"/>
              <w:spacing w:after="0"/>
              <w:rPr>
                <w:sz w:val="20"/>
                <w:szCs w:val="20"/>
                <w:color w:val="auto"/>
              </w:rPr>
            </w:pPr>
            <w:r>
              <w:rPr>
                <w:rFonts w:ascii="Arial" w:cs="Arial" w:eastAsia="Arial" w:hAnsi="Arial"/>
                <w:sz w:val="13"/>
                <w:szCs w:val="13"/>
                <w:color w:val="auto"/>
              </w:rPr>
              <w:t>Balance, December 31, 2017</w:t>
            </w:r>
          </w:p>
        </w:tc>
        <w:tc>
          <w:tcPr>
            <w:tcW w:w="1120" w:type="dxa"/>
            <w:vAlign w:val="bottom"/>
            <w:tcBorders>
              <w:top w:val="single" w:sz="8" w:color="auto"/>
            </w:tcBorders>
          </w:tcPr>
          <w:p>
            <w:pPr>
              <w:jc w:val="right"/>
              <w:ind w:right="957"/>
              <w:spacing w:after="0"/>
              <w:rPr>
                <w:sz w:val="20"/>
                <w:szCs w:val="20"/>
                <w:color w:val="auto"/>
              </w:rPr>
            </w:pPr>
            <w:r>
              <w:rPr>
                <w:rFonts w:ascii="Arial" w:cs="Arial" w:eastAsia="Arial" w:hAnsi="Arial"/>
                <w:sz w:val="13"/>
                <w:szCs w:val="13"/>
                <w:color w:val="auto"/>
              </w:rPr>
              <w:t>$</w:t>
            </w:r>
          </w:p>
        </w:tc>
        <w:tc>
          <w:tcPr>
            <w:tcW w:w="3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ind w:right="1017"/>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280"/>
        </w:trPr>
        <w:tc>
          <w:tcPr>
            <w:tcW w:w="2660" w:type="dxa"/>
            <w:vAlign w:val="bottom"/>
          </w:tcPr>
          <w:p>
            <w:pPr>
              <w:ind w:left="120"/>
              <w:spacing w:after="0"/>
              <w:rPr>
                <w:sz w:val="20"/>
                <w:szCs w:val="20"/>
                <w:color w:val="auto"/>
              </w:rPr>
            </w:pPr>
            <w:r>
              <w:rPr>
                <w:rFonts w:ascii="Arial" w:cs="Arial" w:eastAsia="Arial" w:hAnsi="Arial"/>
                <w:sz w:val="13"/>
                <w:szCs w:val="13"/>
                <w:color w:val="auto"/>
              </w:rPr>
              <w:t xml:space="preserve">Cumulative effect of accounting change </w:t>
            </w:r>
            <w:r>
              <w:rPr>
                <w:rFonts w:ascii="Arial" w:cs="Arial" w:eastAsia="Arial" w:hAnsi="Arial"/>
                <w:sz w:val="8"/>
                <w:szCs w:val="8"/>
                <w:color w:val="auto"/>
              </w:rPr>
              <w:t>(c)</w:t>
            </w: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50"/>
        </w:trPr>
        <w:tc>
          <w:tcPr>
            <w:tcW w:w="2660" w:type="dxa"/>
            <w:vAlign w:val="bottom"/>
          </w:tcPr>
          <w:p>
            <w:pPr>
              <w:ind w:left="20"/>
              <w:spacing w:after="0"/>
              <w:rPr>
                <w:sz w:val="20"/>
                <w:szCs w:val="20"/>
                <w:color w:val="auto"/>
              </w:rPr>
            </w:pPr>
            <w:r>
              <w:rPr>
                <w:rFonts w:ascii="Arial" w:cs="Arial" w:eastAsia="Arial" w:hAnsi="Arial"/>
                <w:sz w:val="13"/>
                <w:szCs w:val="13"/>
                <w:color w:val="auto"/>
              </w:rPr>
              <w:t>Balance, January 1, 2018</w:t>
            </w:r>
          </w:p>
        </w:tc>
        <w:tc>
          <w:tcPr>
            <w:tcW w:w="1120" w:type="dxa"/>
            <w:vAlign w:val="bottom"/>
          </w:tcPr>
          <w:p>
            <w:pPr>
              <w:jc w:val="right"/>
              <w:ind w:right="95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21"/>
                <w:szCs w:val="21"/>
                <w:color w:val="auto"/>
              </w:rPr>
            </w:pPr>
          </w:p>
        </w:tc>
        <w:tc>
          <w:tcPr>
            <w:tcW w:w="1180" w:type="dxa"/>
            <w:vAlign w:val="bottom"/>
          </w:tcPr>
          <w:p>
            <w:pPr>
              <w:jc w:val="right"/>
              <w:ind w:right="1017"/>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(114)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43"/>
        </w:trPr>
        <w:tc>
          <w:tcPr>
            <w:tcW w:w="2660" w:type="dxa"/>
            <w:vAlign w:val="bottom"/>
          </w:tcPr>
          <w:p>
            <w:pPr>
              <w:ind w:left="120"/>
              <w:spacing w:after="0" w:line="143" w:lineRule="exact"/>
              <w:rPr>
                <w:sz w:val="20"/>
                <w:szCs w:val="20"/>
                <w:color w:val="auto"/>
              </w:rPr>
            </w:pPr>
            <w:r>
              <w:rPr>
                <w:rFonts w:ascii="Arial" w:cs="Arial" w:eastAsia="Arial" w:hAnsi="Arial"/>
                <w:sz w:val="13"/>
                <w:szCs w:val="13"/>
                <w:color w:val="auto"/>
              </w:rPr>
              <w:t>Other comprehensive income (loss) before</w:t>
            </w:r>
          </w:p>
        </w:tc>
        <w:tc>
          <w:tcPr>
            <w:tcW w:w="1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60" w:type="dxa"/>
            <w:vAlign w:val="bottom"/>
          </w:tcPr>
          <w:p>
            <w:pPr>
              <w:ind w:left="300"/>
              <w:spacing w:after="0"/>
              <w:rPr>
                <w:sz w:val="20"/>
                <w:szCs w:val="20"/>
                <w:color w:val="auto"/>
              </w:rPr>
            </w:pPr>
            <w:r>
              <w:rPr>
                <w:rFonts w:ascii="Arial" w:cs="Arial" w:eastAsia="Arial" w:hAnsi="Arial"/>
                <w:sz w:val="13"/>
                <w:szCs w:val="13"/>
                <w:color w:val="auto"/>
              </w:rPr>
              <w:t>reclassifications</w:t>
            </w:r>
          </w:p>
        </w:tc>
        <w:tc>
          <w:tcPr>
            <w:tcW w:w="1120" w:type="dxa"/>
            <w:vAlign w:val="bottom"/>
          </w:tcPr>
          <w:p>
            <w:pPr>
              <w:spacing w:after="0"/>
              <w:rPr>
                <w:sz w:val="13"/>
                <w:szCs w:val="13"/>
                <w:color w:val="auto"/>
              </w:rPr>
            </w:pP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72"/>
        </w:trPr>
        <w:tc>
          <w:tcPr>
            <w:tcW w:w="2660" w:type="dxa"/>
            <w:vAlign w:val="bottom"/>
          </w:tcPr>
          <w:p>
            <w:pPr>
              <w:ind w:left="120"/>
              <w:spacing w:after="0"/>
              <w:rPr>
                <w:sz w:val="20"/>
                <w:szCs w:val="20"/>
                <w:color w:val="auto"/>
              </w:rPr>
            </w:pPr>
            <w:r>
              <w:rPr>
                <w:rFonts w:ascii="Arial" w:cs="Arial" w:eastAsia="Arial" w:hAnsi="Arial"/>
                <w:sz w:val="13"/>
                <w:szCs w:val="13"/>
                <w:color w:val="auto"/>
              </w:rPr>
              <w:t>Amounts reclassified from accumulated</w:t>
            </w: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300"/>
              <w:spacing w:after="0"/>
              <w:rPr>
                <w:sz w:val="20"/>
                <w:szCs w:val="20"/>
                <w:color w:val="auto"/>
              </w:rPr>
            </w:pPr>
            <w:r>
              <w:rPr>
                <w:rFonts w:ascii="Arial" w:cs="Arial" w:eastAsia="Arial" w:hAnsi="Arial"/>
                <w:sz w:val="13"/>
                <w:szCs w:val="13"/>
                <w:color w:val="auto"/>
              </w:rPr>
              <w:t>other comprehensive income (loss)</w:t>
            </w:r>
          </w:p>
        </w:tc>
        <w:tc>
          <w:tcPr>
            <w:tcW w:w="1120" w:type="dxa"/>
            <w:vAlign w:val="bottom"/>
          </w:tcPr>
          <w:p>
            <w:pPr>
              <w:spacing w:after="0"/>
              <w:rPr>
                <w:sz w:val="14"/>
                <w:szCs w:val="1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80" w:type="dxa"/>
            <w:vAlign w:val="bottom"/>
          </w:tcPr>
          <w:p>
            <w:pPr>
              <w:spacing w:after="0"/>
              <w:rPr>
                <w:sz w:val="14"/>
                <w:szCs w:val="1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3"/>
        </w:trPr>
        <w:tc>
          <w:tcPr>
            <w:tcW w:w="2660" w:type="dxa"/>
            <w:vAlign w:val="bottom"/>
          </w:tcPr>
          <w:p>
            <w:pPr>
              <w:ind w:left="20"/>
              <w:spacing w:after="0" w:line="143" w:lineRule="exact"/>
              <w:rPr>
                <w:sz w:val="20"/>
                <w:szCs w:val="20"/>
                <w:color w:val="auto"/>
              </w:rPr>
            </w:pPr>
            <w:r>
              <w:rPr>
                <w:rFonts w:ascii="Arial" w:cs="Arial" w:eastAsia="Arial" w:hAnsi="Arial"/>
                <w:sz w:val="13"/>
                <w:szCs w:val="13"/>
                <w:color w:val="auto"/>
              </w:rPr>
              <w:t>Net current-period other comprehensive</w:t>
            </w:r>
          </w:p>
        </w:tc>
        <w:tc>
          <w:tcPr>
            <w:tcW w:w="1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180"/>
              <w:spacing w:after="0"/>
              <w:rPr>
                <w:sz w:val="20"/>
                <w:szCs w:val="20"/>
                <w:color w:val="auto"/>
              </w:rPr>
            </w:pPr>
            <w:r>
              <w:rPr>
                <w:rFonts w:ascii="Arial" w:cs="Arial" w:eastAsia="Arial" w:hAnsi="Arial"/>
                <w:sz w:val="13"/>
                <w:szCs w:val="13"/>
                <w:color w:val="auto"/>
              </w:rPr>
              <w:t>income (loss)</w:t>
            </w:r>
          </w:p>
        </w:tc>
        <w:tc>
          <w:tcPr>
            <w:tcW w:w="1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42"/>
        </w:trPr>
        <w:tc>
          <w:tcPr>
            <w:tcW w:w="2660" w:type="dxa"/>
            <w:vAlign w:val="bottom"/>
          </w:tcPr>
          <w:p>
            <w:pPr>
              <w:ind w:left="20"/>
              <w:spacing w:after="0"/>
              <w:rPr>
                <w:sz w:val="20"/>
                <w:szCs w:val="20"/>
                <w:color w:val="auto"/>
              </w:rPr>
            </w:pPr>
            <w:r>
              <w:rPr>
                <w:rFonts w:ascii="Arial" w:cs="Arial" w:eastAsia="Arial" w:hAnsi="Arial"/>
                <w:sz w:val="13"/>
                <w:szCs w:val="13"/>
                <w:color w:val="auto"/>
              </w:rPr>
              <w:t>Balance, March 31, 2018</w:t>
            </w:r>
          </w:p>
        </w:tc>
        <w:tc>
          <w:tcPr>
            <w:tcW w:w="1120" w:type="dxa"/>
            <w:vAlign w:val="bottom"/>
          </w:tcPr>
          <w:p>
            <w:pPr>
              <w:jc w:val="right"/>
              <w:ind w:right="957"/>
              <w:spacing w:after="0"/>
              <w:rPr>
                <w:sz w:val="20"/>
                <w:szCs w:val="20"/>
                <w:color w:val="auto"/>
              </w:rPr>
            </w:pPr>
            <w:r>
              <w:rPr>
                <w:rFonts w:ascii="Arial" w:cs="Arial" w:eastAsia="Arial" w:hAnsi="Arial"/>
                <w:sz w:val="13"/>
                <w:szCs w:val="13"/>
                <w:color w:val="auto"/>
              </w:rPr>
              <w:t>$</w:t>
            </w: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79</w:t>
            </w:r>
          </w:p>
        </w:tc>
        <w:tc>
          <w:tcPr>
            <w:tcW w:w="120" w:type="dxa"/>
            <w:vAlign w:val="bottom"/>
          </w:tcPr>
          <w:p>
            <w:pPr>
              <w:spacing w:after="0"/>
              <w:rPr>
                <w:sz w:val="21"/>
                <w:szCs w:val="21"/>
                <w:color w:val="auto"/>
              </w:rPr>
            </w:pPr>
          </w:p>
        </w:tc>
        <w:tc>
          <w:tcPr>
            <w:tcW w:w="1180" w:type="dxa"/>
            <w:vAlign w:val="bottom"/>
          </w:tcPr>
          <w:p>
            <w:pPr>
              <w:jc w:val="right"/>
              <w:ind w:right="1017"/>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w w:val="96"/>
              </w:rPr>
              <w:t>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(113)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2660" w:type="dxa"/>
            <w:vAlign w:val="bottom"/>
          </w:tcPr>
          <w:p>
            <w:pPr>
              <w:ind w:left="20"/>
              <w:spacing w:after="0"/>
              <w:rPr>
                <w:sz w:val="20"/>
                <w:szCs w:val="20"/>
                <w:color w:val="auto"/>
              </w:rPr>
            </w:pPr>
            <w:r>
              <w:rPr>
                <w:rFonts w:ascii="Arial" w:cs="Arial" w:eastAsia="Arial" w:hAnsi="Arial"/>
                <w:sz w:val="13"/>
                <w:szCs w:val="13"/>
                <w:color w:val="auto"/>
              </w:rPr>
              <w:t>Balance, January 1, 2017</w:t>
            </w:r>
          </w:p>
        </w:tc>
        <w:tc>
          <w:tcPr>
            <w:tcW w:w="1120" w:type="dxa"/>
            <w:vAlign w:val="bottom"/>
            <w:tcBorders>
              <w:bottom w:val="single" w:sz="8" w:color="auto"/>
            </w:tcBorders>
          </w:tcPr>
          <w:p>
            <w:pPr>
              <w:jc w:val="right"/>
              <w:ind w:right="957"/>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24"/>
                <w:szCs w:val="24"/>
                <w:color w:val="auto"/>
              </w:rPr>
            </w:pPr>
          </w:p>
        </w:tc>
        <w:tc>
          <w:tcPr>
            <w:tcW w:w="1180" w:type="dxa"/>
            <w:vAlign w:val="bottom"/>
            <w:tcBorders>
              <w:bottom w:val="single" w:sz="8" w:color="auto"/>
            </w:tcBorders>
          </w:tcPr>
          <w:p>
            <w:pPr>
              <w:jc w:val="right"/>
              <w:ind w:right="101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43"/>
        </w:trPr>
        <w:tc>
          <w:tcPr>
            <w:tcW w:w="2660" w:type="dxa"/>
            <w:vAlign w:val="bottom"/>
          </w:tcPr>
          <w:p>
            <w:pPr>
              <w:ind w:left="120"/>
              <w:spacing w:after="0" w:line="143" w:lineRule="exact"/>
              <w:rPr>
                <w:sz w:val="20"/>
                <w:szCs w:val="20"/>
                <w:color w:val="auto"/>
              </w:rPr>
            </w:pPr>
            <w:r>
              <w:rPr>
                <w:rFonts w:ascii="Arial" w:cs="Arial" w:eastAsia="Arial" w:hAnsi="Arial"/>
                <w:sz w:val="13"/>
                <w:szCs w:val="13"/>
                <w:color w:val="auto"/>
              </w:rPr>
              <w:t>Other comprehensive income (loss) before</w:t>
            </w: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60" w:type="dxa"/>
            <w:vAlign w:val="bottom"/>
          </w:tcPr>
          <w:p>
            <w:pPr>
              <w:ind w:left="300"/>
              <w:spacing w:after="0"/>
              <w:rPr>
                <w:sz w:val="20"/>
                <w:szCs w:val="20"/>
                <w:color w:val="auto"/>
              </w:rPr>
            </w:pPr>
            <w:r>
              <w:rPr>
                <w:rFonts w:ascii="Arial" w:cs="Arial" w:eastAsia="Arial" w:hAnsi="Arial"/>
                <w:sz w:val="13"/>
                <w:szCs w:val="13"/>
                <w:color w:val="auto"/>
              </w:rPr>
              <w:t>reclassifications</w:t>
            </w:r>
          </w:p>
        </w:tc>
        <w:tc>
          <w:tcPr>
            <w:tcW w:w="1120" w:type="dxa"/>
            <w:vAlign w:val="bottom"/>
          </w:tcPr>
          <w:p>
            <w:pPr>
              <w:spacing w:after="0"/>
              <w:rPr>
                <w:sz w:val="13"/>
                <w:szCs w:val="13"/>
                <w:color w:val="auto"/>
              </w:rPr>
            </w:pP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72"/>
        </w:trPr>
        <w:tc>
          <w:tcPr>
            <w:tcW w:w="2660" w:type="dxa"/>
            <w:vAlign w:val="bottom"/>
          </w:tcPr>
          <w:p>
            <w:pPr>
              <w:ind w:left="120"/>
              <w:spacing w:after="0"/>
              <w:rPr>
                <w:sz w:val="20"/>
                <w:szCs w:val="20"/>
                <w:color w:val="auto"/>
              </w:rPr>
            </w:pPr>
            <w:r>
              <w:rPr>
                <w:rFonts w:ascii="Arial" w:cs="Arial" w:eastAsia="Arial" w:hAnsi="Arial"/>
                <w:sz w:val="13"/>
                <w:szCs w:val="13"/>
                <w:color w:val="auto"/>
              </w:rPr>
              <w:t>Amounts reclassified from accumulated</w:t>
            </w: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300"/>
              <w:spacing w:after="0"/>
              <w:rPr>
                <w:sz w:val="20"/>
                <w:szCs w:val="20"/>
                <w:color w:val="auto"/>
              </w:rPr>
            </w:pPr>
            <w:r>
              <w:rPr>
                <w:rFonts w:ascii="Arial" w:cs="Arial" w:eastAsia="Arial" w:hAnsi="Arial"/>
                <w:sz w:val="13"/>
                <w:szCs w:val="13"/>
                <w:color w:val="auto"/>
              </w:rPr>
              <w:t>other comprehensive income (loss)</w:t>
            </w:r>
          </w:p>
        </w:tc>
        <w:tc>
          <w:tcPr>
            <w:tcW w:w="1120" w:type="dxa"/>
            <w:vAlign w:val="bottom"/>
          </w:tcPr>
          <w:p>
            <w:pPr>
              <w:spacing w:after="0"/>
              <w:rPr>
                <w:sz w:val="14"/>
                <w:szCs w:val="14"/>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80" w:type="dxa"/>
            <w:vAlign w:val="bottom"/>
          </w:tcPr>
          <w:p>
            <w:pPr>
              <w:spacing w:after="0"/>
              <w:rPr>
                <w:sz w:val="14"/>
                <w:szCs w:val="14"/>
                <w:color w:val="auto"/>
              </w:rPr>
            </w:pP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3"/>
        </w:trPr>
        <w:tc>
          <w:tcPr>
            <w:tcW w:w="2660" w:type="dxa"/>
            <w:vAlign w:val="bottom"/>
          </w:tcPr>
          <w:p>
            <w:pPr>
              <w:ind w:left="20"/>
              <w:spacing w:after="0" w:line="143" w:lineRule="exact"/>
              <w:rPr>
                <w:sz w:val="20"/>
                <w:szCs w:val="20"/>
                <w:color w:val="auto"/>
              </w:rPr>
            </w:pPr>
            <w:r>
              <w:rPr>
                <w:rFonts w:ascii="Arial" w:cs="Arial" w:eastAsia="Arial" w:hAnsi="Arial"/>
                <w:sz w:val="13"/>
                <w:szCs w:val="13"/>
                <w:color w:val="auto"/>
              </w:rPr>
              <w:t>Net current-period other comprehensive</w:t>
            </w:r>
          </w:p>
        </w:tc>
        <w:tc>
          <w:tcPr>
            <w:tcW w:w="1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180"/>
              <w:spacing w:after="0"/>
              <w:rPr>
                <w:sz w:val="20"/>
                <w:szCs w:val="20"/>
                <w:color w:val="auto"/>
              </w:rPr>
            </w:pPr>
            <w:r>
              <w:rPr>
                <w:rFonts w:ascii="Arial" w:cs="Arial" w:eastAsia="Arial" w:hAnsi="Arial"/>
                <w:sz w:val="13"/>
                <w:szCs w:val="13"/>
                <w:color w:val="auto"/>
              </w:rPr>
              <w:t>income (loss)</w:t>
            </w:r>
          </w:p>
        </w:tc>
        <w:tc>
          <w:tcPr>
            <w:tcW w:w="1120" w:type="dxa"/>
            <w:vAlign w:val="bottom"/>
          </w:tcPr>
          <w:p>
            <w:pPr>
              <w:spacing w:after="0"/>
              <w:rPr>
                <w:sz w:val="14"/>
                <w:szCs w:val="14"/>
                <w:color w:val="auto"/>
              </w:rPr>
            </w:pPr>
          </w:p>
        </w:tc>
        <w:tc>
          <w:tcPr>
            <w:tcW w:w="300" w:type="dxa"/>
            <w:vAlign w:val="bottom"/>
          </w:tcPr>
          <w:p>
            <w:pPr>
              <w:jc w:val="right"/>
              <w:ind w:right="17"/>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41"/>
        </w:trPr>
        <w:tc>
          <w:tcPr>
            <w:tcW w:w="2660" w:type="dxa"/>
            <w:vAlign w:val="bottom"/>
          </w:tcPr>
          <w:p>
            <w:pPr>
              <w:ind w:left="20"/>
              <w:spacing w:after="0"/>
              <w:rPr>
                <w:sz w:val="20"/>
                <w:szCs w:val="20"/>
                <w:color w:val="auto"/>
              </w:rPr>
            </w:pPr>
            <w:r>
              <w:rPr>
                <w:rFonts w:ascii="Arial" w:cs="Arial" w:eastAsia="Arial" w:hAnsi="Arial"/>
                <w:sz w:val="13"/>
                <w:szCs w:val="13"/>
                <w:color w:val="auto"/>
              </w:rPr>
              <w:t>Balance, March 31, 2017</w:t>
            </w:r>
          </w:p>
        </w:tc>
        <w:tc>
          <w:tcPr>
            <w:tcW w:w="1120" w:type="dxa"/>
            <w:vAlign w:val="bottom"/>
            <w:tcBorders>
              <w:top w:val="single" w:sz="8" w:color="auto"/>
              <w:bottom w:val="single" w:sz="8" w:color="auto"/>
            </w:tcBorders>
          </w:tcPr>
          <w:p>
            <w:pPr>
              <w:jc w:val="right"/>
              <w:ind w:right="957"/>
              <w:spacing w:after="0"/>
              <w:rPr>
                <w:sz w:val="20"/>
                <w:szCs w:val="20"/>
                <w:color w:val="auto"/>
              </w:rPr>
            </w:pPr>
            <w:r>
              <w:rPr>
                <w:rFonts w:ascii="Arial" w:cs="Arial" w:eastAsia="Arial" w:hAnsi="Arial"/>
                <w:sz w:val="13"/>
                <w:szCs w:val="13"/>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ind w:right="1017"/>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(116)</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66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500"/>
        <w:spacing w:after="0" w:line="239"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a $20 million gain, net of tax, as of March 31, 2018 related to the Company’s hedge of its net investment in euro-denominated foreign operations (see Note 16 - Financial Instruments).</w:t>
      </w:r>
    </w:p>
    <w:p>
      <w:pPr>
        <w:spacing w:after="0" w:line="5" w:lineRule="exact"/>
        <w:rPr>
          <w:sz w:val="20"/>
          <w:szCs w:val="20"/>
          <w:color w:val="auto"/>
        </w:rPr>
      </w:pPr>
    </w:p>
    <w:p>
      <w:pPr>
        <w:ind w:left="820" w:right="240" w:hanging="326"/>
        <w:spacing w:after="0" w:line="211" w:lineRule="auto"/>
        <w:tabs>
          <w:tab w:leader="none" w:pos="820" w:val="left"/>
        </w:tabs>
        <w:numPr>
          <w:ilvl w:val="1"/>
          <w:numId w:val="27"/>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March 31, 2017, the amount reclassified from accumulated other comprehensive income (loss) into corporate interest expense was $1 million ($1 million, net of tax).</w:t>
      </w:r>
    </w:p>
    <w:p>
      <w:pPr>
        <w:ind w:left="820" w:right="720" w:hanging="326"/>
        <w:spacing w:after="0" w:line="208" w:lineRule="auto"/>
        <w:tabs>
          <w:tab w:leader="none" w:pos="820" w:val="left"/>
        </w:tabs>
        <w:numPr>
          <w:ilvl w:val="1"/>
          <w:numId w:val="27"/>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March 31, 2018 and 2017, amounts reclassified from accumulated other comprehensive income (loss) into selling, general and administrative expenses were $2 million ($1 million, net of tax) and $2 million ($1 million, net of tax), respectively.</w:t>
      </w:r>
    </w:p>
    <w:p>
      <w:pPr>
        <w:ind w:left="820" w:hanging="326"/>
        <w:spacing w:after="0" w:line="205" w:lineRule="auto"/>
        <w:tabs>
          <w:tab w:leader="none" w:pos="820" w:val="left"/>
        </w:tabs>
        <w:numPr>
          <w:ilvl w:val="1"/>
          <w:numId w:val="27"/>
        </w:numPr>
        <w:rPr>
          <w:rFonts w:ascii="Arial" w:cs="Arial" w:eastAsia="Arial" w:hAnsi="Arial"/>
          <w:sz w:val="18"/>
          <w:szCs w:val="18"/>
          <w:color w:val="auto"/>
          <w:vertAlign w:val="superscript"/>
        </w:rPr>
      </w:pPr>
      <w:r>
        <w:rPr>
          <w:rFonts w:ascii="Arial" w:cs="Arial" w:eastAsia="Arial" w:hAnsi="Arial"/>
          <w:sz w:val="14"/>
          <w:szCs w:val="14"/>
          <w:color w:val="auto"/>
        </w:rPr>
        <w:t>See Note 1 - Basis of Presentation for the impact of adoption of ASU 2016-01 and ASU 2018-02.</w:t>
      </w:r>
    </w:p>
    <w:p>
      <w:pPr>
        <w:spacing w:after="0" w:line="124"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47" w:lineRule="exact"/>
        <w:rPr>
          <w:rFonts w:ascii="Arial" w:cs="Arial" w:eastAsia="Arial" w:hAnsi="Arial"/>
          <w:sz w:val="18"/>
          <w:szCs w:val="18"/>
          <w:b w:val="1"/>
          <w:bCs w:val="1"/>
          <w:color w:val="auto"/>
        </w:rPr>
      </w:pPr>
    </w:p>
    <w:p>
      <w:pPr>
        <w:ind w:left="500" w:right="140"/>
        <w:spacing w:after="0" w:line="250" w:lineRule="auto"/>
        <w:rPr>
          <w:rFonts w:ascii="Arial" w:cs="Arial" w:eastAsia="Arial" w:hAnsi="Arial"/>
          <w:sz w:val="18"/>
          <w:szCs w:val="18"/>
          <w:b w:val="1"/>
          <w:bCs w:val="1"/>
          <w:color w:val="auto"/>
        </w:rPr>
      </w:pPr>
      <w:r>
        <w:rPr>
          <w:rFonts w:ascii="Arial" w:cs="Arial" w:eastAsia="Arial" w:hAnsi="Arial"/>
          <w:sz w:val="18"/>
          <w:szCs w:val="18"/>
          <w:color w:val="auto"/>
        </w:rPr>
        <w:t>The Company recorded stock-based compensation expense of $5 million and $1 million ($4 million and $0 million, net of tax) during the three months ended March 31, 2018 and 2017, respectively.</w:t>
      </w: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activity related to restricted stock units (“RSUs”) consisted of (in thousands of shares):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40"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6"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4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Weighted</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Weighted</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Average</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12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89"/>
        </w:trPr>
        <w:tc>
          <w:tcPr>
            <w:tcW w:w="4640" w:type="dxa"/>
            <w:vAlign w:val="bottom"/>
          </w:tcPr>
          <w:p>
            <w:pPr>
              <w:spacing w:after="0"/>
              <w:rPr>
                <w:sz w:val="16"/>
                <w:szCs w:val="16"/>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Grant Date</w:t>
            </w: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Contractual</w:t>
            </w:r>
          </w:p>
        </w:tc>
        <w:tc>
          <w:tcPr>
            <w:tcW w:w="12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28"/>
        </w:trPr>
        <w:tc>
          <w:tcPr>
            <w:tcW w:w="4640" w:type="dxa"/>
            <w:vAlign w:val="bottom"/>
          </w:tcPr>
          <w:p>
            <w:pPr>
              <w:spacing w:after="0"/>
              <w:rPr>
                <w:sz w:val="19"/>
                <w:szCs w:val="19"/>
                <w:color w:val="auto"/>
              </w:rPr>
            </w:pPr>
          </w:p>
        </w:tc>
        <w:tc>
          <w:tcPr>
            <w:tcW w:w="1300" w:type="dxa"/>
            <w:vAlign w:val="bottom"/>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Fair Value</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Term (years)</w:t>
            </w:r>
          </w:p>
        </w:tc>
        <w:tc>
          <w:tcPr>
            <w:tcW w:w="120" w:type="dxa"/>
            <w:vAlign w:val="bottom"/>
          </w:tcPr>
          <w:p>
            <w:pPr>
              <w:spacing w:after="0"/>
              <w:rPr>
                <w:sz w:val="19"/>
                <w:szCs w:val="19"/>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6"/>
                <w:szCs w:val="16"/>
                <w:b w:val="1"/>
                <w:bCs w:val="1"/>
                <w:color w:val="auto"/>
              </w:rPr>
              <w:t>Time-based RSUs</w:t>
            </w: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4640" w:type="dxa"/>
            <w:vAlign w:val="bottom"/>
          </w:tcPr>
          <w:p>
            <w:pPr>
              <w:ind w:left="100"/>
              <w:spacing w:after="0"/>
              <w:rPr>
                <w:sz w:val="20"/>
                <w:szCs w:val="20"/>
                <w:color w:val="auto"/>
              </w:rPr>
            </w:pPr>
            <w:r>
              <w:rPr>
                <w:rFonts w:ascii="Arial" w:cs="Arial" w:eastAsia="Arial" w:hAnsi="Arial"/>
                <w:sz w:val="16"/>
                <w:szCs w:val="16"/>
                <w:color w:val="auto"/>
              </w:rPr>
              <w:t>Outstanding at January 1, 2018</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1,160</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34.54</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640" w:type="dxa"/>
            <w:vAlign w:val="bottom"/>
          </w:tcPr>
          <w:p>
            <w:pPr>
              <w:ind w:left="30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(a)</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48.66</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640" w:type="dxa"/>
            <w:vAlign w:val="bottom"/>
          </w:tcPr>
          <w:p>
            <w:pPr>
              <w:ind w:left="300"/>
              <w:spacing w:after="0"/>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(b)</w:t>
            </w:r>
          </w:p>
        </w:tc>
        <w:tc>
          <w:tcPr>
            <w:tcW w:w="1300" w:type="dxa"/>
            <w:vAlign w:val="bottom"/>
          </w:tcPr>
          <w:p>
            <w:pPr>
              <w:jc w:val="right"/>
              <w:spacing w:after="0"/>
              <w:rPr>
                <w:sz w:val="20"/>
                <w:szCs w:val="20"/>
                <w:color w:val="auto"/>
              </w:rPr>
            </w:pPr>
            <w:r>
              <w:rPr>
                <w:rFonts w:ascii="Arial" w:cs="Arial" w:eastAsia="Arial" w:hAnsi="Arial"/>
                <w:sz w:val="16"/>
                <w:szCs w:val="16"/>
                <w:color w:val="auto"/>
              </w:rPr>
              <w:t>(357)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35.20</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640" w:type="dxa"/>
            <w:vAlign w:val="bottom"/>
          </w:tcPr>
          <w:p>
            <w:pPr>
              <w:ind w:left="300"/>
              <w:spacing w:after="0"/>
              <w:rPr>
                <w:sz w:val="20"/>
                <w:szCs w:val="20"/>
                <w:color w:val="auto"/>
              </w:rPr>
            </w:pPr>
            <w:r>
              <w:rPr>
                <w:rFonts w:ascii="Arial" w:cs="Arial" w:eastAsia="Arial" w:hAnsi="Arial"/>
                <w:sz w:val="16"/>
                <w:szCs w:val="16"/>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33.12</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640" w:type="dxa"/>
            <w:vAlign w:val="bottom"/>
          </w:tcPr>
          <w:p>
            <w:pPr>
              <w:ind w:left="100"/>
              <w:spacing w:after="0"/>
              <w:rPr>
                <w:sz w:val="20"/>
                <w:szCs w:val="20"/>
                <w:color w:val="auto"/>
              </w:rPr>
            </w:pPr>
            <w:r>
              <w:rPr>
                <w:rFonts w:ascii="Arial" w:cs="Arial" w:eastAsia="Arial" w:hAnsi="Arial"/>
                <w:sz w:val="16"/>
                <w:szCs w:val="16"/>
                <w:color w:val="auto"/>
              </w:rPr>
              <w:t xml:space="preserve">Outstanding and expected to vest at March 31, 2018 </w:t>
            </w:r>
            <w:r>
              <w:rPr>
                <w:rFonts w:ascii="Arial" w:cs="Arial" w:eastAsia="Arial" w:hAnsi="Arial"/>
                <w:sz w:val="21"/>
                <w:szCs w:val="21"/>
                <w:color w:val="auto"/>
                <w:vertAlign w:val="superscript"/>
              </w:rPr>
              <w:t>(c)</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1,092</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38.45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6"/>
                <w:szCs w:val="16"/>
                <w:b w:val="1"/>
                <w:bCs w:val="1"/>
                <w:color w:val="auto"/>
              </w:rPr>
              <w:t>Performance-based and market-based RSUs</w:t>
            </w: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640" w:type="dxa"/>
            <w:vAlign w:val="bottom"/>
            <w:vMerge w:val="continue"/>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ectPr>
          <w:pgSz w:w="11900" w:h="16838" w:orient="portrait"/>
          <w:cols w:equalWidth="0" w:num="1">
            <w:col w:w="11340"/>
          </w:cols>
          <w:pgMar w:left="240" w:top="140" w:right="319" w:bottom="1440" w:gutter="0" w:footer="0" w:header="0"/>
        </w:sectPr>
      </w:pPr>
    </w:p>
    <w:p>
      <w:pPr>
        <w:ind w:left="620"/>
        <w:spacing w:after="0"/>
        <w:rPr>
          <w:sz w:val="20"/>
          <w:szCs w:val="20"/>
          <w:color w:val="auto"/>
        </w:rPr>
      </w:pPr>
      <w:r>
        <w:rPr>
          <w:rFonts w:ascii="Arial" w:cs="Arial" w:eastAsia="Arial" w:hAnsi="Arial"/>
          <w:sz w:val="16"/>
          <w:szCs w:val="16"/>
          <w:color w:val="auto"/>
        </w:rPr>
        <w:t>Outstanding at January 1, 2018</w:t>
      </w:r>
    </w:p>
    <w:p>
      <w:pPr>
        <w:spacing w:after="0" w:line="8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21"/>
          <w:szCs w:val="21"/>
          <w:color w:val="auto"/>
          <w:vertAlign w:val="superscript"/>
        </w:rPr>
        <w:t>(a)</w:t>
      </w:r>
    </w:p>
    <w:p>
      <w:pPr>
        <w:spacing w:after="0" w:line="34" w:lineRule="exact"/>
        <w:rPr>
          <w:sz w:val="20"/>
          <w:szCs w:val="20"/>
          <w:color w:val="auto"/>
        </w:rPr>
      </w:pPr>
    </w:p>
    <w:p>
      <w:pPr>
        <w:ind w:left="82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Forfeited</w:t>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Outstanding at March 31, 2018</w:t>
      </w:r>
    </w:p>
    <w:p>
      <w:pPr>
        <w:spacing w:after="0" w:line="8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Outstanding and expected to vest at March 31, 2018 </w:t>
      </w:r>
      <w:r>
        <w:rPr>
          <w:rFonts w:ascii="Arial" w:cs="Arial" w:eastAsia="Arial" w:hAnsi="Arial"/>
          <w:sz w:val="21"/>
          <w:szCs w:val="21"/>
          <w:color w:val="auto"/>
          <w:vertAlign w:val="superscript"/>
        </w:rPr>
        <w:t>(c)</w:t>
      </w:r>
    </w:p>
    <w:p>
      <w:pPr>
        <w:spacing w:after="0" w:line="3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940"/>
        <w:spacing w:after="0"/>
        <w:tabs>
          <w:tab w:leader="none" w:pos="1420" w:val="left"/>
          <w:tab w:leader="none" w:pos="2240" w:val="left"/>
        </w:tabs>
        <w:rPr>
          <w:sz w:val="20"/>
          <w:szCs w:val="20"/>
          <w:color w:val="auto"/>
        </w:rPr>
      </w:pPr>
      <w:r>
        <w:rPr>
          <w:rFonts w:ascii="Arial" w:cs="Arial" w:eastAsia="Arial" w:hAnsi="Arial"/>
          <w:sz w:val="16"/>
          <w:szCs w:val="16"/>
          <w:color w:val="auto"/>
        </w:rPr>
        <w:t>994</w:t>
        <w:tab/>
        <w:t>$</w:t>
      </w:r>
      <w:r>
        <w:rPr>
          <w:sz w:val="20"/>
          <w:szCs w:val="20"/>
          <w:color w:val="auto"/>
        </w:rPr>
        <w:tab/>
      </w:r>
      <w:r>
        <w:rPr>
          <w:rFonts w:ascii="Arial" w:cs="Arial" w:eastAsia="Arial" w:hAnsi="Arial"/>
          <w:sz w:val="15"/>
          <w:szCs w:val="15"/>
          <w:color w:val="auto"/>
        </w:rPr>
        <w:t>33.06</w:t>
      </w:r>
    </w:p>
    <w:p>
      <w:pPr>
        <w:spacing w:after="0" w:line="86" w:lineRule="exact"/>
        <w:rPr>
          <w:sz w:val="20"/>
          <w:szCs w:val="20"/>
          <w:color w:val="auto"/>
        </w:rPr>
      </w:pPr>
    </w:p>
    <w:p>
      <w:pPr>
        <w:ind w:left="2260" w:hanging="1321"/>
        <w:spacing w:after="0"/>
        <w:tabs>
          <w:tab w:leader="none" w:pos="22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48.72</w:t>
      </w:r>
    </w:p>
    <w:p>
      <w:pPr>
        <w:spacing w:after="0" w:line="86" w:lineRule="exact"/>
        <w:rPr>
          <w:rFonts w:ascii="Arial" w:cs="Arial" w:eastAsia="Arial" w:hAnsi="Arial"/>
          <w:sz w:val="16"/>
          <w:szCs w:val="16"/>
          <w:color w:val="auto"/>
        </w:rPr>
      </w:pPr>
    </w:p>
    <w:p>
      <w:pPr>
        <w:ind w:left="1040"/>
        <w:spacing w:after="0"/>
        <w:rPr>
          <w:rFonts w:ascii="Arial" w:cs="Arial" w:eastAsia="Arial" w:hAnsi="Arial"/>
          <w:sz w:val="16"/>
          <w:szCs w:val="16"/>
          <w:color w:val="auto"/>
        </w:rPr>
      </w:pPr>
      <w:r>
        <w:rPr>
          <w:rFonts w:ascii="Arial" w:cs="Arial" w:eastAsia="Arial" w:hAnsi="Arial"/>
          <w:sz w:val="16"/>
          <w:szCs w:val="16"/>
          <w:color w:val="auto"/>
        </w:rPr>
        <w:t>——</w:t>
      </w:r>
    </w:p>
    <w:p>
      <w:pPr>
        <w:spacing w:after="0" w:line="86" w:lineRule="exact"/>
        <w:rPr>
          <w:sz w:val="20"/>
          <w:szCs w:val="20"/>
          <w:color w:val="auto"/>
        </w:rPr>
      </w:pPr>
    </w:p>
    <w:p>
      <w:pPr>
        <w:ind w:left="2260" w:hanging="1375"/>
        <w:spacing w:after="0"/>
        <w:tabs>
          <w:tab w:leader="none" w:pos="2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54.00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8318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1,205</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79"/>
              <w:spacing w:after="0"/>
              <w:rPr>
                <w:sz w:val="20"/>
                <w:szCs w:val="20"/>
                <w:color w:val="auto"/>
              </w:rPr>
            </w:pPr>
            <w:r>
              <w:rPr>
                <w:rFonts w:ascii="Arial" w:cs="Arial" w:eastAsia="Arial" w:hAnsi="Arial"/>
                <w:sz w:val="16"/>
                <w:szCs w:val="16"/>
                <w:color w:val="auto"/>
              </w:rPr>
              <w:t>35.20</w:t>
            </w:r>
          </w:p>
        </w:tc>
        <w:tc>
          <w:tcPr>
            <w:tcW w:w="940" w:type="dxa"/>
            <w:vAlign w:val="bottom"/>
          </w:tcPr>
          <w:p>
            <w:pPr>
              <w:jc w:val="right"/>
              <w:spacing w:after="0"/>
              <w:rPr>
                <w:sz w:val="20"/>
                <w:szCs w:val="20"/>
                <w:color w:val="auto"/>
              </w:rPr>
            </w:pPr>
            <w:r>
              <w:rPr>
                <w:rFonts w:ascii="Arial" w:cs="Arial" w:eastAsia="Arial" w:hAnsi="Arial"/>
                <w:sz w:val="16"/>
                <w:szCs w:val="16"/>
                <w:color w:val="auto"/>
              </w:rPr>
              <w:t>1.8</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56</w:t>
            </w: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7"/>
        </w:trPr>
        <w:tc>
          <w:tcPr>
            <w:tcW w:w="1300" w:type="dxa"/>
            <w:vAlign w:val="bottom"/>
          </w:tcPr>
          <w:p>
            <w:pPr>
              <w:jc w:val="right"/>
              <w:ind w:right="19"/>
              <w:spacing w:after="0"/>
              <w:rPr>
                <w:sz w:val="20"/>
                <w:szCs w:val="20"/>
                <w:color w:val="auto"/>
              </w:rPr>
            </w:pPr>
            <w:r>
              <w:rPr>
                <w:rFonts w:ascii="Arial" w:cs="Arial" w:eastAsia="Arial" w:hAnsi="Arial"/>
                <w:sz w:val="16"/>
                <w:szCs w:val="16"/>
                <w:color w:val="auto"/>
              </w:rPr>
              <w:t>269</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79"/>
              <w:spacing w:after="0"/>
              <w:rPr>
                <w:sz w:val="20"/>
                <w:szCs w:val="20"/>
                <w:color w:val="auto"/>
              </w:rPr>
            </w:pPr>
            <w:r>
              <w:rPr>
                <w:rFonts w:ascii="Arial" w:cs="Arial" w:eastAsia="Arial" w:hAnsi="Arial"/>
                <w:sz w:val="16"/>
                <w:szCs w:val="16"/>
                <w:color w:val="auto"/>
              </w:rPr>
              <w:t>44.47</w:t>
            </w:r>
          </w:p>
        </w:tc>
        <w:tc>
          <w:tcPr>
            <w:tcW w:w="940" w:type="dxa"/>
            <w:vAlign w:val="bottom"/>
          </w:tcPr>
          <w:p>
            <w:pPr>
              <w:jc w:val="right"/>
              <w:spacing w:after="0"/>
              <w:rPr>
                <w:sz w:val="20"/>
                <w:szCs w:val="20"/>
                <w:color w:val="auto"/>
              </w:rPr>
            </w:pPr>
            <w:r>
              <w:rPr>
                <w:rFonts w:ascii="Arial" w:cs="Arial" w:eastAsia="Arial" w:hAnsi="Arial"/>
                <w:sz w:val="16"/>
                <w:szCs w:val="16"/>
                <w:color w:val="auto"/>
              </w:rPr>
              <w:t>2.6</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13</w:t>
            </w:r>
          </w:p>
        </w:tc>
      </w:tr>
    </w:tbl>
    <w:p>
      <w:pPr>
        <w:spacing w:after="0" w:line="240" w:lineRule="exact"/>
        <w:rPr>
          <w:sz w:val="20"/>
          <w:szCs w:val="20"/>
          <w:color w:val="auto"/>
        </w:rPr>
      </w:pPr>
    </w:p>
    <w:p>
      <w:pPr>
        <w:sectPr>
          <w:pgSz w:w="11900" w:h="16838" w:orient="portrait"/>
          <w:cols w:equalWidth="0" w:num="2">
            <w:col w:w="4560" w:space="600"/>
            <w:col w:w="6180"/>
          </w:cols>
          <w:pgMar w:left="240" w:top="140" w:right="319" w:bottom="1440" w:gutter="0" w:footer="0" w:header="0"/>
          <w:type w:val="continuous"/>
        </w:sectPr>
      </w:pPr>
    </w:p>
    <w:p>
      <w:pPr>
        <w:ind w:left="820" w:hanging="326"/>
        <w:spacing w:after="0"/>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Reflects the maximum number of stock units assuming achievement of all performance-, market- and time-vesting criteria and does not include those for non-employee directors. The weighted-average fair value of time-based RSUs and performance-based RSUs granted during the three months ended March 31, 2017 was $34.41.</w:t>
      </w:r>
    </w:p>
    <w:p>
      <w:pPr>
        <w:spacing w:after="0" w:line="118" w:lineRule="exact"/>
        <w:rPr>
          <w:rFonts w:ascii="Arial" w:cs="Arial" w:eastAsia="Arial" w:hAnsi="Arial"/>
          <w:sz w:val="18"/>
          <w:szCs w:val="18"/>
          <w:color w:val="auto"/>
          <w:vertAlign w:val="superscript"/>
        </w:rPr>
      </w:pPr>
    </w:p>
    <w:p>
      <w:pPr>
        <w:ind w:left="820" w:hanging="326"/>
        <w:spacing w:after="0" w:line="187"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The total fair value of RSUs vested during March 31, 2018 and 2017 was $13 million and $19 million, respectively.</w:t>
      </w:r>
    </w:p>
    <w:p>
      <w:pPr>
        <w:ind w:left="820" w:right="160" w:hanging="326"/>
        <w:spacing w:after="0" w:line="218"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Aggregate unrecognized compensation expense related to time-based RSUs and performance-based RSUs amounted to $48 million and will be recognized over a weighted average vesting period of 1.6 years.</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stock option activity consisted of (in thousands of shares):</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Weighted</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4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Weighted</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4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Average</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12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462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Exercise</w:t>
            </w: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Contractual</w:t>
            </w:r>
          </w:p>
        </w:tc>
        <w:tc>
          <w:tcPr>
            <w:tcW w:w="12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rPr>
              <w:t>Intrinsic Value</w:t>
            </w:r>
          </w:p>
        </w:tc>
      </w:tr>
      <w:tr>
        <w:trPr>
          <w:trHeight w:val="228"/>
        </w:trPr>
        <w:tc>
          <w:tcPr>
            <w:tcW w:w="4620" w:type="dxa"/>
            <w:vAlign w:val="bottom"/>
          </w:tcPr>
          <w:p>
            <w:pPr>
              <w:spacing w:after="0"/>
              <w:rPr>
                <w:sz w:val="19"/>
                <w:szCs w:val="19"/>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Price</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Term (years)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(in millions)</w:t>
            </w:r>
          </w:p>
        </w:tc>
      </w:tr>
      <w:tr>
        <w:trPr>
          <w:trHeight w:val="237"/>
        </w:trPr>
        <w:tc>
          <w:tcPr>
            <w:tcW w:w="4620" w:type="dxa"/>
            <w:vAlign w:val="bottom"/>
          </w:tcPr>
          <w:p>
            <w:pPr>
              <w:spacing w:after="0"/>
              <w:rPr>
                <w:sz w:val="20"/>
                <w:szCs w:val="20"/>
                <w:color w:val="auto"/>
              </w:rPr>
            </w:pPr>
            <w:r>
              <w:rPr>
                <w:rFonts w:ascii="Arial" w:cs="Arial" w:eastAsia="Arial" w:hAnsi="Arial"/>
                <w:sz w:val="16"/>
                <w:szCs w:val="16"/>
                <w:color w:val="auto"/>
              </w:rPr>
              <w:t>Outstanding at January 1, 2018</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273</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0"/>
        </w:trPr>
        <w:tc>
          <w:tcPr>
            <w:tcW w:w="4620" w:type="dxa"/>
            <w:vAlign w:val="bottom"/>
          </w:tcPr>
          <w:p>
            <w:pPr>
              <w:ind w:left="10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4620" w:type="dxa"/>
            <w:vAlign w:val="bottom"/>
          </w:tcPr>
          <w:p>
            <w:pPr>
              <w:ind w:left="100"/>
              <w:spacing w:after="0"/>
              <w:rPr>
                <w:sz w:val="20"/>
                <w:szCs w:val="20"/>
                <w:color w:val="auto"/>
              </w:rPr>
            </w:pPr>
            <w:r>
              <w:rPr>
                <w:rFonts w:ascii="Arial" w:cs="Arial" w:eastAsia="Arial" w:hAnsi="Arial"/>
                <w:sz w:val="16"/>
                <w:szCs w:val="16"/>
                <w:color w:val="auto"/>
              </w:rPr>
              <w:t>Exercised</w:t>
            </w:r>
          </w:p>
        </w:tc>
        <w:tc>
          <w:tcPr>
            <w:tcW w:w="1320" w:type="dxa"/>
            <w:vAlign w:val="bottom"/>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11.04</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83"/>
        </w:trPr>
        <w:tc>
          <w:tcPr>
            <w:tcW w:w="4620" w:type="dxa"/>
            <w:vAlign w:val="bottom"/>
          </w:tcPr>
          <w:p>
            <w:pPr>
              <w:ind w:left="100"/>
              <w:spacing w:after="0"/>
              <w:rPr>
                <w:sz w:val="20"/>
                <w:szCs w:val="20"/>
                <w:color w:val="auto"/>
              </w:rPr>
            </w:pPr>
            <w:r>
              <w:rPr>
                <w:rFonts w:ascii="Arial" w:cs="Arial" w:eastAsia="Arial" w:hAnsi="Arial"/>
                <w:sz w:val="16"/>
                <w:szCs w:val="16"/>
                <w:color w:val="auto"/>
              </w:rPr>
              <w:t>Forfeited/expired</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0"/>
        </w:trPr>
        <w:tc>
          <w:tcPr>
            <w:tcW w:w="4620" w:type="dxa"/>
            <w:vAlign w:val="bottom"/>
          </w:tcPr>
          <w:p>
            <w:pPr>
              <w:spacing w:after="0"/>
              <w:rPr>
                <w:sz w:val="20"/>
                <w:szCs w:val="20"/>
                <w:color w:val="auto"/>
              </w:rPr>
            </w:pPr>
            <w:r>
              <w:rPr>
                <w:rFonts w:ascii="Arial" w:cs="Arial" w:eastAsia="Arial" w:hAnsi="Arial"/>
                <w:sz w:val="16"/>
                <w:szCs w:val="16"/>
                <w:color w:val="auto"/>
              </w:rPr>
              <w:t>Outstanding and exercisable at March 31, 2018</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0.79</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
        </w:trPr>
        <w:tc>
          <w:tcPr>
            <w:tcW w:w="4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93"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Instruments and Hedging Activities</w:t>
      </w:r>
    </w:p>
    <w:p>
      <w:pPr>
        <w:spacing w:after="0" w:line="175" w:lineRule="exact"/>
        <w:rPr>
          <w:rFonts w:ascii="Arial" w:cs="Arial" w:eastAsia="Arial" w:hAnsi="Arial"/>
          <w:sz w:val="18"/>
          <w:szCs w:val="18"/>
          <w:b w:val="1"/>
          <w:bCs w:val="1"/>
          <w:color w:val="auto"/>
        </w:rPr>
      </w:pPr>
    </w:p>
    <w:p>
      <w:pPr>
        <w:ind w:left="500" w:right="20"/>
        <w:spacing w:after="0" w:line="255"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Currency Risk. </w:t>
      </w:r>
      <w:r>
        <w:rPr>
          <w:rFonts w:ascii="Arial" w:cs="Arial" w:eastAsia="Arial" w:hAnsi="Arial"/>
          <w:sz w:val="18"/>
          <w:szCs w:val="18"/>
          <w:color w:val="auto"/>
        </w:rPr>
        <w:t>The Company uses currency exchange contracts to manage its exposure to changes in currency exchange rates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certain of its non-U.S.-dollar denominated receivables and forecasted royalties, forecasted earnings of non-U.S. subsidiaries and forecasted non-U.S.-dollar denominated acquisitions. The Company primarily hedges a portion of its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The Company has designated its euro-denominated notes as a hedge of its investment in euro-denominated foreign operations.</w:t>
      </w:r>
    </w:p>
    <w:p>
      <w:pPr>
        <w:spacing w:after="0" w:line="149" w:lineRule="exact"/>
        <w:rPr>
          <w:rFonts w:ascii="Arial" w:cs="Arial" w:eastAsia="Arial" w:hAnsi="Arial"/>
          <w:sz w:val="18"/>
          <w:szCs w:val="18"/>
          <w:b w:val="1"/>
          <w:bCs w:val="1"/>
          <w:color w:val="auto"/>
        </w:rPr>
      </w:pPr>
    </w:p>
    <w:p>
      <w:pPr>
        <w:ind w:left="500" w:right="2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amount of gains or losses reclassified from other comprehensive income (loss) to earnings resulting from ineffectiveness or from excluding a component of the hedges’ gain or loss from the effectiveness calculation for cash flow and net investment hedges during the three months ended March 31, 2018 and 2017 was not material, nor is the amount of gains or losses the Company expects to reclassify from accumulated other comprehensive income (loss) to earnings over the next 12 months.</w:t>
      </w:r>
    </w:p>
    <w:p>
      <w:pPr>
        <w:sectPr>
          <w:pgSz w:w="11900" w:h="16838" w:orient="portrait"/>
          <w:cols w:equalWidth="0" w:num="1">
            <w:col w:w="11340"/>
          </w:cols>
          <w:pgMar w:left="240" w:top="140" w:right="319" w:bottom="1440" w:gutter="0" w:footer="0" w:header="0"/>
          <w:type w:val="continuous"/>
        </w:sectPr>
      </w:pP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340"/>
          </w:cols>
          <w:pgMar w:left="240" w:top="140" w:right="31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Company uses various hedging strategies including interest rate swaps and interest rate caps to create what it</w:t>
      </w:r>
      <w:r>
        <w:rPr>
          <w:rFonts w:ascii="Arial" w:cs="Arial" w:eastAsia="Arial" w:hAnsi="Arial"/>
          <w:sz w:val="18"/>
          <w:szCs w:val="18"/>
          <w:i w:val="1"/>
          <w:iCs w:val="1"/>
          <w:color w:val="auto"/>
        </w:rPr>
        <w:t xml:space="preserve"> </w:t>
      </w:r>
      <w:r>
        <w:rPr>
          <w:rFonts w:ascii="Arial" w:cs="Arial" w:eastAsia="Arial" w:hAnsi="Arial"/>
          <w:sz w:val="18"/>
          <w:szCs w:val="18"/>
          <w:color w:val="auto"/>
        </w:rPr>
        <w:t>deems an appropriate mix of fixed and floating rate assets and liabilities. The Company uses interest rate swaps and interest rate caps to manage the risk related to its floating rate corporate debt and its floating rate vehicle-backed debt. The Company records the effective portion of changes in the fair value of its cash flow hedges to other comprehensive income (loss), net of tax, and subsequently reclassifies these amounts into earnings in the period during which the hedged transaction is recognized. The Company records the gains or losses related to freestanding derivatives, which are not designated as a hedge for accounting purposes, in its Consolidated Condensed Statements of Comprehensive Income. The changes in fair values of hedges that are determined to be ineffective are immediately reclassified from accumulated other comprehensive income (loss) into earnings. The amount of gains or losses reclassified from other comprehensive income (loss) to earnings resulting from ineffectiveness related to the Company’s cash flow hedges was not material during the three months ended March 31, 2018 and 2017. The Company estimates that $4 million of gains currently recorded in accumulated other comprehensive income (loss) will be recognized in earnings over the next 12 months.</w:t>
      </w:r>
    </w:p>
    <w:p>
      <w:pPr>
        <w:spacing w:after="0" w:line="211" w:lineRule="exact"/>
        <w:rPr>
          <w:sz w:val="20"/>
          <w:szCs w:val="20"/>
          <w:color w:val="auto"/>
        </w:rPr>
      </w:pPr>
    </w:p>
    <w:p>
      <w:pPr>
        <w:ind w:left="500" w:right="700"/>
        <w:spacing w:after="0" w:line="262" w:lineRule="auto"/>
        <w:rPr>
          <w:sz w:val="20"/>
          <w:szCs w:val="20"/>
          <w:color w:val="auto"/>
        </w:rPr>
      </w:pPr>
      <w:r>
        <w:rPr>
          <w:rFonts w:ascii="Arial" w:cs="Arial" w:eastAsia="Arial" w:hAnsi="Arial"/>
          <w:sz w:val="18"/>
          <w:szCs w:val="18"/>
          <w:color w:val="auto"/>
        </w:rPr>
        <w:t>The Company enters into derivative commodity contracts to manage its exposure in the U.S. to changes in the price of unleaded gasoline. Changes in the fair value of these derivatives are recorded within operating expenses.</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held derivative instruments with absolute notional values as follows:</w:t>
      </w:r>
    </w:p>
    <w:p>
      <w:pPr>
        <w:spacing w:after="0" w:line="167"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8660" w:type="dxa"/>
            <w:vAlign w:val="bottom"/>
          </w:tcPr>
          <w:p>
            <w:pPr>
              <w:spacing w:after="0"/>
              <w:rPr>
                <w:sz w:val="18"/>
                <w:szCs w:val="18"/>
                <w:color w:val="auto"/>
              </w:rPr>
            </w:pPr>
          </w:p>
        </w:tc>
        <w:tc>
          <w:tcPr>
            <w:tcW w:w="166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March 31, 2018</w:t>
            </w:r>
          </w:p>
        </w:tc>
        <w:tc>
          <w:tcPr>
            <w:tcW w:w="0" w:type="dxa"/>
            <w:vAlign w:val="bottom"/>
          </w:tcPr>
          <w:p>
            <w:pPr>
              <w:spacing w:after="0"/>
              <w:rPr>
                <w:sz w:val="1"/>
                <w:szCs w:val="1"/>
                <w:color w:val="auto"/>
              </w:rPr>
            </w:pPr>
          </w:p>
        </w:tc>
      </w:tr>
      <w:tr>
        <w:trPr>
          <w:trHeight w:val="33"/>
        </w:trPr>
        <w:tc>
          <w:tcPr>
            <w:tcW w:w="8660" w:type="dxa"/>
            <w:vAlign w:val="bottom"/>
            <w:vMerge w:val="restart"/>
          </w:tcPr>
          <w:p>
            <w:pPr>
              <w:ind w:left="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6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6"/>
        </w:trPr>
        <w:tc>
          <w:tcPr>
            <w:tcW w:w="8660" w:type="dxa"/>
            <w:vAlign w:val="bottom"/>
            <w:vMerge w:val="continue"/>
          </w:tcPr>
          <w:p>
            <w:pPr>
              <w:spacing w:after="0"/>
              <w:rPr>
                <w:sz w:val="23"/>
                <w:szCs w:val="23"/>
                <w:color w:val="auto"/>
              </w:rPr>
            </w:pPr>
          </w:p>
        </w:tc>
        <w:tc>
          <w:tcPr>
            <w:tcW w:w="640" w:type="dxa"/>
            <w:vAlign w:val="bottom"/>
          </w:tcPr>
          <w:p>
            <w:pPr>
              <w:ind w:left="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8,964</w:t>
            </w:r>
          </w:p>
        </w:tc>
        <w:tc>
          <w:tcPr>
            <w:tcW w:w="0" w:type="dxa"/>
            <w:vAlign w:val="bottom"/>
          </w:tcPr>
          <w:p>
            <w:pPr>
              <w:spacing w:after="0"/>
              <w:rPr>
                <w:sz w:val="1"/>
                <w:szCs w:val="1"/>
                <w:color w:val="auto"/>
              </w:rPr>
            </w:pPr>
          </w:p>
        </w:tc>
      </w:tr>
      <w:tr>
        <w:trPr>
          <w:trHeight w:val="195"/>
        </w:trPr>
        <w:tc>
          <w:tcPr>
            <w:tcW w:w="866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6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43"/>
        </w:trPr>
        <w:tc>
          <w:tcPr>
            <w:tcW w:w="8660" w:type="dxa"/>
            <w:vAlign w:val="bottom"/>
          </w:tcPr>
          <w:p>
            <w:pPr>
              <w:ind w:left="20"/>
              <w:spacing w:after="0"/>
              <w:rPr>
                <w:sz w:val="20"/>
                <w:szCs w:val="20"/>
                <w:color w:val="auto"/>
              </w:rPr>
            </w:pPr>
            <w:r>
              <w:rPr>
                <w:rFonts w:ascii="Arial" w:cs="Arial" w:eastAsia="Arial" w:hAnsi="Arial"/>
                <w:sz w:val="16"/>
                <w:szCs w:val="16"/>
                <w:color w:val="auto"/>
              </w:rPr>
              <w:t>Foreign exchange contracts</w:t>
            </w:r>
          </w:p>
        </w:tc>
        <w:tc>
          <w:tcPr>
            <w:tcW w:w="6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1,356</w:t>
            </w:r>
          </w:p>
        </w:tc>
        <w:tc>
          <w:tcPr>
            <w:tcW w:w="0" w:type="dxa"/>
            <w:vAlign w:val="bottom"/>
          </w:tcPr>
          <w:p>
            <w:pPr>
              <w:spacing w:after="0"/>
              <w:rPr>
                <w:sz w:val="1"/>
                <w:szCs w:val="1"/>
                <w:color w:val="auto"/>
              </w:rPr>
            </w:pPr>
          </w:p>
        </w:tc>
      </w:tr>
      <w:tr>
        <w:trPr>
          <w:trHeight w:val="473"/>
        </w:trPr>
        <w:tc>
          <w:tcPr>
            <w:tcW w:w="8660" w:type="dxa"/>
            <w:vAlign w:val="bottom"/>
          </w:tcPr>
          <w:p>
            <w:pPr>
              <w:ind w:left="20"/>
              <w:spacing w:after="0"/>
              <w:rPr>
                <w:sz w:val="20"/>
                <w:szCs w:val="20"/>
                <w:color w:val="auto"/>
              </w:rPr>
            </w:pPr>
            <w:r>
              <w:rPr>
                <w:rFonts w:ascii="Arial" w:cs="Arial" w:eastAsia="Arial" w:hAnsi="Arial"/>
                <w:sz w:val="16"/>
                <w:szCs w:val="16"/>
                <w:color w:val="auto"/>
              </w:rPr>
              <w:t>Commodity contracts (millions of gallons of unleaded gasoline)</w:t>
            </w:r>
          </w:p>
        </w:tc>
        <w:tc>
          <w:tcPr>
            <w:tcW w:w="6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35"/>
        </w:trPr>
        <w:tc>
          <w:tcPr>
            <w:tcW w:w="8660" w:type="dxa"/>
            <w:vAlign w:val="bottom"/>
          </w:tcPr>
          <w:p>
            <w:pPr>
              <w:spacing w:after="0"/>
              <w:rPr>
                <w:sz w:val="20"/>
                <w:szCs w:val="20"/>
                <w:color w:val="auto"/>
              </w:rPr>
            </w:pPr>
            <w:r>
              <w:rPr>
                <w:rFonts w:ascii="Arial" w:cs="Arial" w:eastAsia="Arial" w:hAnsi="Arial"/>
                <w:sz w:val="18"/>
                <w:szCs w:val="18"/>
                <w:color w:val="auto"/>
              </w:rPr>
              <w:t>__________</w:t>
            </w:r>
          </w:p>
        </w:tc>
        <w:tc>
          <w:tcPr>
            <w:tcW w:w="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right="180" w:hanging="326"/>
        <w:spacing w:after="0" w:line="218" w:lineRule="auto"/>
        <w:tabs>
          <w:tab w:leader="none" w:pos="82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Represents $6.0 billion of interest rate caps sold, partially offset by approximately $3.0 billion of interest rate caps purchased. These amounts exclude $3.0 billion of interest rate caps purchased by the Company’s Avis Budget Rental Car Funding subsidiary as it is not consolidated by the Company.</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Estimated fair values (Level 2) of derivative instruments were as follows: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272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As of March 31, 2018</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As of December 31, 2017</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1160" w:type="dxa"/>
            <w:vAlign w:val="bottom"/>
          </w:tcPr>
          <w:p>
            <w:pPr>
              <w:jc w:val="center"/>
              <w:ind w:left="199"/>
              <w:spacing w:after="0"/>
              <w:rPr>
                <w:sz w:val="20"/>
                <w:szCs w:val="20"/>
                <w:color w:val="auto"/>
              </w:rPr>
            </w:pPr>
            <w:r>
              <w:rPr>
                <w:rFonts w:ascii="Arial" w:cs="Arial" w:eastAsia="Arial" w:hAnsi="Arial"/>
                <w:sz w:val="16"/>
                <w:szCs w:val="16"/>
                <w:b w:val="1"/>
                <w:bCs w:val="1"/>
                <w:color w:val="auto"/>
                <w:w w:val="98"/>
              </w:rPr>
              <w:t>Fair Value,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left="199"/>
              <w:spacing w:after="0"/>
              <w:rPr>
                <w:sz w:val="20"/>
                <w:szCs w:val="20"/>
                <w:color w:val="auto"/>
              </w:rPr>
            </w:pPr>
            <w:r>
              <w:rPr>
                <w:rFonts w:ascii="Arial" w:cs="Arial" w:eastAsia="Arial" w:hAnsi="Arial"/>
                <w:sz w:val="16"/>
                <w:szCs w:val="16"/>
                <w:b w:val="1"/>
                <w:bCs w:val="1"/>
                <w:color w:val="auto"/>
                <w:w w:val="98"/>
              </w:rPr>
              <w:t>Fair Value,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7"/>
                <w:szCs w:val="17"/>
                <w:color w:val="auto"/>
              </w:rPr>
            </w:pP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1160" w:type="dxa"/>
            <w:vAlign w:val="bottom"/>
          </w:tcPr>
          <w:p>
            <w:pPr>
              <w:jc w:val="center"/>
              <w:ind w:left="199"/>
              <w:spacing w:after="0"/>
              <w:rPr>
                <w:sz w:val="20"/>
                <w:szCs w:val="20"/>
                <w:color w:val="auto"/>
              </w:rPr>
            </w:pPr>
            <w:r>
              <w:rPr>
                <w:rFonts w:ascii="Arial" w:cs="Arial" w:eastAsia="Arial" w:hAnsi="Arial"/>
                <w:sz w:val="16"/>
                <w:szCs w:val="16"/>
                <w:b w:val="1"/>
                <w:bCs w:val="1"/>
                <w:color w:val="auto"/>
              </w:rPr>
              <w:t>Asset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left="199"/>
              <w:spacing w:after="0"/>
              <w:rPr>
                <w:sz w:val="20"/>
                <w:szCs w:val="20"/>
                <w:color w:val="auto"/>
              </w:rPr>
            </w:pPr>
            <w:r>
              <w:rPr>
                <w:rFonts w:ascii="Arial" w:cs="Arial" w:eastAsia="Arial" w:hAnsi="Arial"/>
                <w:sz w:val="16"/>
                <w:szCs w:val="16"/>
                <w:b w:val="1"/>
                <w:bCs w:val="1"/>
                <w:color w:val="auto"/>
                <w:w w:val="99"/>
              </w:rPr>
              <w:t>Liability</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Asset</w:t>
            </w:r>
          </w:p>
        </w:tc>
        <w:tc>
          <w:tcPr>
            <w:tcW w:w="200" w:type="dxa"/>
            <w:vAlign w:val="bottom"/>
          </w:tcPr>
          <w:p>
            <w:pPr>
              <w:spacing w:after="0"/>
              <w:rPr>
                <w:sz w:val="16"/>
                <w:szCs w:val="16"/>
                <w:color w:val="auto"/>
              </w:rPr>
            </w:pP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Liability</w:t>
            </w:r>
          </w:p>
        </w:tc>
        <w:tc>
          <w:tcPr>
            <w:tcW w:w="0" w:type="dxa"/>
            <w:vAlign w:val="bottom"/>
          </w:tcPr>
          <w:p>
            <w:pPr>
              <w:spacing w:after="0"/>
              <w:rPr>
                <w:sz w:val="1"/>
                <w:szCs w:val="1"/>
                <w:color w:val="auto"/>
              </w:rPr>
            </w:pPr>
          </w:p>
        </w:tc>
      </w:tr>
      <w:tr>
        <w:trPr>
          <w:trHeight w:val="228"/>
        </w:trPr>
        <w:tc>
          <w:tcPr>
            <w:tcW w:w="4220" w:type="dxa"/>
            <w:vAlign w:val="bottom"/>
          </w:tcPr>
          <w:p>
            <w:pPr>
              <w:spacing w:after="0"/>
              <w:rPr>
                <w:sz w:val="19"/>
                <w:szCs w:val="19"/>
                <w:color w:val="auto"/>
              </w:rPr>
            </w:pPr>
          </w:p>
        </w:tc>
        <w:tc>
          <w:tcPr>
            <w:tcW w:w="1160" w:type="dxa"/>
            <w:vAlign w:val="bottom"/>
          </w:tcPr>
          <w:p>
            <w:pPr>
              <w:jc w:val="center"/>
              <w:ind w:left="219"/>
              <w:spacing w:after="0"/>
              <w:rPr>
                <w:sz w:val="20"/>
                <w:szCs w:val="20"/>
                <w:color w:val="auto"/>
              </w:rPr>
            </w:pPr>
            <w:r>
              <w:rPr>
                <w:rFonts w:ascii="Arial" w:cs="Arial" w:eastAsia="Arial" w:hAnsi="Arial"/>
                <w:sz w:val="16"/>
                <w:szCs w:val="16"/>
                <w:b w:val="1"/>
                <w:bCs w:val="1"/>
                <w:color w:val="auto"/>
              </w:rPr>
              <w:t>Derivatives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left="179"/>
              <w:spacing w:after="0"/>
              <w:rPr>
                <w:sz w:val="20"/>
                <w:szCs w:val="20"/>
                <w:color w:val="auto"/>
              </w:rPr>
            </w:pPr>
            <w:r>
              <w:rPr>
                <w:rFonts w:ascii="Arial" w:cs="Arial" w:eastAsia="Arial" w:hAnsi="Arial"/>
                <w:sz w:val="16"/>
                <w:szCs w:val="16"/>
                <w:b w:val="1"/>
                <w:bCs w:val="1"/>
                <w:color w:val="auto"/>
              </w:rPr>
              <w:t>Derivatives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Derivatives</w:t>
            </w:r>
          </w:p>
        </w:tc>
        <w:tc>
          <w:tcPr>
            <w:tcW w:w="200" w:type="dxa"/>
            <w:vAlign w:val="bottom"/>
          </w:tcPr>
          <w:p>
            <w:pPr>
              <w:spacing w:after="0"/>
              <w:rPr>
                <w:sz w:val="19"/>
                <w:szCs w:val="19"/>
                <w:color w:val="auto"/>
              </w:rPr>
            </w:pPr>
          </w:p>
        </w:tc>
        <w:tc>
          <w:tcPr>
            <w:tcW w:w="1240" w:type="dxa"/>
            <w:vAlign w:val="bottom"/>
          </w:tcPr>
          <w:p>
            <w:pPr>
              <w:jc w:val="center"/>
              <w:ind w:right="99"/>
              <w:spacing w:after="0"/>
              <w:rPr>
                <w:sz w:val="20"/>
                <w:szCs w:val="20"/>
                <w:color w:val="auto"/>
              </w:rPr>
            </w:pPr>
            <w:r>
              <w:rPr>
                <w:rFonts w:ascii="Arial" w:cs="Arial" w:eastAsia="Arial" w:hAnsi="Arial"/>
                <w:sz w:val="16"/>
                <w:szCs w:val="16"/>
                <w:b w:val="1"/>
                <w:bCs w:val="1"/>
                <w:color w:val="auto"/>
              </w:rPr>
              <w:t>Derivatives</w:t>
            </w:r>
          </w:p>
        </w:tc>
        <w:tc>
          <w:tcPr>
            <w:tcW w:w="0" w:type="dxa"/>
            <w:vAlign w:val="bottom"/>
          </w:tcPr>
          <w:p>
            <w:pPr>
              <w:spacing w:after="0"/>
              <w:rPr>
                <w:sz w:val="1"/>
                <w:szCs w:val="1"/>
                <w:color w:val="auto"/>
              </w:rPr>
            </w:pPr>
          </w:p>
        </w:tc>
      </w:tr>
      <w:tr>
        <w:trPr>
          <w:trHeight w:val="251"/>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1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7"/>
        </w:trPr>
        <w:tc>
          <w:tcPr>
            <w:tcW w:w="4220" w:type="dxa"/>
            <w:vAlign w:val="bottom"/>
          </w:tcPr>
          <w:p>
            <w:pPr>
              <w:ind w:left="12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4"/>
                <w:szCs w:val="24"/>
                <w:color w:val="auto"/>
              </w:rPr>
            </w:pP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23"/>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220" w:type="dxa"/>
            <w:vAlign w:val="bottom"/>
          </w:tcPr>
          <w:p>
            <w:pPr>
              <w:ind w:left="1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(b)</w:t>
            </w:r>
          </w:p>
        </w:tc>
        <w:tc>
          <w:tcPr>
            <w:tcW w:w="1160" w:type="dxa"/>
            <w:vAlign w:val="bottom"/>
          </w:tcPr>
          <w:p>
            <w:pPr>
              <w:spacing w:after="0"/>
              <w:rPr>
                <w:sz w:val="24"/>
                <w:szCs w:val="2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4"/>
                <w:szCs w:val="24"/>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4220" w:type="dxa"/>
            <w:vAlign w:val="bottom"/>
          </w:tcPr>
          <w:p>
            <w:pPr>
              <w:ind w:left="120"/>
              <w:spacing w:after="0" w:line="219"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(c)</w:t>
            </w:r>
          </w:p>
        </w:tc>
        <w:tc>
          <w:tcPr>
            <w:tcW w:w="1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1"/>
        </w:trPr>
        <w:tc>
          <w:tcPr>
            <w:tcW w:w="4220" w:type="dxa"/>
            <w:vAlign w:val="bottom"/>
          </w:tcPr>
          <w:p>
            <w:pPr>
              <w:ind w:left="12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2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500" w:right="200"/>
        <w:spacing w:after="0" w:line="237" w:lineRule="auto"/>
        <w:rPr>
          <w:sz w:val="20"/>
          <w:szCs w:val="20"/>
          <w:color w:val="auto"/>
        </w:rPr>
      </w:pPr>
      <w:r>
        <w:rPr>
          <w:rFonts w:ascii="Arial" w:cs="Arial" w:eastAsia="Arial" w:hAnsi="Arial"/>
          <w:sz w:val="14"/>
          <w:szCs w:val="14"/>
          <w:color w:val="auto"/>
        </w:rPr>
        <w:t>Amounts in this table exclude derivatives issued by Avis Budget Rental Car Funding; however, certain amounts related to the derivatives held by Avis Budget Rental Car Funding are included within accumulated other comprehensive income (loss).</w:t>
      </w:r>
    </w:p>
    <w:p>
      <w:pPr>
        <w:ind w:left="820" w:hanging="326"/>
        <w:spacing w:after="0" w:line="195" w:lineRule="auto"/>
        <w:tabs>
          <w:tab w:leader="none" w:pos="82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Included in other non-current assets or other non-current liabilities.</w:t>
      </w:r>
    </w:p>
    <w:p>
      <w:pPr>
        <w:ind w:left="820" w:hanging="326"/>
        <w:spacing w:after="0" w:line="187" w:lineRule="auto"/>
        <w:tabs>
          <w:tab w:leader="none" w:pos="82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Included in assets under vehicle programs or liabilities under vehicle programs.</w:t>
      </w:r>
    </w:p>
    <w:p>
      <w:pPr>
        <w:ind w:left="820" w:hanging="326"/>
        <w:spacing w:after="0" w:line="199" w:lineRule="auto"/>
        <w:tabs>
          <w:tab w:leader="none" w:pos="82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or other current liabilities.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40"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the Company’s Consolidated Condensed Financial Statements were as follows:</w:t>
      </w:r>
    </w:p>
    <w:p>
      <w:pPr>
        <w:spacing w:after="0" w:line="154" w:lineRule="exact"/>
        <w:rPr>
          <w:sz w:val="20"/>
          <w:szCs w:val="20"/>
          <w:color w:val="auto"/>
        </w:rPr>
      </w:pPr>
    </w:p>
    <w:p>
      <w:pPr>
        <w:ind w:left="8520"/>
        <w:spacing w:after="0"/>
        <w:rPr>
          <w:sz w:val="20"/>
          <w:szCs w:val="20"/>
          <w:color w:val="auto"/>
        </w:rPr>
      </w:pPr>
      <w:r>
        <w:rPr>
          <w:rFonts w:ascii="Arial" w:cs="Arial" w:eastAsia="Arial" w:hAnsi="Arial"/>
          <w:sz w:val="16"/>
          <w:szCs w:val="16"/>
          <w:b w:val="1"/>
          <w:bCs w:val="1"/>
          <w:color w:val="auto"/>
        </w:rPr>
        <w:t>Three Months Ended</w:t>
      </w:r>
    </w:p>
    <w:p>
      <w:pPr>
        <w:spacing w:after="0" w:line="25" w:lineRule="exact"/>
        <w:rPr>
          <w:sz w:val="20"/>
          <w:szCs w:val="20"/>
          <w:color w:val="auto"/>
        </w:rPr>
      </w:pPr>
    </w:p>
    <w:tbl>
      <w:tblPr>
        <w:tblLayout w:type="fixed"/>
        <w:tblInd w:w="520" w:type="dxa"/>
        <w:tblCellMar>
          <w:top w:w="0" w:type="dxa"/>
          <w:left w:w="0" w:type="dxa"/>
          <w:bottom w:w="0" w:type="dxa"/>
          <w:right w:w="0" w:type="dxa"/>
        </w:tblCellMar>
      </w:tblPr>
      <w:tr>
        <w:trPr>
          <w:trHeight w:val="214"/>
        </w:trPr>
        <w:tc>
          <w:tcPr>
            <w:tcW w:w="73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r>
      <w:tr>
        <w:trPr>
          <w:trHeight w:val="244"/>
        </w:trPr>
        <w:tc>
          <w:tcPr>
            <w:tcW w:w="7300" w:type="dxa"/>
            <w:vAlign w:val="bottom"/>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2018</w:t>
            </w:r>
          </w:p>
        </w:tc>
        <w:tc>
          <w:tcPr>
            <w:tcW w:w="4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r>
      <w:tr>
        <w:trPr>
          <w:trHeight w:val="326"/>
        </w:trPr>
        <w:tc>
          <w:tcPr>
            <w:tcW w:w="7300" w:type="dxa"/>
            <w:vAlign w:val="bottom"/>
          </w:tcPr>
          <w:p>
            <w:pPr>
              <w:spacing w:after="0"/>
              <w:rPr>
                <w:sz w:val="20"/>
                <w:szCs w:val="20"/>
                <w:color w:val="auto"/>
              </w:rPr>
            </w:pPr>
            <w:r>
              <w:rPr>
                <w:rFonts w:ascii="Arial" w:cs="Arial" w:eastAsia="Arial" w:hAnsi="Arial"/>
                <w:sz w:val="16"/>
                <w:szCs w:val="16"/>
                <w:b w:val="1"/>
                <w:bCs w:val="1"/>
                <w:color w:val="auto"/>
              </w:rPr>
              <w:t xml:space="preserve">Derivatives designated as hedging instruments </w:t>
            </w:r>
            <w:r>
              <w:rPr>
                <w:rFonts w:ascii="Arial" w:cs="Arial" w:eastAsia="Arial" w:hAnsi="Arial"/>
                <w:sz w:val="21"/>
                <w:szCs w:val="21"/>
                <w:b w:val="1"/>
                <w:bCs w:val="1"/>
                <w:color w:val="auto"/>
                <w:vertAlign w:val="superscript"/>
              </w:rPr>
              <w:t>(a)</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95"/>
        </w:trPr>
        <w:tc>
          <w:tcPr>
            <w:tcW w:w="7300" w:type="dxa"/>
            <w:vAlign w:val="bottom"/>
          </w:tcPr>
          <w:p>
            <w:pPr>
              <w:ind w:left="100"/>
              <w:spacing w:after="0"/>
              <w:rPr>
                <w:sz w:val="20"/>
                <w:szCs w:val="20"/>
                <w:color w:val="auto"/>
              </w:rPr>
            </w:pPr>
            <w:r>
              <w:rPr>
                <w:rFonts w:ascii="Arial" w:cs="Arial" w:eastAsia="Arial" w:hAnsi="Arial"/>
                <w:sz w:val="16"/>
                <w:szCs w:val="16"/>
                <w:color w:val="auto"/>
              </w:rPr>
              <w:t>Interest rate swaps</w:t>
            </w:r>
          </w:p>
        </w:tc>
        <w:tc>
          <w:tcPr>
            <w:tcW w:w="102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6"/>
                <w:szCs w:val="16"/>
                <w:color w:val="auto"/>
              </w:rPr>
            </w:pP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7300" w:type="dxa"/>
            <w:vAlign w:val="bottom"/>
          </w:tcPr>
          <w:p>
            <w:pPr>
              <w:ind w:left="100"/>
              <w:spacing w:after="0"/>
              <w:rPr>
                <w:sz w:val="20"/>
                <w:szCs w:val="20"/>
                <w:color w:val="auto"/>
              </w:rPr>
            </w:pPr>
            <w:r>
              <w:rPr>
                <w:rFonts w:ascii="Arial" w:cs="Arial" w:eastAsia="Arial" w:hAnsi="Arial"/>
                <w:sz w:val="16"/>
                <w:szCs w:val="16"/>
                <w:color w:val="auto"/>
              </w:rPr>
              <w:t>Euro-denominated notes</w:t>
            </w:r>
          </w:p>
        </w:tc>
        <w:tc>
          <w:tcPr>
            <w:tcW w:w="10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40"/>
        </w:trPr>
        <w:tc>
          <w:tcPr>
            <w:tcW w:w="7300" w:type="dxa"/>
            <w:vAlign w:val="bottom"/>
          </w:tcPr>
          <w:p>
            <w:pPr>
              <w:spacing w:after="0"/>
              <w:rPr>
                <w:sz w:val="20"/>
                <w:szCs w:val="20"/>
                <w:color w:val="auto"/>
              </w:rPr>
            </w:pPr>
            <w:r>
              <w:rPr>
                <w:rFonts w:ascii="Arial" w:cs="Arial" w:eastAsia="Arial" w:hAnsi="Arial"/>
                <w:sz w:val="16"/>
                <w:szCs w:val="16"/>
                <w:b w:val="1"/>
                <w:bCs w:val="1"/>
                <w:color w:val="auto"/>
              </w:rPr>
              <w:t xml:space="preserve">Derivatives not designated as hedging instruments </w:t>
            </w:r>
            <w:r>
              <w:rPr>
                <w:rFonts w:ascii="Arial" w:cs="Arial" w:eastAsia="Arial" w:hAnsi="Arial"/>
                <w:sz w:val="21"/>
                <w:szCs w:val="21"/>
                <w:b w:val="1"/>
                <w:bCs w:val="1"/>
                <w:color w:val="auto"/>
                <w:vertAlign w:val="superscript"/>
              </w:rPr>
              <w:t>(b)</w:t>
            </w: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7300" w:type="dxa"/>
            <w:vAlign w:val="bottom"/>
          </w:tcPr>
          <w:p>
            <w:pPr>
              <w:ind w:left="10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(c)</w:t>
            </w:r>
          </w:p>
        </w:tc>
        <w:tc>
          <w:tcPr>
            <w:tcW w:w="102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9"/>
        </w:trPr>
        <w:tc>
          <w:tcPr>
            <w:tcW w:w="7300" w:type="dxa"/>
            <w:vAlign w:val="bottom"/>
          </w:tcPr>
          <w:p>
            <w:pPr>
              <w:ind w:left="10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(d)</w:t>
            </w:r>
          </w:p>
        </w:tc>
        <w:tc>
          <w:tcPr>
            <w:tcW w:w="102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1"/>
        </w:trPr>
        <w:tc>
          <w:tcPr>
            <w:tcW w:w="7300" w:type="dxa"/>
            <w:vAlign w:val="bottom"/>
          </w:tcPr>
          <w:p>
            <w:pPr>
              <w:ind w:left="100"/>
              <w:spacing w:after="0"/>
              <w:rPr>
                <w:sz w:val="20"/>
                <w:szCs w:val="20"/>
                <w:color w:val="auto"/>
              </w:rPr>
            </w:pPr>
            <w:r>
              <w:rPr>
                <w:rFonts w:ascii="Arial" w:cs="Arial" w:eastAsia="Arial" w:hAnsi="Arial"/>
                <w:sz w:val="16"/>
                <w:szCs w:val="16"/>
                <w:color w:val="auto"/>
              </w:rPr>
              <w:t>Total</w:t>
            </w:r>
          </w:p>
        </w:tc>
        <w:tc>
          <w:tcPr>
            <w:tcW w:w="10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4970780</wp:posOffset>
            </wp:positionH>
            <wp:positionV relativeFrom="paragraph">
              <wp:posOffset>3810</wp:posOffset>
            </wp:positionV>
            <wp:extent cx="190373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03730" cy="26035"/>
                    </a:xfrm>
                    <a:prstGeom prst="rect">
                      <a:avLst/>
                    </a:prstGeom>
                    <a:noFill/>
                  </pic:spPr>
                </pic:pic>
              </a:graphicData>
            </a:graphic>
          </wp:anchor>
        </w:drawing>
      </w:r>
    </w:p>
    <w:p>
      <w:pPr>
        <w:spacing w:after="0" w:line="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04" w:lineRule="auto"/>
        <w:tabs>
          <w:tab w:leader="none" w:pos="82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Recognized, net of tax, as a component of other comprehensive income (loss) within stockholders’ equity.</w:t>
      </w:r>
    </w:p>
    <w:p>
      <w:pPr>
        <w:ind w:left="820" w:hanging="326"/>
        <w:spacing w:after="0" w:line="187" w:lineRule="auto"/>
        <w:tabs>
          <w:tab w:leader="none" w:pos="82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ind w:left="820" w:right="140" w:hanging="326"/>
        <w:spacing w:after="0" w:line="211" w:lineRule="auto"/>
        <w:tabs>
          <w:tab w:leader="none" w:pos="82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March 31, 2018, included a $13 million loss in interest expense and a $4 million gain in operating expense. For the three months ended March 31, 2017, included a $7 million loss in interest expense and a $5 million loss in operating expense.</w:t>
      </w:r>
    </w:p>
    <w:p>
      <w:pPr>
        <w:ind w:left="820" w:hanging="326"/>
        <w:spacing w:after="0" w:line="199" w:lineRule="auto"/>
        <w:tabs>
          <w:tab w:leader="none" w:pos="82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Included in operating expense.</w:t>
      </w:r>
    </w:p>
    <w:p>
      <w:pPr>
        <w:spacing w:after="0" w:line="17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were as follows: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599"/>
              <w:spacing w:after="0"/>
              <w:rPr>
                <w:sz w:val="20"/>
                <w:szCs w:val="20"/>
                <w:color w:val="auto"/>
              </w:rPr>
            </w:pPr>
            <w:r>
              <w:rPr>
                <w:rFonts w:ascii="Arial" w:cs="Arial" w:eastAsia="Arial" w:hAnsi="Arial"/>
                <w:sz w:val="16"/>
                <w:szCs w:val="16"/>
                <w:b w:val="1"/>
                <w:bCs w:val="1"/>
                <w:color w:val="auto"/>
              </w:rPr>
              <w:t>As of March 31, 2018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As of December 31, 2017</w:t>
            </w:r>
          </w:p>
        </w:tc>
      </w:tr>
      <w:tr>
        <w:trPr>
          <w:trHeight w:val="198"/>
        </w:trPr>
        <w:tc>
          <w:tcPr>
            <w:tcW w:w="4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Estimated</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Estimated</w:t>
            </w:r>
          </w:p>
        </w:tc>
      </w:tr>
      <w:tr>
        <w:trPr>
          <w:trHeight w:val="189"/>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Fair</w:t>
            </w:r>
          </w:p>
        </w:tc>
      </w:tr>
      <w:tr>
        <w:trPr>
          <w:trHeight w:val="228"/>
        </w:trPr>
        <w:tc>
          <w:tcPr>
            <w:tcW w:w="4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Value</w:t>
            </w:r>
          </w:p>
        </w:tc>
        <w:tc>
          <w:tcPr>
            <w:tcW w:w="26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r>
      <w:tr>
        <w:trPr>
          <w:trHeight w:val="251"/>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Corporate debt</w:t>
            </w:r>
          </w:p>
        </w:tc>
        <w:tc>
          <w:tcPr>
            <w:tcW w:w="2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70"/>
        </w:trPr>
        <w:tc>
          <w:tcPr>
            <w:tcW w:w="4240" w:type="dxa"/>
            <w:vAlign w:val="bottom"/>
          </w:tcPr>
          <w:p>
            <w:pPr>
              <w:ind w:left="120"/>
              <w:spacing w:after="0"/>
              <w:rPr>
                <w:sz w:val="20"/>
                <w:szCs w:val="20"/>
                <w:color w:val="auto"/>
              </w:rPr>
            </w:pPr>
            <w:r>
              <w:rPr>
                <w:rFonts w:ascii="Arial" w:cs="Arial" w:eastAsia="Arial" w:hAnsi="Arial"/>
                <w:sz w:val="16"/>
                <w:szCs w:val="16"/>
                <w:color w:val="auto"/>
              </w:rPr>
              <w:t>Short-term debt and current portion of long-term debt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70"/>
        </w:trPr>
        <w:tc>
          <w:tcPr>
            <w:tcW w:w="4240" w:type="dxa"/>
            <w:vAlign w:val="bottom"/>
          </w:tcPr>
          <w:p>
            <w:pPr>
              <w:ind w:left="12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3,581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3,648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3,573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3,677</w:t>
            </w:r>
          </w:p>
        </w:tc>
      </w:tr>
      <w:tr>
        <w:trPr>
          <w:trHeight w:val="500"/>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Debt under vehicle programs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4240" w:type="dxa"/>
            <w:vAlign w:val="bottom"/>
          </w:tcPr>
          <w:p>
            <w:pPr>
              <w:ind w:left="120"/>
              <w:spacing w:after="0"/>
              <w:rPr>
                <w:sz w:val="20"/>
                <w:szCs w:val="20"/>
                <w:color w:val="auto"/>
              </w:rPr>
            </w:pPr>
            <w:r>
              <w:rPr>
                <w:rFonts w:ascii="Arial" w:cs="Arial" w:eastAsia="Arial" w:hAnsi="Arial"/>
                <w:sz w:val="16"/>
                <w:szCs w:val="16"/>
                <w:color w:val="auto"/>
              </w:rPr>
              <w:t>Vehicle-backed debt due to Avis Budget Rental Car</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5"/>
        </w:trPr>
        <w:tc>
          <w:tcPr>
            <w:tcW w:w="4240" w:type="dxa"/>
            <w:vAlign w:val="bottom"/>
          </w:tcPr>
          <w:p>
            <w:pPr>
              <w:ind w:left="300"/>
              <w:spacing w:after="0"/>
              <w:rPr>
                <w:sz w:val="20"/>
                <w:szCs w:val="20"/>
                <w:color w:val="auto"/>
              </w:rPr>
            </w:pPr>
            <w:r>
              <w:rPr>
                <w:rFonts w:ascii="Arial" w:cs="Arial" w:eastAsia="Arial" w:hAnsi="Arial"/>
                <w:sz w:val="16"/>
                <w:szCs w:val="16"/>
                <w:color w:val="auto"/>
              </w:rPr>
              <w:t>Funding</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7,754</w:t>
            </w:r>
          </w:p>
        </w:tc>
        <w:tc>
          <w:tcPr>
            <w:tcW w:w="12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7,762</w:t>
            </w:r>
          </w:p>
        </w:tc>
        <w:tc>
          <w:tcPr>
            <w:tcW w:w="100" w:type="dxa"/>
            <w:vAlign w:val="bottom"/>
          </w:tcPr>
          <w:p>
            <w:pPr>
              <w:spacing w:after="0"/>
              <w:rPr>
                <w:sz w:val="16"/>
                <w:szCs w:val="16"/>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6,480</w:t>
            </w:r>
          </w:p>
        </w:tc>
        <w:tc>
          <w:tcPr>
            <w:tcW w:w="10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6,537</w:t>
            </w:r>
          </w:p>
        </w:tc>
      </w:tr>
      <w:tr>
        <w:trPr>
          <w:trHeight w:val="270"/>
        </w:trPr>
        <w:tc>
          <w:tcPr>
            <w:tcW w:w="4240" w:type="dxa"/>
            <w:vAlign w:val="bottom"/>
          </w:tcPr>
          <w:p>
            <w:pPr>
              <w:ind w:left="120"/>
              <w:spacing w:after="0"/>
              <w:rPr>
                <w:sz w:val="20"/>
                <w:szCs w:val="20"/>
                <w:color w:val="auto"/>
              </w:rPr>
            </w:pPr>
            <w:r>
              <w:rPr>
                <w:rFonts w:ascii="Arial" w:cs="Arial" w:eastAsia="Arial" w:hAnsi="Arial"/>
                <w:sz w:val="16"/>
                <w:szCs w:val="16"/>
                <w:color w:val="auto"/>
              </w:rPr>
              <w:t>Vehicle-backed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2,625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2,627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2,740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2,745</w:t>
            </w:r>
          </w:p>
        </w:tc>
      </w:tr>
      <w:tr>
        <w:trPr>
          <w:trHeight w:val="289"/>
        </w:trPr>
        <w:tc>
          <w:tcPr>
            <w:tcW w:w="4240" w:type="dxa"/>
            <w:vAlign w:val="bottom"/>
          </w:tcPr>
          <w:p>
            <w:pPr>
              <w:ind w:left="12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__________</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ind w:left="820" w:hanging="326"/>
        <w:spacing w:after="0" w:line="205" w:lineRule="auto"/>
        <w:tabs>
          <w:tab w:leader="none" w:pos="820" w:val="left"/>
        </w:tabs>
        <w:numPr>
          <w:ilvl w:val="1"/>
          <w:numId w:val="36"/>
        </w:numPr>
        <w:rPr>
          <w:rFonts w:ascii="Arial" w:cs="Arial" w:eastAsia="Arial" w:hAnsi="Arial"/>
          <w:sz w:val="18"/>
          <w:szCs w:val="18"/>
          <w:color w:val="auto"/>
          <w:vertAlign w:val="superscript"/>
        </w:rPr>
      </w:pPr>
      <w:r>
        <w:rPr>
          <w:rFonts w:ascii="Arial" w:cs="Arial" w:eastAsia="Arial" w:hAnsi="Arial"/>
          <w:sz w:val="14"/>
          <w:szCs w:val="14"/>
          <w:color w:val="auto"/>
        </w:rPr>
        <w:t>Derivatives in a liability position.</w:t>
      </w:r>
    </w:p>
    <w:p>
      <w:pPr>
        <w:spacing w:after="0" w:line="124"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47" w:lineRule="exact"/>
        <w:rPr>
          <w:rFonts w:ascii="Arial" w:cs="Arial" w:eastAsia="Arial" w:hAnsi="Arial"/>
          <w:sz w:val="18"/>
          <w:szCs w:val="18"/>
          <w:b w:val="1"/>
          <w:bCs w:val="1"/>
          <w:color w:val="auto"/>
        </w:rPr>
      </w:pPr>
    </w:p>
    <w:p>
      <w:pPr>
        <w:ind w:left="500" w:right="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Company’s chief operating decision-maker assesses performance and allocates resources based upon the separate financial information from each of the Company’s operating segments. In identifying its reportable segments, the Company considered the nature of services provided, the geographical areas in which the segments operated and other relevant factors. The Company aggregates certain of its operating segments into its reportable segments.</w:t>
      </w:r>
    </w:p>
    <w:p>
      <w:pPr>
        <w:spacing w:after="0" w:line="204" w:lineRule="exact"/>
        <w:rPr>
          <w:rFonts w:ascii="Arial" w:cs="Arial" w:eastAsia="Arial" w:hAnsi="Arial"/>
          <w:sz w:val="18"/>
          <w:szCs w:val="18"/>
          <w:b w:val="1"/>
          <w:bCs w:val="1"/>
          <w:color w:val="auto"/>
        </w:rPr>
      </w:pPr>
    </w:p>
    <w:p>
      <w:pPr>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operating results of each of its reportable segments based upon revenues and “Adjusted EBITDA,” which the Company defines as income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legal matters, non-operational charges related to shareholder activist activity and income taxes. Net charges for unprecedented personal-injury legal matters are recorded within operating expenses in the Company’s Consolidated Condensed Statement of Comprehensive Income. The</w:t>
      </w: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140"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180"/>
        <w:spacing w:after="0" w:line="271" w:lineRule="auto"/>
        <w:rPr>
          <w:sz w:val="20"/>
          <w:szCs w:val="20"/>
          <w:color w:val="auto"/>
        </w:rPr>
      </w:pPr>
      <w:r>
        <w:rPr>
          <w:rFonts w:ascii="Arial" w:cs="Arial" w:eastAsia="Arial" w:hAnsi="Arial"/>
          <w:sz w:val="17"/>
          <w:szCs w:val="17"/>
          <w:color w:val="auto"/>
        </w:rPr>
        <w:t>Company has revised its definition of Adjusted EBITDA to exclude non-operational charges related to shareholder activist activity. Non-operational charges related to shareholder activist activity include third party advisory, legal and other professional service fees and are recorded within selling, general and administrative expenses in the Company’s Consolidated Condensed Statement of Comprehensive Income. The Company did not revise prior years’ Adjusted EBITDA amounts because there were no costs similar in nature to these costs. The Company’s presentation of Adjusted EBITDA may not be comparable to similarly-titled measures used by other companies.</w:t>
      </w:r>
    </w:p>
    <w:p>
      <w:pPr>
        <w:spacing w:after="0" w:line="130"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45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rPr>
              <w:t>Three Months Ended March 31,</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64"/>
        </w:trPr>
        <w:tc>
          <w:tcPr>
            <w:tcW w:w="45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120" w:type="dxa"/>
            <w:vAlign w:val="bottom"/>
            <w:tcBorders>
              <w:bottom w:val="single" w:sz="8" w:color="auto"/>
            </w:tcBorders>
          </w:tcPr>
          <w:p>
            <w:pPr>
              <w:spacing w:after="0"/>
              <w:rPr>
                <w:sz w:val="22"/>
                <w:szCs w:val="22"/>
                <w:color w:val="auto"/>
              </w:rPr>
            </w:pPr>
          </w:p>
        </w:tc>
      </w:tr>
      <w:tr>
        <w:trPr>
          <w:trHeight w:val="207"/>
        </w:trPr>
        <w:tc>
          <w:tcPr>
            <w:tcW w:w="4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Adjusted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Adjusted</w:t>
            </w:r>
          </w:p>
        </w:tc>
      </w:tr>
      <w:tr>
        <w:trPr>
          <w:trHeight w:val="246"/>
        </w:trPr>
        <w:tc>
          <w:tcPr>
            <w:tcW w:w="45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rPr>
              <w:t>EBITDA</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rPr>
              <w:t>EBITDA</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1,348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83"/>
        </w:trPr>
        <w:tc>
          <w:tcPr>
            <w:tcW w:w="4520" w:type="dxa"/>
            <w:vAlign w:val="bottom"/>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8"/>
                <w:szCs w:val="18"/>
                <w:color w:val="auto"/>
                <w:vertAlign w:val="superscript"/>
              </w:rPr>
              <w:t>(a)</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4520" w:type="dxa"/>
            <w:vAlign w:val="bottom"/>
          </w:tcPr>
          <w:p>
            <w:pPr>
              <w:ind w:left="400"/>
              <w:spacing w:after="0"/>
              <w:rPr>
                <w:sz w:val="20"/>
                <w:szCs w:val="20"/>
                <w:color w:val="auto"/>
              </w:rPr>
            </w:pPr>
            <w:r>
              <w:rPr>
                <w:rFonts w:ascii="Arial" w:cs="Arial" w:eastAsia="Arial" w:hAnsi="Arial"/>
                <w:sz w:val="18"/>
                <w:szCs w:val="18"/>
                <w:color w:val="auto"/>
              </w:rPr>
              <w:t>Total Company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45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74"/>
        </w:trPr>
        <w:tc>
          <w:tcPr>
            <w:tcW w:w="6000" w:type="dxa"/>
            <w:vAlign w:val="bottom"/>
            <w:gridSpan w:val="4"/>
          </w:tcPr>
          <w:p>
            <w:pPr>
              <w:spacing w:after="0"/>
              <w:rPr>
                <w:sz w:val="20"/>
                <w:szCs w:val="20"/>
                <w:color w:val="auto"/>
              </w:rPr>
            </w:pPr>
            <w:r>
              <w:rPr>
                <w:rFonts w:ascii="Arial" w:cs="Arial" w:eastAsia="Arial" w:hAnsi="Arial"/>
                <w:sz w:val="18"/>
                <w:szCs w:val="18"/>
                <w:b w:val="1"/>
                <w:bCs w:val="1"/>
                <w:color w:val="auto"/>
              </w:rPr>
              <w:t>Reconciliation of Adjusted EBITDA to loss before income taxes</w:t>
            </w: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43"/>
        </w:trPr>
        <w:tc>
          <w:tcPr>
            <w:tcW w:w="4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8890</wp:posOffset>
            </wp:positionV>
            <wp:extent cx="8661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8890</wp:posOffset>
            </wp:positionV>
            <wp:extent cx="8661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Adjusted EBITDA</w:t>
      </w:r>
    </w:p>
    <w:p>
      <w:pPr>
        <w:spacing w:after="0" w:line="63" w:lineRule="exact"/>
        <w:rPr>
          <w:sz w:val="20"/>
          <w:szCs w:val="20"/>
          <w:color w:val="auto"/>
        </w:rPr>
      </w:pPr>
    </w:p>
    <w:p>
      <w:pPr>
        <w:ind w:left="520"/>
        <w:spacing w:after="0"/>
        <w:tabs>
          <w:tab w:leader="none" w:pos="1300" w:val="left"/>
        </w:tabs>
        <w:rPr>
          <w:sz w:val="20"/>
          <w:szCs w:val="20"/>
          <w:color w:val="auto"/>
        </w:rPr>
      </w:pPr>
      <w:r>
        <w:rPr>
          <w:rFonts w:ascii="Arial" w:cs="Arial" w:eastAsia="Arial" w:hAnsi="Arial"/>
          <w:sz w:val="18"/>
          <w:szCs w:val="18"/>
          <w:color w:val="auto"/>
        </w:rPr>
        <w:t>Less:</w:t>
      </w:r>
      <w:r>
        <w:rPr>
          <w:sz w:val="20"/>
          <w:szCs w:val="20"/>
          <w:color w:val="auto"/>
        </w:rPr>
        <w:tab/>
      </w:r>
      <w:r>
        <w:rPr>
          <w:rFonts w:ascii="Arial" w:cs="Arial" w:eastAsia="Arial" w:hAnsi="Arial"/>
          <w:sz w:val="18"/>
          <w:szCs w:val="18"/>
          <w:color w:val="auto"/>
        </w:rPr>
        <w:t>Non-vehicle related depreciation and amortization</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Interest expense related to corporate debt, net:</w:t>
      </w:r>
    </w:p>
    <w:p>
      <w:pPr>
        <w:spacing w:after="0" w:line="6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Early extinguishment of debt</w:t>
      </w:r>
    </w:p>
    <w:p>
      <w:pPr>
        <w:spacing w:after="0" w:line="50"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Non-operational charges related to shareholder activist activity</w:t>
      </w:r>
    </w:p>
    <w:p>
      <w:pPr>
        <w:spacing w:after="0" w:line="7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Restructuring and other related charges</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Transaction-related costs, net</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Charges for legal matter, net</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Loss before income taxes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580" w:type="dxa"/>
            <w:vAlign w:val="bottom"/>
          </w:tcPr>
          <w:p>
            <w:pPr>
              <w:spacing w:after="0"/>
              <w:rPr>
                <w:sz w:val="18"/>
                <w:szCs w:val="18"/>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5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540"/>
        </w:trPr>
        <w:tc>
          <w:tcPr>
            <w:tcW w:w="520" w:type="dxa"/>
            <w:vAlign w:val="bottom"/>
          </w:tcPr>
          <w:p>
            <w:pPr>
              <w:spacing w:after="0"/>
              <w:rPr>
                <w:sz w:val="24"/>
                <w:szCs w:val="24"/>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5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5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5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5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7"/>
        </w:trPr>
        <w:tc>
          <w:tcPr>
            <w:tcW w:w="520" w:type="dxa"/>
            <w:vAlign w:val="bottom"/>
          </w:tcPr>
          <w:p>
            <w:pPr>
              <w:spacing w:after="0"/>
              <w:rPr>
                <w:sz w:val="24"/>
                <w:szCs w:val="24"/>
                <w:color w:val="auto"/>
              </w:rPr>
            </w:pPr>
          </w:p>
        </w:tc>
        <w:tc>
          <w:tcPr>
            <w:tcW w:w="2420" w:type="dxa"/>
            <w:vAlign w:val="bottom"/>
            <w:gridSpan w:val="2"/>
          </w:tcPr>
          <w:p>
            <w:pPr>
              <w:jc w:val="right"/>
              <w:ind w:right="16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580" w:type="dxa"/>
            <w:vAlign w:val="bottom"/>
          </w:tcPr>
          <w:p>
            <w:pPr>
              <w:spacing w:after="0"/>
              <w:rPr>
                <w:sz w:val="21"/>
                <w:szCs w:val="21"/>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1868170</wp:posOffset>
            </wp:positionH>
            <wp:positionV relativeFrom="paragraph">
              <wp:posOffset>8890</wp:posOffset>
            </wp:positionV>
            <wp:extent cx="8661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1868170</wp:posOffset>
            </wp:positionH>
            <wp:positionV relativeFrom="paragraph">
              <wp:posOffset>26035</wp:posOffset>
            </wp:positionV>
            <wp:extent cx="8661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8890</wp:posOffset>
            </wp:positionV>
            <wp:extent cx="8661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26035</wp:posOffset>
            </wp:positionV>
            <wp:extent cx="8661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6300" w:space="220"/>
            <w:col w:w="4900"/>
          </w:cols>
          <w:pgMar w:left="240" w:top="140" w:right="23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05" w:lineRule="auto"/>
        <w:tabs>
          <w:tab w:leader="none" w:pos="82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spacing w:after="0" w:line="147" w:lineRule="exact"/>
        <w:rPr>
          <w:sz w:val="20"/>
          <w:szCs w:val="20"/>
          <w:color w:val="auto"/>
        </w:rPr>
      </w:pPr>
    </w:p>
    <w:p>
      <w:pPr>
        <w:ind w:left="500" w:right="100"/>
        <w:spacing w:after="0" w:line="254" w:lineRule="auto"/>
        <w:rPr>
          <w:sz w:val="20"/>
          <w:szCs w:val="20"/>
          <w:color w:val="auto"/>
        </w:rPr>
      </w:pPr>
      <w:r>
        <w:rPr>
          <w:rFonts w:ascii="Arial" w:cs="Arial" w:eastAsia="Arial" w:hAnsi="Arial"/>
          <w:sz w:val="18"/>
          <w:szCs w:val="18"/>
          <w:color w:val="auto"/>
        </w:rPr>
        <w:t>Since December 31, 2017, there have been no significant changes in segment assets exclusive of assets under vehicle programs. As of March 31, 2018 and December 31, 2017, Americas assets under vehicle programs were approximately $10.2 billion and $9.0 billion, respectively, due to seasonality. As of March 31, 2018 and December 31, 2017, International assets under vehicle programs were approximately $3.1 billion and $2.9 billion, respectively, due to seasonality.</w:t>
      </w:r>
    </w:p>
    <w:p>
      <w:pPr>
        <w:spacing w:after="0" w:line="182"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and Non-Guarantor Consolidating Condensed Financial Statements</w:t>
      </w:r>
    </w:p>
    <w:p>
      <w:pPr>
        <w:spacing w:after="0" w:line="247" w:lineRule="exact"/>
        <w:rPr>
          <w:rFonts w:ascii="Arial" w:cs="Arial" w:eastAsia="Arial" w:hAnsi="Arial"/>
          <w:sz w:val="18"/>
          <w:szCs w:val="18"/>
          <w:b w:val="1"/>
          <w:bCs w:val="1"/>
          <w:color w:val="auto"/>
        </w:rPr>
      </w:pPr>
    </w:p>
    <w:p>
      <w:pPr>
        <w:ind w:left="500" w:right="8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following consolidating financial information presents Consolidating Condensed Statements of Comprehensive Income for the three months ended March 31, 2018 and 2017, Consolidating Condensed Balance Sheets as of March 31, 2018 and December 31, 2017, and Consolidating Condensed Statements of Cash Flows for the three months ended March 31, 2018 and 2017 for: (i) Avis Budget Group, Inc. (the “Parent”); (ii) ABCR and Avis Budget Finance, Inc. (the “Subsidiary Issuers”); (iii) the guarantor subsidiaries; (iv) the non-guarantor subsidiaries; (v) elimination entries necessary to consolidate the Parent with the Subsidiary Issuers, and the guarantor and non-guarantor subsidiaries; and (vi) the Company on a consolidated basis. The Subsidiary Issuers and the guarantor and non-guarantor subsidiaries are 100% owned by the Parent, either directly or indirectly. All guarantees are full and unconditional and joint and several. This financial information is being presented in relation to the Company’s guarantee of the payment of principal, premium (if any) and interest on the notes issued by the Subsidiary Issuers. See Note 11 - Long-term Corporate Debt and Borrowing Arrangements for additional description of these guaranteed notes. The Senior Notes are guaranteed by the Parent and certain subsidiaries.</w:t>
      </w:r>
    </w:p>
    <w:p>
      <w:pPr>
        <w:spacing w:after="0" w:line="212"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Investments in subsidiaries are accounted for using the equity method of accounting for purposes of the consolidating presentation. The principal elimination entries relate to investments in subsidiaries and intercompany balances and transactions. For purposes of the accompanying Consolidating Condensed Statements of Comprehensive Income, certain expenses incurred by the Subsidiary Issuers are allocated to</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0"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guarantor and non-guarantor subsidiaries.</w:t>
      </w:r>
    </w:p>
    <w:p>
      <w:pPr>
        <w:spacing w:after="0" w:line="225"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The following tables provide the impact of adoption of ASU 2016-18 on the Company’s Consolidating Condensed Statements of Cash Flows for the three months ended March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142240</wp:posOffset>
            </wp:positionV>
            <wp:extent cx="40646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64635" cy="8890"/>
                    </a:xfrm>
                    <a:prstGeom prst="rect">
                      <a:avLst/>
                    </a:prstGeom>
                    <a:noFill/>
                  </pic:spPr>
                </pic:pic>
              </a:graphicData>
            </a:graphic>
          </wp:anchor>
        </w:drawing>
      </w:r>
    </w:p>
    <w:p>
      <w:pPr>
        <w:spacing w:after="0" w:line="290" w:lineRule="exact"/>
        <w:rPr>
          <w:sz w:val="20"/>
          <w:szCs w:val="20"/>
          <w:color w:val="auto"/>
        </w:rPr>
      </w:pPr>
    </w:p>
    <w:tbl>
      <w:tblPr>
        <w:tblLayout w:type="fixed"/>
        <w:tblInd w:w="820" w:type="dxa"/>
        <w:tblCellMar>
          <w:top w:w="0" w:type="dxa"/>
          <w:left w:w="0" w:type="dxa"/>
          <w:bottom w:w="0" w:type="dxa"/>
          <w:right w:w="0" w:type="dxa"/>
        </w:tblCellMar>
      </w:tblPr>
      <w:tr>
        <w:trPr>
          <w:trHeight w:val="178"/>
        </w:trPr>
        <w:tc>
          <w:tcPr>
            <w:tcW w:w="39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rPr>
              <w:t>Three Months Ended March 31, 2017</w:t>
            </w: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900" w:type="dxa"/>
            <w:vAlign w:val="bottom"/>
          </w:tcPr>
          <w:p>
            <w:pPr>
              <w:spacing w:after="0"/>
              <w:rPr>
                <w:sz w:val="12"/>
                <w:szCs w:val="12"/>
                <w:color w:val="auto"/>
              </w:rPr>
            </w:pPr>
          </w:p>
        </w:tc>
        <w:tc>
          <w:tcPr>
            <w:tcW w:w="1080" w:type="dxa"/>
            <w:vAlign w:val="bottom"/>
            <w:gridSpan w:val="3"/>
          </w:tcPr>
          <w:p>
            <w:pPr>
              <w:ind w:left="60"/>
              <w:spacing w:after="0" w:line="140" w:lineRule="exact"/>
              <w:rPr>
                <w:sz w:val="20"/>
                <w:szCs w:val="20"/>
                <w:color w:val="auto"/>
              </w:rPr>
            </w:pPr>
            <w:r>
              <w:rPr>
                <w:rFonts w:ascii="Arial" w:cs="Arial" w:eastAsia="Arial" w:hAnsi="Arial"/>
                <w:sz w:val="13"/>
                <w:szCs w:val="13"/>
                <w:b w:val="1"/>
                <w:bCs w:val="1"/>
                <w:color w:val="auto"/>
              </w:rPr>
              <w:t>As Previously</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3"/>
          </w:tcPr>
          <w:p>
            <w:pPr>
              <w:jc w:val="center"/>
              <w:ind w:right="400"/>
              <w:spacing w:after="0" w:line="140" w:lineRule="exact"/>
              <w:rPr>
                <w:sz w:val="20"/>
                <w:szCs w:val="20"/>
                <w:color w:val="auto"/>
              </w:rPr>
            </w:pPr>
            <w:r>
              <w:rPr>
                <w:rFonts w:ascii="Arial" w:cs="Arial" w:eastAsia="Arial" w:hAnsi="Arial"/>
                <w:sz w:val="13"/>
                <w:szCs w:val="13"/>
                <w:b w:val="1"/>
                <w:bCs w:val="1"/>
                <w:color w:val="auto"/>
                <w:w w:val="97"/>
              </w:rPr>
              <w:t>As Adjusted</w:t>
            </w:r>
          </w:p>
        </w:tc>
        <w:tc>
          <w:tcPr>
            <w:tcW w:w="1020" w:type="dxa"/>
            <w:vAlign w:val="bottom"/>
            <w:gridSpan w:val="3"/>
          </w:tcPr>
          <w:p>
            <w:pPr>
              <w:ind w:left="40"/>
              <w:spacing w:after="0" w:line="140" w:lineRule="exact"/>
              <w:rPr>
                <w:sz w:val="20"/>
                <w:szCs w:val="20"/>
                <w:color w:val="auto"/>
              </w:rPr>
            </w:pPr>
            <w:r>
              <w:rPr>
                <w:rFonts w:ascii="Arial" w:cs="Arial" w:eastAsia="Arial" w:hAnsi="Arial"/>
                <w:sz w:val="13"/>
                <w:szCs w:val="13"/>
                <w:b w:val="1"/>
                <w:bCs w:val="1"/>
                <w:color w:val="auto"/>
              </w:rPr>
              <w:t>As Previously</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10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Reported Non-</w:t>
            </w:r>
          </w:p>
        </w:tc>
        <w:tc>
          <w:tcPr>
            <w:tcW w:w="16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Effect of</w:t>
            </w:r>
          </w:p>
        </w:tc>
        <w:tc>
          <w:tcPr>
            <w:tcW w:w="140" w:type="dxa"/>
            <w:vAlign w:val="bottom"/>
          </w:tcPr>
          <w:p>
            <w:pPr>
              <w:spacing w:after="0"/>
              <w:rPr>
                <w:sz w:val="11"/>
                <w:szCs w:val="11"/>
                <w:color w:val="auto"/>
              </w:rPr>
            </w:pPr>
          </w:p>
        </w:tc>
        <w:tc>
          <w:tcPr>
            <w:tcW w:w="1200" w:type="dxa"/>
            <w:vAlign w:val="bottom"/>
            <w:gridSpan w:val="2"/>
          </w:tcPr>
          <w:p>
            <w:pPr>
              <w:jc w:val="center"/>
              <w:ind w:right="540"/>
              <w:spacing w:after="0" w:line="135" w:lineRule="exact"/>
              <w:rPr>
                <w:sz w:val="20"/>
                <w:szCs w:val="20"/>
                <w:color w:val="auto"/>
              </w:rPr>
            </w:pPr>
            <w:r>
              <w:rPr>
                <w:rFonts w:ascii="Arial" w:cs="Arial" w:eastAsia="Arial" w:hAnsi="Arial"/>
                <w:sz w:val="13"/>
                <w:szCs w:val="13"/>
                <w:b w:val="1"/>
                <w:bCs w:val="1"/>
                <w:color w:val="auto"/>
              </w:rPr>
              <w:t>Non-</w:t>
            </w:r>
          </w:p>
        </w:tc>
        <w:tc>
          <w:tcPr>
            <w:tcW w:w="14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Reported</w:t>
            </w:r>
          </w:p>
        </w:tc>
        <w:tc>
          <w:tcPr>
            <w:tcW w:w="16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Effect of</w:t>
            </w:r>
          </w:p>
        </w:tc>
        <w:tc>
          <w:tcPr>
            <w:tcW w:w="920" w:type="dxa"/>
            <w:vAlign w:val="bottom"/>
            <w:gridSpan w:val="2"/>
          </w:tcPr>
          <w:p>
            <w:pPr>
              <w:jc w:val="right"/>
              <w:ind w:right="17"/>
              <w:spacing w:after="0" w:line="135" w:lineRule="exact"/>
              <w:rPr>
                <w:sz w:val="20"/>
                <w:szCs w:val="20"/>
                <w:color w:val="auto"/>
              </w:rPr>
            </w:pPr>
            <w:r>
              <w:rPr>
                <w:rFonts w:ascii="Arial" w:cs="Arial" w:eastAsia="Arial" w:hAnsi="Arial"/>
                <w:sz w:val="13"/>
                <w:szCs w:val="13"/>
                <w:b w:val="1"/>
                <w:bCs w:val="1"/>
                <w:color w:val="auto"/>
              </w:rPr>
              <w:t>As Adjusted</w:t>
            </w:r>
          </w:p>
        </w:tc>
        <w:tc>
          <w:tcPr>
            <w:tcW w:w="0" w:type="dxa"/>
            <w:vAlign w:val="bottom"/>
          </w:tcPr>
          <w:p>
            <w:pPr>
              <w:spacing w:after="0"/>
              <w:rPr>
                <w:sz w:val="1"/>
                <w:szCs w:val="1"/>
                <w:color w:val="auto"/>
              </w:rPr>
            </w:pPr>
          </w:p>
        </w:tc>
      </w:tr>
      <w:tr>
        <w:trPr>
          <w:trHeight w:val="178"/>
        </w:trPr>
        <w:tc>
          <w:tcPr>
            <w:tcW w:w="39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8"/>
              </w:rPr>
              <w:t>Guarantor</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8"/>
              </w:rPr>
              <w:t>Guarantor</w:t>
            </w: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0"/>
        </w:trPr>
        <w:tc>
          <w:tcPr>
            <w:tcW w:w="3900" w:type="dxa"/>
            <w:vAlign w:val="bottom"/>
          </w:tcPr>
          <w:p>
            <w:pPr>
              <w:spacing w:after="0"/>
              <w:rPr>
                <w:sz w:val="20"/>
                <w:szCs w:val="20"/>
                <w:color w:val="auto"/>
              </w:rPr>
            </w:pPr>
            <w:r>
              <w:rPr>
                <w:rFonts w:ascii="Arial" w:cs="Arial" w:eastAsia="Arial" w:hAnsi="Arial"/>
                <w:sz w:val="13"/>
                <w:szCs w:val="13"/>
                <w:color w:val="auto"/>
              </w:rPr>
              <w:t>Decrease in program cash</w:t>
            </w:r>
          </w:p>
        </w:tc>
        <w:tc>
          <w:tcPr>
            <w:tcW w:w="1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37"/>
              <w:spacing w:after="0"/>
              <w:rPr>
                <w:sz w:val="20"/>
                <w:szCs w:val="20"/>
                <w:color w:val="auto"/>
              </w:rPr>
            </w:pPr>
            <w:r>
              <w:rPr>
                <w:rFonts w:ascii="Arial" w:cs="Arial" w:eastAsia="Arial" w:hAnsi="Arial"/>
                <w:sz w:val="13"/>
                <w:szCs w:val="13"/>
                <w:color w:val="auto"/>
              </w:rPr>
              <w:t>87</w:t>
            </w:r>
          </w:p>
        </w:tc>
        <w:tc>
          <w:tcPr>
            <w:tcW w:w="1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3"/>
                <w:szCs w:val="13"/>
                <w:color w:val="auto"/>
              </w:rPr>
            </w:pPr>
          </w:p>
        </w:tc>
        <w:tc>
          <w:tcPr>
            <w:tcW w:w="14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1200" w:type="dxa"/>
            <w:vAlign w:val="bottom"/>
            <w:gridSpan w:val="2"/>
            <w:vMerge w:val="restart"/>
          </w:tcPr>
          <w:p>
            <w:pPr>
              <w:jc w:val="right"/>
              <w:ind w:right="50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3"/>
                <w:szCs w:val="13"/>
                <w:color w:val="auto"/>
              </w:rPr>
            </w:pPr>
          </w:p>
        </w:tc>
        <w:tc>
          <w:tcPr>
            <w:tcW w:w="2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900" w:type="dxa"/>
            <w:vAlign w:val="bottom"/>
          </w:tcPr>
          <w:p>
            <w:pPr>
              <w:spacing w:after="0"/>
              <w:rPr>
                <w:sz w:val="20"/>
                <w:szCs w:val="20"/>
                <w:color w:val="auto"/>
              </w:rPr>
            </w:pPr>
            <w:r>
              <w:rPr>
                <w:rFonts w:ascii="Arial" w:cs="Arial" w:eastAsia="Arial" w:hAnsi="Arial"/>
                <w:sz w:val="13"/>
                <w:szCs w:val="13"/>
                <w:b w:val="1"/>
                <w:bCs w:val="1"/>
                <w:color w:val="auto"/>
              </w:rPr>
              <w:t>Net cash used in investing activities</w:t>
            </w:r>
          </w:p>
        </w:tc>
        <w:tc>
          <w:tcPr>
            <w:tcW w:w="14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(1,223)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(1,310)</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(972)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(87)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(1,059)</w:t>
            </w: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2"/>
        </w:trPr>
        <w:tc>
          <w:tcPr>
            <w:tcW w:w="3900" w:type="dxa"/>
            <w:vAlign w:val="bottom"/>
          </w:tcPr>
          <w:p>
            <w:pPr>
              <w:spacing w:after="0"/>
              <w:rPr>
                <w:sz w:val="20"/>
                <w:szCs w:val="20"/>
                <w:color w:val="auto"/>
              </w:rPr>
            </w:pPr>
            <w:r>
              <w:rPr>
                <w:rFonts w:ascii="Arial" w:cs="Arial" w:eastAsia="Arial" w:hAnsi="Arial"/>
                <w:sz w:val="13"/>
                <w:szCs w:val="13"/>
                <w:color w:val="auto"/>
              </w:rPr>
              <w:t>Effect of changes in exchange rates on cash and cash equivalents,</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ind w:left="160"/>
              <w:spacing w:after="0"/>
              <w:rPr>
                <w:sz w:val="20"/>
                <w:szCs w:val="20"/>
                <w:color w:val="auto"/>
              </w:rPr>
            </w:pPr>
            <w:r>
              <w:rPr>
                <w:rFonts w:ascii="Arial" w:cs="Arial" w:eastAsia="Arial" w:hAnsi="Arial"/>
                <w:sz w:val="13"/>
                <w:szCs w:val="13"/>
                <w:color w:val="auto"/>
              </w:rPr>
              <w:t>program and restricted cash</w:t>
            </w:r>
          </w:p>
        </w:tc>
        <w:tc>
          <w:tcPr>
            <w:tcW w:w="140" w:type="dxa"/>
            <w:vAlign w:val="bottom"/>
          </w:tcPr>
          <w:p>
            <w:pPr>
              <w:spacing w:after="0"/>
              <w:rPr>
                <w:sz w:val="13"/>
                <w:szCs w:val="13"/>
                <w:color w:val="auto"/>
              </w:rPr>
            </w:pPr>
          </w:p>
        </w:tc>
        <w:tc>
          <w:tcPr>
            <w:tcW w:w="820" w:type="dxa"/>
            <w:vAlign w:val="bottom"/>
            <w:vMerge w:val="restart"/>
          </w:tcPr>
          <w:p>
            <w:pPr>
              <w:jc w:val="right"/>
              <w:ind w:right="3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12</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42"/>
        </w:trPr>
        <w:tc>
          <w:tcPr>
            <w:tcW w:w="3900" w:type="dxa"/>
            <w:vAlign w:val="bottom"/>
          </w:tcPr>
          <w:p>
            <w:pPr>
              <w:spacing w:after="0"/>
              <w:rPr>
                <w:sz w:val="20"/>
                <w:szCs w:val="20"/>
                <w:color w:val="auto"/>
              </w:rPr>
            </w:pPr>
            <w:r>
              <w:rPr>
                <w:rFonts w:ascii="Arial" w:cs="Arial" w:eastAsia="Arial" w:hAnsi="Arial"/>
                <w:sz w:val="13"/>
                <w:szCs w:val="13"/>
                <w:color w:val="auto"/>
              </w:rPr>
              <w:t>Net increase in cash and cash equivalents, program and restricted</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900" w:type="dxa"/>
            <w:vAlign w:val="bottom"/>
          </w:tcPr>
          <w:p>
            <w:pPr>
              <w:ind w:left="160"/>
              <w:spacing w:after="0"/>
              <w:rPr>
                <w:sz w:val="20"/>
                <w:szCs w:val="20"/>
                <w:color w:val="auto"/>
              </w:rPr>
            </w:pPr>
            <w:r>
              <w:rPr>
                <w:rFonts w:ascii="Arial" w:cs="Arial" w:eastAsia="Arial" w:hAnsi="Arial"/>
                <w:sz w:val="13"/>
                <w:szCs w:val="13"/>
                <w:color w:val="auto"/>
              </w:rPr>
              <w:t>cash</w:t>
            </w:r>
          </w:p>
        </w:tc>
        <w:tc>
          <w:tcPr>
            <w:tcW w:w="140" w:type="dxa"/>
            <w:vAlign w:val="bottom"/>
          </w:tcPr>
          <w:p>
            <w:pPr>
              <w:spacing w:after="0"/>
              <w:rPr>
                <w:sz w:val="13"/>
                <w:szCs w:val="1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166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83</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433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350</w:t>
            </w:r>
          </w:p>
        </w:tc>
        <w:tc>
          <w:tcPr>
            <w:tcW w:w="0" w:type="dxa"/>
            <w:vAlign w:val="bottom"/>
          </w:tcPr>
          <w:p>
            <w:pPr>
              <w:spacing w:after="0"/>
              <w:rPr>
                <w:sz w:val="1"/>
                <w:szCs w:val="1"/>
                <w:color w:val="auto"/>
              </w:rPr>
            </w:pPr>
          </w:p>
        </w:tc>
      </w:tr>
      <w:tr>
        <w:trPr>
          <w:trHeight w:val="172"/>
        </w:trPr>
        <w:tc>
          <w:tcPr>
            <w:tcW w:w="3900" w:type="dxa"/>
            <w:vAlign w:val="bottom"/>
          </w:tcPr>
          <w:p>
            <w:pPr>
              <w:spacing w:after="0"/>
              <w:rPr>
                <w:sz w:val="20"/>
                <w:szCs w:val="20"/>
                <w:color w:val="auto"/>
              </w:rPr>
            </w:pPr>
            <w:r>
              <w:rPr>
                <w:rFonts w:ascii="Arial" w:cs="Arial" w:eastAsia="Arial" w:hAnsi="Arial"/>
                <w:sz w:val="13"/>
                <w:szCs w:val="13"/>
                <w:color w:val="auto"/>
                <w:w w:val="99"/>
              </w:rPr>
              <w:t>Cash and cash equivalents, program and restricted cash, beginning</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3900" w:type="dxa"/>
            <w:vAlign w:val="bottom"/>
          </w:tcPr>
          <w:p>
            <w:pPr>
              <w:ind w:left="160"/>
              <w:spacing w:after="0"/>
              <w:rPr>
                <w:sz w:val="20"/>
                <w:szCs w:val="20"/>
                <w:color w:val="auto"/>
              </w:rPr>
            </w:pPr>
            <w:r>
              <w:rPr>
                <w:rFonts w:ascii="Arial" w:cs="Arial" w:eastAsia="Arial" w:hAnsi="Arial"/>
                <w:sz w:val="13"/>
                <w:szCs w:val="13"/>
                <w:color w:val="auto"/>
              </w:rPr>
              <w:t>of period</w:t>
            </w:r>
          </w:p>
        </w:tc>
        <w:tc>
          <w:tcPr>
            <w:tcW w:w="140" w:type="dxa"/>
            <w:vAlign w:val="bottom"/>
          </w:tcPr>
          <w:p>
            <w:pPr>
              <w:spacing w:after="0"/>
              <w:rPr>
                <w:sz w:val="13"/>
                <w:szCs w:val="13"/>
                <w:color w:val="auto"/>
              </w:rPr>
            </w:pPr>
          </w:p>
        </w:tc>
        <w:tc>
          <w:tcPr>
            <w:tcW w:w="820" w:type="dxa"/>
            <w:vAlign w:val="bottom"/>
            <w:vMerge w:val="restart"/>
          </w:tcPr>
          <w:p>
            <w:pPr>
              <w:jc w:val="right"/>
              <w:ind w:right="37"/>
              <w:spacing w:after="0"/>
              <w:rPr>
                <w:sz w:val="20"/>
                <w:szCs w:val="20"/>
                <w:color w:val="auto"/>
              </w:rPr>
            </w:pPr>
            <w:r>
              <w:rPr>
                <w:rFonts w:ascii="Arial" w:cs="Arial" w:eastAsia="Arial" w:hAnsi="Arial"/>
                <w:sz w:val="13"/>
                <w:szCs w:val="13"/>
                <w:color w:val="auto"/>
              </w:rPr>
              <w:t>475</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705</w:t>
            </w: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490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auto"/>
              </w:rPr>
              <w:t>720</w:t>
            </w:r>
          </w:p>
        </w:tc>
        <w:tc>
          <w:tcPr>
            <w:tcW w:w="0" w:type="dxa"/>
            <w:vAlign w:val="bottom"/>
          </w:tcPr>
          <w:p>
            <w:pPr>
              <w:spacing w:after="0"/>
              <w:rPr>
                <w:sz w:val="1"/>
                <w:szCs w:val="1"/>
                <w:color w:val="auto"/>
              </w:rPr>
            </w:pPr>
          </w:p>
        </w:tc>
      </w:tr>
      <w:tr>
        <w:trPr>
          <w:trHeight w:val="145"/>
        </w:trPr>
        <w:tc>
          <w:tcPr>
            <w:tcW w:w="39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3900" w:type="dxa"/>
            <w:vAlign w:val="bottom"/>
          </w:tcPr>
          <w:p>
            <w:pPr>
              <w:spacing w:after="0" w:line="127" w:lineRule="exact"/>
              <w:rPr>
                <w:sz w:val="20"/>
                <w:szCs w:val="20"/>
                <w:color w:val="auto"/>
              </w:rPr>
            </w:pPr>
            <w:r>
              <w:rPr>
                <w:rFonts w:ascii="Arial" w:cs="Arial" w:eastAsia="Arial" w:hAnsi="Arial"/>
                <w:sz w:val="13"/>
                <w:szCs w:val="13"/>
                <w:b w:val="1"/>
                <w:bCs w:val="1"/>
                <w:color w:val="auto"/>
                <w:w w:val="97"/>
              </w:rPr>
              <w:t>Cash and cash equivalents, program and restricted cash, end of</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3900" w:type="dxa"/>
            <w:vAlign w:val="bottom"/>
          </w:tcPr>
          <w:p>
            <w:pPr>
              <w:ind w:left="160"/>
              <w:spacing w:after="0"/>
              <w:rPr>
                <w:sz w:val="20"/>
                <w:szCs w:val="20"/>
                <w:color w:val="auto"/>
              </w:rPr>
            </w:pPr>
            <w:r>
              <w:rPr>
                <w:rFonts w:ascii="Arial" w:cs="Arial" w:eastAsia="Arial" w:hAnsi="Arial"/>
                <w:sz w:val="13"/>
                <w:szCs w:val="13"/>
                <w:b w:val="1"/>
                <w:bCs w:val="1"/>
                <w:color w:val="auto"/>
              </w:rPr>
              <w:t>period</w:t>
            </w:r>
          </w:p>
        </w:tc>
        <w:tc>
          <w:tcPr>
            <w:tcW w:w="1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820" w:type="dxa"/>
            <w:vAlign w:val="bottom"/>
            <w:vMerge w:val="restart"/>
          </w:tcPr>
          <w:p>
            <w:pPr>
              <w:jc w:val="right"/>
              <w:ind w:right="37"/>
              <w:spacing w:after="0"/>
              <w:rPr>
                <w:sz w:val="20"/>
                <w:szCs w:val="20"/>
                <w:color w:val="auto"/>
              </w:rPr>
            </w:pPr>
            <w:r>
              <w:rPr>
                <w:rFonts w:ascii="Arial" w:cs="Arial" w:eastAsia="Arial" w:hAnsi="Arial"/>
                <w:sz w:val="13"/>
                <w:szCs w:val="13"/>
                <w:color w:val="auto"/>
              </w:rPr>
              <w:t>641</w:t>
            </w:r>
          </w:p>
        </w:tc>
        <w:tc>
          <w:tcPr>
            <w:tcW w:w="12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147</w:t>
            </w:r>
          </w:p>
        </w:tc>
        <w:tc>
          <w:tcPr>
            <w:tcW w:w="100" w:type="dxa"/>
            <w:vAlign w:val="bottom"/>
          </w:tcPr>
          <w:p>
            <w:pPr>
              <w:spacing w:after="0"/>
              <w:rPr>
                <w:sz w:val="14"/>
                <w:szCs w:val="14"/>
                <w:color w:val="auto"/>
              </w:rPr>
            </w:pPr>
          </w:p>
        </w:tc>
        <w:tc>
          <w:tcPr>
            <w:tcW w:w="14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17"/>
              <w:spacing w:after="0"/>
              <w:rPr>
                <w:sz w:val="20"/>
                <w:szCs w:val="20"/>
                <w:color w:val="auto"/>
              </w:rPr>
            </w:pPr>
            <w:r>
              <w:rPr>
                <w:rFonts w:ascii="Arial" w:cs="Arial" w:eastAsia="Arial" w:hAnsi="Arial"/>
                <w:sz w:val="13"/>
                <w:szCs w:val="13"/>
                <w:color w:val="auto"/>
              </w:rPr>
              <w:t>788</w:t>
            </w:r>
          </w:p>
        </w:tc>
        <w:tc>
          <w:tcPr>
            <w:tcW w:w="420" w:type="dxa"/>
            <w:vAlign w:val="bottom"/>
          </w:tcPr>
          <w:p>
            <w:pPr>
              <w:spacing w:after="0"/>
              <w:rPr>
                <w:sz w:val="14"/>
                <w:szCs w:val="14"/>
                <w:color w:val="auto"/>
              </w:rPr>
            </w:pPr>
          </w:p>
        </w:tc>
        <w:tc>
          <w:tcPr>
            <w:tcW w:w="14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color w:val="auto"/>
              </w:rPr>
              <w:t>923</w:t>
            </w:r>
          </w:p>
        </w:tc>
        <w:tc>
          <w:tcPr>
            <w:tcW w:w="10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37"/>
              <w:spacing w:after="0"/>
              <w:rPr>
                <w:sz w:val="20"/>
                <w:szCs w:val="20"/>
                <w:color w:val="auto"/>
              </w:rPr>
            </w:pPr>
            <w:r>
              <w:rPr>
                <w:rFonts w:ascii="Arial" w:cs="Arial" w:eastAsia="Arial" w:hAnsi="Arial"/>
                <w:sz w:val="13"/>
                <w:szCs w:val="13"/>
                <w:color w:val="auto"/>
              </w:rPr>
              <w:t>147</w:t>
            </w:r>
          </w:p>
        </w:tc>
        <w:tc>
          <w:tcPr>
            <w:tcW w:w="100" w:type="dxa"/>
            <w:vAlign w:val="bottom"/>
          </w:tcPr>
          <w:p>
            <w:pPr>
              <w:spacing w:after="0"/>
              <w:rPr>
                <w:sz w:val="14"/>
                <w:szCs w:val="14"/>
                <w:color w:val="auto"/>
              </w:rPr>
            </w:pPr>
          </w:p>
        </w:tc>
        <w:tc>
          <w:tcPr>
            <w:tcW w:w="20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vMerge w:val="restart"/>
          </w:tcPr>
          <w:p>
            <w:pPr>
              <w:jc w:val="right"/>
              <w:ind w:right="37"/>
              <w:spacing w:after="0"/>
              <w:rPr>
                <w:sz w:val="20"/>
                <w:szCs w:val="20"/>
                <w:color w:val="auto"/>
              </w:rPr>
            </w:pPr>
            <w:r>
              <w:rPr>
                <w:rFonts w:ascii="Arial" w:cs="Arial" w:eastAsia="Arial" w:hAnsi="Arial"/>
                <w:sz w:val="13"/>
                <w:szCs w:val="13"/>
                <w:color w:val="auto"/>
              </w:rPr>
              <w:t>1,070</w:t>
            </w:r>
          </w:p>
        </w:tc>
        <w:tc>
          <w:tcPr>
            <w:tcW w:w="0" w:type="dxa"/>
            <w:vAlign w:val="bottom"/>
          </w:tcPr>
          <w:p>
            <w:pPr>
              <w:spacing w:after="0"/>
              <w:rPr>
                <w:sz w:val="1"/>
                <w:szCs w:val="1"/>
                <w:color w:val="auto"/>
              </w:rPr>
            </w:pPr>
          </w:p>
        </w:tc>
      </w:tr>
      <w:tr>
        <w:trPr>
          <w:trHeight w:val="136"/>
        </w:trPr>
        <w:tc>
          <w:tcPr>
            <w:tcW w:w="390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Borders>
              <w:bottom w:val="single" w:sz="8" w:color="auto"/>
            </w:tcBorders>
            <w:vMerge w:val="continue"/>
          </w:tcPr>
          <w:p>
            <w:pPr>
              <w:spacing w:after="0"/>
              <w:rPr>
                <w:sz w:val="11"/>
                <w:szCs w:val="11"/>
                <w:color w:val="auto"/>
              </w:rPr>
            </w:pPr>
          </w:p>
        </w:tc>
        <w:tc>
          <w:tcPr>
            <w:tcW w:w="7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vMerge w:val="continue"/>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500" w:right="600"/>
        <w:spacing w:after="0" w:line="291" w:lineRule="auto"/>
        <w:rPr>
          <w:sz w:val="20"/>
          <w:szCs w:val="20"/>
          <w:color w:val="auto"/>
        </w:rPr>
      </w:pPr>
      <w:r>
        <w:rPr>
          <w:rFonts w:ascii="Arial" w:cs="Arial" w:eastAsia="Arial" w:hAnsi="Arial"/>
          <w:sz w:val="17"/>
          <w:szCs w:val="17"/>
          <w:color w:val="auto"/>
        </w:rPr>
        <w:t>The following table provides a reconciliation of the cash and cash equivalents, program and restricted cash reported within the Consolidating Condensed Balance Sheets to the amounts shown in the Consolidating Condensed Statements of Cash Flows.</w:t>
      </w:r>
    </w:p>
    <w:p>
      <w:pPr>
        <w:spacing w:after="0" w:line="220"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414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As of March 31,</w:t>
            </w:r>
          </w:p>
        </w:tc>
        <w:tc>
          <w:tcPr>
            <w:tcW w:w="6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414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1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140" w:type="dxa"/>
            <w:vAlign w:val="bottom"/>
          </w:tcPr>
          <w:p>
            <w:pPr>
              <w:spacing w:after="0"/>
              <w:rPr>
                <w:sz w:val="22"/>
                <w:szCs w:val="22"/>
                <w:color w:val="auto"/>
              </w:rPr>
            </w:pPr>
          </w:p>
        </w:tc>
        <w:tc>
          <w:tcPr>
            <w:tcW w:w="1580" w:type="dxa"/>
            <w:vAlign w:val="bottom"/>
            <w:gridSpan w:val="3"/>
          </w:tcPr>
          <w:p>
            <w:pPr>
              <w:ind w:left="100"/>
              <w:spacing w:after="0"/>
              <w:rPr>
                <w:sz w:val="20"/>
                <w:szCs w:val="20"/>
                <w:color w:val="auto"/>
              </w:rPr>
            </w:pPr>
            <w:r>
              <w:rPr>
                <w:rFonts w:ascii="Arial" w:cs="Arial" w:eastAsia="Arial" w:hAnsi="Arial"/>
                <w:sz w:val="18"/>
                <w:szCs w:val="18"/>
                <w:b w:val="1"/>
                <w:bCs w:val="1"/>
                <w:color w:val="auto"/>
              </w:rPr>
              <w:t>Non-Guarantor</w:t>
            </w:r>
          </w:p>
        </w:tc>
        <w:tc>
          <w:tcPr>
            <w:tcW w:w="340" w:type="dxa"/>
            <w:vAlign w:val="bottom"/>
          </w:tcPr>
          <w:p>
            <w:pPr>
              <w:spacing w:after="0"/>
              <w:rPr>
                <w:sz w:val="22"/>
                <w:szCs w:val="22"/>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1560" w:type="dxa"/>
            <w:vAlign w:val="bottom"/>
            <w:gridSpan w:val="3"/>
          </w:tcPr>
          <w:p>
            <w:pPr>
              <w:ind w:left="80"/>
              <w:spacing w:after="0"/>
              <w:rPr>
                <w:sz w:val="20"/>
                <w:szCs w:val="20"/>
                <w:color w:val="auto"/>
              </w:rPr>
            </w:pPr>
            <w:r>
              <w:rPr>
                <w:rFonts w:ascii="Arial" w:cs="Arial" w:eastAsia="Arial" w:hAnsi="Arial"/>
                <w:sz w:val="18"/>
                <w:szCs w:val="18"/>
                <w:b w:val="1"/>
                <w:bCs w:val="1"/>
                <w:color w:val="auto"/>
              </w:rPr>
              <w:t>Non-Guarantor</w:t>
            </w:r>
          </w:p>
        </w:tc>
        <w:tc>
          <w:tcPr>
            <w:tcW w:w="340" w:type="dxa"/>
            <w:vAlign w:val="bottom"/>
          </w:tcPr>
          <w:p>
            <w:pPr>
              <w:spacing w:after="0"/>
              <w:rPr>
                <w:sz w:val="22"/>
                <w:szCs w:val="22"/>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840" w:type="dxa"/>
            <w:vAlign w:val="bottom"/>
            <w:tcBorders>
              <w:top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70"/>
        </w:trPr>
        <w:tc>
          <w:tcPr>
            <w:tcW w:w="4140" w:type="dxa"/>
            <w:vAlign w:val="bottom"/>
          </w:tcPr>
          <w:p>
            <w:pPr>
              <w:spacing w:after="0"/>
              <w:rPr>
                <w:sz w:val="20"/>
                <w:szCs w:val="20"/>
                <w:color w:val="auto"/>
              </w:rPr>
            </w:pPr>
            <w:r>
              <w:rPr>
                <w:rFonts w:ascii="Arial" w:cs="Arial" w:eastAsia="Arial" w:hAnsi="Arial"/>
                <w:sz w:val="18"/>
                <w:szCs w:val="18"/>
                <w:color w:val="auto"/>
              </w:rPr>
              <w:t>Program cash</w:t>
            </w:r>
          </w:p>
        </w:tc>
        <w:tc>
          <w:tcPr>
            <w:tcW w:w="6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84"/>
        </w:trPr>
        <w:tc>
          <w:tcPr>
            <w:tcW w:w="4140" w:type="dxa"/>
            <w:vAlign w:val="bottom"/>
          </w:tcPr>
          <w:p>
            <w:pPr>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21"/>
                <w:szCs w:val="21"/>
                <w:color w:val="auto"/>
                <w:vertAlign w:val="superscript"/>
              </w:rPr>
              <w:t>(a)</w:t>
            </w:r>
          </w:p>
        </w:tc>
        <w:tc>
          <w:tcPr>
            <w:tcW w:w="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4140" w:type="dxa"/>
            <w:vAlign w:val="bottom"/>
          </w:tcPr>
          <w:p>
            <w:pPr>
              <w:spacing w:after="0"/>
              <w:rPr>
                <w:sz w:val="20"/>
                <w:szCs w:val="20"/>
                <w:color w:val="auto"/>
              </w:rPr>
            </w:pPr>
            <w:r>
              <w:rPr>
                <w:rFonts w:ascii="Arial" w:cs="Arial" w:eastAsia="Arial" w:hAnsi="Arial"/>
                <w:sz w:val="18"/>
                <w:szCs w:val="18"/>
                <w:color w:val="auto"/>
              </w:rPr>
              <w:t>Total cash and cash equivalents, program and</w:t>
            </w:r>
          </w:p>
        </w:tc>
        <w:tc>
          <w:tcPr>
            <w:tcW w:w="600" w:type="dxa"/>
            <w:vAlign w:val="bottom"/>
            <w:vMerge w:val="restart"/>
          </w:tcPr>
          <w:p>
            <w:pPr>
              <w:jc w:val="right"/>
              <w:ind w:right="370"/>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675</w:t>
            </w:r>
          </w:p>
        </w:tc>
        <w:tc>
          <w:tcPr>
            <w:tcW w:w="120" w:type="dxa"/>
            <w:vAlign w:val="bottom"/>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0"/>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8"/>
                <w:szCs w:val="18"/>
                <w:color w:val="auto"/>
              </w:rPr>
            </w:pPr>
          </w:p>
        </w:tc>
        <w:tc>
          <w:tcPr>
            <w:tcW w:w="840" w:type="dxa"/>
            <w:vAlign w:val="bottom"/>
            <w:vMerge w:val="restart"/>
          </w:tcPr>
          <w:p>
            <w:pPr>
              <w:jc w:val="right"/>
              <w:ind w:right="630"/>
              <w:spacing w:after="0"/>
              <w:rPr>
                <w:sz w:val="20"/>
                <w:szCs w:val="20"/>
                <w:color w:val="auto"/>
              </w:rPr>
            </w:pPr>
            <w:r>
              <w:rPr>
                <w:rFonts w:ascii="Arial" w:cs="Arial" w:eastAsia="Arial" w:hAnsi="Arial"/>
                <w:sz w:val="18"/>
                <w:szCs w:val="18"/>
                <w:color w:val="auto"/>
                <w:w w:val="99"/>
              </w:rPr>
              <w:t>$</w:t>
            </w:r>
          </w:p>
        </w:tc>
        <w:tc>
          <w:tcPr>
            <w:tcW w:w="620" w:type="dxa"/>
            <w:vAlign w:val="bottom"/>
            <w:vMerge w:val="restart"/>
          </w:tcPr>
          <w:p>
            <w:pPr>
              <w:jc w:val="right"/>
              <w:ind w:right="10"/>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8"/>
                <w:szCs w:val="18"/>
                <w:color w:val="auto"/>
              </w:rPr>
            </w:pPr>
          </w:p>
        </w:tc>
        <w:tc>
          <w:tcPr>
            <w:tcW w:w="34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7"/>
        </w:trPr>
        <w:tc>
          <w:tcPr>
            <w:tcW w:w="414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6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0</wp:posOffset>
            </wp:positionV>
            <wp:extent cx="391033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910330" cy="26035"/>
                    </a:xfrm>
                    <a:prstGeom prst="rect">
                      <a:avLst/>
                    </a:prstGeom>
                    <a:noFill/>
                  </pic:spPr>
                </pic:pic>
              </a:graphicData>
            </a:graphic>
          </wp:anchor>
        </w:drawing>
      </w:r>
    </w:p>
    <w:p>
      <w:pPr>
        <w:spacing w:after="0" w:line="2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_________</w:t>
      </w:r>
    </w:p>
    <w:p>
      <w:pPr>
        <w:ind w:left="820" w:hanging="326"/>
        <w:spacing w:after="0" w:line="209" w:lineRule="auto"/>
        <w:tabs>
          <w:tab w:leader="none" w:pos="820" w:val="left"/>
        </w:tabs>
        <w:numPr>
          <w:ilvl w:val="0"/>
          <w:numId w:val="40"/>
        </w:numPr>
        <w:rPr>
          <w:rFonts w:ascii="Arial" w:cs="Arial" w:eastAsia="Arial" w:hAnsi="Arial"/>
          <w:sz w:val="18"/>
          <w:szCs w:val="18"/>
          <w:color w:val="auto"/>
          <w:vertAlign w:val="superscript"/>
        </w:rPr>
      </w:pPr>
      <w:r>
        <w:rPr>
          <w:rFonts w:ascii="Arial" w:cs="Arial" w:eastAsia="Arial" w:hAnsi="Arial"/>
          <w:sz w:val="14"/>
          <w:szCs w:val="14"/>
          <w:color w:val="auto"/>
        </w:rPr>
        <w:t>Included within other current assets.</w:t>
      </w:r>
    </w:p>
    <w:p>
      <w:pPr>
        <w:spacing w:after="0" w:line="200" w:lineRule="exact"/>
        <w:rPr>
          <w:sz w:val="20"/>
          <w:szCs w:val="20"/>
          <w:color w:val="auto"/>
        </w:rPr>
      </w:pPr>
    </w:p>
    <w:p>
      <w:pPr>
        <w:spacing w:after="0" w:line="2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240" w:top="140" w:right="5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Comprehensive Income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2018</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3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Issuers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8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1,184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1,359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(575)</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1,968</w:t>
            </w:r>
          </w:p>
        </w:tc>
        <w:tc>
          <w:tcPr>
            <w:tcW w:w="0" w:type="dxa"/>
            <w:vAlign w:val="bottom"/>
          </w:tcPr>
          <w:p>
            <w:pPr>
              <w:spacing w:after="0"/>
              <w:rPr>
                <w:sz w:val="1"/>
                <w:szCs w:val="1"/>
                <w:color w:val="auto"/>
              </w:rPr>
            </w:pPr>
          </w:p>
        </w:tc>
      </w:tr>
      <w:tr>
        <w:trPr>
          <w:trHeight w:val="488"/>
        </w:trPr>
        <w:tc>
          <w:tcPr>
            <w:tcW w:w="346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880" w:type="dxa"/>
            <w:vAlign w:val="bottom"/>
          </w:tcPr>
          <w:p>
            <w:pPr>
              <w:spacing w:after="0"/>
              <w:rPr>
                <w:sz w:val="23"/>
                <w:szCs w:val="23"/>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1,092</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880" w:type="dxa"/>
            <w:vAlign w:val="bottom"/>
          </w:tcPr>
          <w:p>
            <w:pPr>
              <w:spacing w:after="0"/>
              <w:rPr>
                <w:sz w:val="23"/>
                <w:szCs w:val="23"/>
                <w:color w:val="auto"/>
              </w:rPr>
            </w:pP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8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Interest expense</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Intercompany interest expense (income)</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Early extinguishment of debt</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Restructuring and other related charges</w:t>
            </w:r>
          </w:p>
        </w:tc>
        <w:tc>
          <w:tcPr>
            <w:tcW w:w="88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76"/>
        </w:trPr>
        <w:tc>
          <w:tcPr>
            <w:tcW w:w="346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880" w:type="dxa"/>
            <w:vAlign w:val="bottom"/>
          </w:tcPr>
          <w:p>
            <w:pPr>
              <w:spacing w:after="0"/>
              <w:rPr>
                <w:sz w:val="24"/>
                <w:szCs w:val="24"/>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color w:val="auto"/>
              </w:rPr>
              <w:t>Total expenses</w:t>
            </w:r>
          </w:p>
        </w:tc>
        <w:tc>
          <w:tcPr>
            <w:tcW w:w="88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1,410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1,173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2,097</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6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76"/>
        </w:trPr>
        <w:tc>
          <w:tcPr>
            <w:tcW w:w="3460" w:type="dxa"/>
            <w:vAlign w:val="bottom"/>
          </w:tcPr>
          <w:p>
            <w:pPr>
              <w:spacing w:after="0"/>
              <w:rPr>
                <w:sz w:val="20"/>
                <w:szCs w:val="20"/>
                <w:color w:val="auto"/>
              </w:rPr>
            </w:pPr>
            <w:r>
              <w:rPr>
                <w:rFonts w:ascii="Arial" w:cs="Arial" w:eastAsia="Arial" w:hAnsi="Arial"/>
                <w:sz w:val="14"/>
                <w:szCs w:val="14"/>
                <w:color w:val="auto"/>
              </w:rPr>
              <w:t>Equity in earnings (loss) of subsidiaries</w:t>
            </w:r>
          </w:p>
        </w:tc>
        <w:tc>
          <w:tcPr>
            <w:tcW w:w="88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88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 (loss)</w:t>
            </w: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3460" w:type="dxa"/>
            <w:vAlign w:val="bottom"/>
            <w:vMerge w:val="continue"/>
          </w:tcPr>
          <w:p>
            <w:pPr>
              <w:spacing w:after="0"/>
              <w:rPr>
                <w:sz w:val="24"/>
                <w:szCs w:val="24"/>
                <w:color w:val="auto"/>
              </w:rPr>
            </w:pPr>
          </w:p>
        </w:tc>
        <w:tc>
          <w:tcPr>
            <w:tcW w:w="8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00"/>
          </w:cols>
          <w:pgMar w:left="240" w:top="140" w:right="25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2017</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Issuers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1,153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1,271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(585)</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1,839</w:t>
            </w:r>
          </w:p>
        </w:tc>
        <w:tc>
          <w:tcPr>
            <w:tcW w:w="0" w:type="dxa"/>
            <w:vAlign w:val="bottom"/>
          </w:tcPr>
          <w:p>
            <w:pPr>
              <w:spacing w:after="0"/>
              <w:rPr>
                <w:sz w:val="1"/>
                <w:szCs w:val="1"/>
                <w:color w:val="auto"/>
              </w:rPr>
            </w:pPr>
          </w:p>
        </w:tc>
      </w:tr>
      <w:tr>
        <w:trPr>
          <w:trHeight w:val="488"/>
        </w:trPr>
        <w:tc>
          <w:tcPr>
            <w:tcW w:w="346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Operating</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1,049</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depreciation and lease charges,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(535)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504</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Selling, general and administrative</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Vehicle interest,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Non-vehicle related depreciation and amortization</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Interest expense related to corporate debt, net:</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Intercompany interest expense (income)</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460" w:type="dxa"/>
            <w:vAlign w:val="bottom"/>
          </w:tcPr>
          <w:p>
            <w:pPr>
              <w:ind w:left="300"/>
              <w:spacing w:after="0"/>
              <w:rPr>
                <w:sz w:val="20"/>
                <w:szCs w:val="20"/>
                <w:color w:val="auto"/>
              </w:rPr>
            </w:pPr>
            <w:r>
              <w:rPr>
                <w:rFonts w:ascii="Arial" w:cs="Arial" w:eastAsia="Arial" w:hAnsi="Arial"/>
                <w:sz w:val="14"/>
                <w:szCs w:val="14"/>
                <w:color w:val="auto"/>
              </w:rPr>
              <w:t>Early extinguishment of 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0"/>
        </w:trPr>
        <w:tc>
          <w:tcPr>
            <w:tcW w:w="3460" w:type="dxa"/>
            <w:vAlign w:val="bottom"/>
          </w:tcPr>
          <w:p>
            <w:pPr>
              <w:ind w:left="100"/>
              <w:spacing w:after="0"/>
              <w:rPr>
                <w:sz w:val="20"/>
                <w:szCs w:val="20"/>
                <w:color w:val="auto"/>
              </w:rPr>
            </w:pPr>
            <w:r>
              <w:rPr>
                <w:rFonts w:ascii="Arial" w:cs="Arial" w:eastAsia="Arial" w:hAnsi="Arial"/>
                <w:sz w:val="14"/>
                <w:szCs w:val="14"/>
                <w:color w:val="auto"/>
              </w:rPr>
              <w:t>Restructuring and other related charges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6"/>
        </w:trPr>
        <w:tc>
          <w:tcPr>
            <w:tcW w:w="3460" w:type="dxa"/>
            <w:vAlign w:val="bottom"/>
          </w:tcPr>
          <w:p>
            <w:pPr>
              <w:ind w:left="100"/>
              <w:spacing w:after="0"/>
              <w:rPr>
                <w:sz w:val="20"/>
                <w:szCs w:val="20"/>
                <w:color w:val="auto"/>
              </w:rPr>
            </w:pPr>
            <w:r>
              <w:rPr>
                <w:rFonts w:ascii="Arial" w:cs="Arial" w:eastAsia="Arial" w:hAnsi="Arial"/>
                <w:sz w:val="14"/>
                <w:szCs w:val="14"/>
                <w:color w:val="auto"/>
              </w:rPr>
              <w:t>Transaction-related costs,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0"/>
        </w:trPr>
        <w:tc>
          <w:tcPr>
            <w:tcW w:w="3460" w:type="dxa"/>
            <w:vAlign w:val="bottom"/>
          </w:tcPr>
          <w:p>
            <w:pPr>
              <w:spacing w:after="0"/>
              <w:rPr>
                <w:sz w:val="20"/>
                <w:szCs w:val="20"/>
                <w:color w:val="auto"/>
              </w:rPr>
            </w:pPr>
            <w:r>
              <w:rPr>
                <w:rFonts w:ascii="Arial" w:cs="Arial" w:eastAsia="Arial" w:hAnsi="Arial"/>
                <w:sz w:val="14"/>
                <w:szCs w:val="14"/>
                <w:color w:val="auto"/>
              </w:rPr>
              <w:t>Total expenses</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1,437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1,088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46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76"/>
        </w:trPr>
        <w:tc>
          <w:tcPr>
            <w:tcW w:w="3460" w:type="dxa"/>
            <w:vAlign w:val="bottom"/>
          </w:tcPr>
          <w:p>
            <w:pPr>
              <w:spacing w:after="0"/>
              <w:rPr>
                <w:sz w:val="20"/>
                <w:szCs w:val="20"/>
                <w:color w:val="auto"/>
              </w:rPr>
            </w:pPr>
            <w:r>
              <w:rPr>
                <w:rFonts w:ascii="Arial" w:cs="Arial" w:eastAsia="Arial" w:hAnsi="Arial"/>
                <w:sz w:val="14"/>
                <w:szCs w:val="14"/>
                <w:color w:val="auto"/>
              </w:rPr>
              <w:t>Equity in earnings (loss) of subsidiaries</w:t>
            </w:r>
          </w:p>
        </w:tc>
        <w:tc>
          <w:tcPr>
            <w:tcW w:w="2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460" w:type="dxa"/>
            <w:vAlign w:val="bottom"/>
          </w:tcPr>
          <w:p>
            <w:pPr>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 (loss)</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460" w:type="dxa"/>
            <w:vAlign w:val="bottom"/>
            <w:vMerge w:val="continue"/>
          </w:tcPr>
          <w:p>
            <w:pPr>
              <w:spacing w:after="0"/>
              <w:rPr>
                <w:sz w:val="24"/>
                <w:szCs w:val="24"/>
                <w:color w:val="auto"/>
              </w:rPr>
            </w:pP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00"/>
          </w:cols>
          <w:pgMar w:left="240" w:top="140" w:right="25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Balance Sheets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880</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699</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2,123</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176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967</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1,085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849</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(3,041)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4,619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(8,819)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6,091</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7,280</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3,947</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(11,860)</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5,966</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12,251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12,354</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13,151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13,256</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6,139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7,337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17,098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(11,860)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19,222</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621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923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1,777</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1,803</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2,902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676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3,581</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763</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2,652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(3,041)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5,870</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(3,041)</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6,147</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2,628</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7,754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7,754</w:t>
            </w:r>
          </w:p>
        </w:tc>
        <w:tc>
          <w:tcPr>
            <w:tcW w:w="0" w:type="dxa"/>
            <w:vAlign w:val="bottom"/>
          </w:tcPr>
          <w:p>
            <w:pPr>
              <w:spacing w:after="0"/>
              <w:rPr>
                <w:sz w:val="1"/>
                <w:szCs w:val="1"/>
                <w:color w:val="auto"/>
              </w:rPr>
            </w:pPr>
          </w:p>
        </w:tc>
      </w:tr>
      <w:tr>
        <w:trPr>
          <w:trHeight w:val="270"/>
        </w:trPr>
        <w:tc>
          <w:tcPr>
            <w:tcW w:w="3540" w:type="dxa"/>
            <w:vAlign w:val="bottom"/>
          </w:tcPr>
          <w:p>
            <w:pPr>
              <w:ind w:left="16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1,567</w:t>
            </w:r>
          </w:p>
        </w:tc>
        <w:tc>
          <w:tcPr>
            <w:tcW w:w="0" w:type="dxa"/>
            <w:vAlign w:val="bottom"/>
          </w:tcPr>
          <w:p>
            <w:pPr>
              <w:spacing w:after="0"/>
              <w:rPr>
                <w:sz w:val="1"/>
                <w:szCs w:val="1"/>
                <w:color w:val="auto"/>
              </w:rPr>
            </w:pPr>
          </w:p>
        </w:tc>
      </w:tr>
      <w:tr>
        <w:trPr>
          <w:trHeight w:val="276"/>
        </w:trPr>
        <w:tc>
          <w:tcPr>
            <w:tcW w:w="3540" w:type="dxa"/>
            <w:vAlign w:val="bottom"/>
          </w:tcPr>
          <w:p>
            <w:pPr>
              <w:ind w:left="16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671</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11,157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12,620</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455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4,619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3,948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(8,819)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6,139</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7,337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17,098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(11,860)</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19,222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00"/>
          </w:cols>
          <w:pgMar w:left="240" w:top="140" w:right="25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593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922</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2,066</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704</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931</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(2,899)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4,681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(9,000)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6,093</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7,242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3,748</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(11,899)</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5,820</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10,531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10,626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11,783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11,879</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6,128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7,303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15,531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(11,899)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17,699</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837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1,619</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1,645</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2,910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3,573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(2,899)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5,732</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1,156</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1,883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(2,899)</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5,935</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2,741</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6,480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6,480</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1,594</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9,710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11,191</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573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4,681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3,938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(9,000)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6,128</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7,303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15,531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(11,899)</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17,699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00"/>
          </w:cols>
          <w:pgMar w:left="240" w:top="140" w:right="25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Cash Flows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2018</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operating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(4,225)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(4,226)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328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2,565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2,572</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(1,654)</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(1,736)</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5,100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5,100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(4,042)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(4,045)</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1,054</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1,024</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60"/>
              <w:spacing w:after="0"/>
              <w:rPr>
                <w:sz w:val="20"/>
                <w:szCs w:val="20"/>
                <w:color w:val="auto"/>
              </w:rPr>
            </w:pPr>
            <w:r>
              <w:rPr>
                <w:rFonts w:ascii="Arial" w:cs="Arial" w:eastAsia="Arial" w:hAnsi="Arial"/>
                <w:sz w:val="14"/>
                <w:szCs w:val="14"/>
                <w:color w:val="auto"/>
              </w:rPr>
              <w:t>cash equivalents, program and restricted cash</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Net increase (decrease) in cash and cash</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280" w:type="dxa"/>
            <w:vAlign w:val="bottom"/>
          </w:tcPr>
          <w:p>
            <w:pPr>
              <w:ind w:left="160"/>
              <w:spacing w:after="0"/>
              <w:rPr>
                <w:sz w:val="20"/>
                <w:szCs w:val="20"/>
                <w:color w:val="auto"/>
              </w:rPr>
            </w:pPr>
            <w:r>
              <w:rPr>
                <w:rFonts w:ascii="Arial" w:cs="Arial" w:eastAsia="Arial" w:hAnsi="Arial"/>
                <w:sz w:val="14"/>
                <w:szCs w:val="14"/>
                <w:color w:val="auto"/>
              </w:rPr>
              <w:t>equivalents, program and restricted cash</w:t>
            </w: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06"/>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program and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60"/>
              <w:spacing w:after="0"/>
              <w:rPr>
                <w:sz w:val="20"/>
                <w:szCs w:val="20"/>
                <w:color w:val="auto"/>
              </w:rPr>
            </w:pPr>
            <w:r>
              <w:rPr>
                <w:rFonts w:ascii="Arial" w:cs="Arial" w:eastAsia="Arial" w:hAnsi="Arial"/>
                <w:sz w:val="14"/>
                <w:szCs w:val="14"/>
                <w:color w:val="auto"/>
              </w:rPr>
              <w:t>restricted cash, beginning of period</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883</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180"/>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program and</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675</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701</w:t>
            </w:r>
          </w:p>
        </w:tc>
        <w:tc>
          <w:tcPr>
            <w:tcW w:w="0" w:type="dxa"/>
            <w:vAlign w:val="bottom"/>
          </w:tcPr>
          <w:p>
            <w:pPr>
              <w:spacing w:after="0"/>
              <w:rPr>
                <w:sz w:val="1"/>
                <w:szCs w:val="1"/>
                <w:color w:val="auto"/>
              </w:rPr>
            </w:pPr>
          </w:p>
        </w:tc>
      </w:tr>
      <w:tr>
        <w:trPr>
          <w:trHeight w:val="171"/>
        </w:trPr>
        <w:tc>
          <w:tcPr>
            <w:tcW w:w="3280" w:type="dxa"/>
            <w:vAlign w:val="bottom"/>
          </w:tcPr>
          <w:p>
            <w:pPr>
              <w:ind w:left="160"/>
              <w:spacing w:after="0"/>
              <w:rPr>
                <w:sz w:val="20"/>
                <w:szCs w:val="20"/>
                <w:color w:val="auto"/>
              </w:rPr>
            </w:pPr>
            <w:r>
              <w:rPr>
                <w:rFonts w:ascii="Arial" w:cs="Arial" w:eastAsia="Arial" w:hAnsi="Arial"/>
                <w:sz w:val="14"/>
                <w:szCs w:val="14"/>
                <w:color w:val="auto"/>
              </w:rPr>
              <w:t>restricted cash, end of period</w:t>
            </w:r>
          </w:p>
        </w:tc>
        <w:tc>
          <w:tcPr>
            <w:tcW w:w="2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40"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March 31, 2017</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ind w:left="1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Issuers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447</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Intercompany loan receipts (advances)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(3,943)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(3,944)</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2,950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2,958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debt securities of Avis Budget</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300"/>
              <w:spacing w:after="0"/>
              <w:rPr>
                <w:sz w:val="20"/>
                <w:szCs w:val="20"/>
                <w:color w:val="auto"/>
              </w:rPr>
            </w:pPr>
            <w:r>
              <w:rPr>
                <w:rFonts w:ascii="Arial" w:cs="Arial" w:eastAsia="Arial" w:hAnsi="Arial"/>
                <w:sz w:val="14"/>
                <w:szCs w:val="14"/>
                <w:color w:val="auto"/>
              </w:rPr>
              <w:t>Rental Car Funding (AESOP) LLC—related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300"/>
              <w:spacing w:after="0"/>
              <w:rPr>
                <w:sz w:val="20"/>
                <w:szCs w:val="20"/>
                <w:color w:val="auto"/>
              </w:rPr>
            </w:pPr>
            <w:r>
              <w:rPr>
                <w:rFonts w:ascii="Arial" w:cs="Arial" w:eastAsia="Arial" w:hAnsi="Arial"/>
                <w:sz w:val="14"/>
                <w:szCs w:val="14"/>
                <w:color w:val="auto"/>
              </w:rPr>
              <w:t>party</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(1,019)</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(1,059)</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590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Intercompany loan borrowings (payments)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5,812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5,812</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(5,233)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(5,236)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950</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60"/>
              <w:spacing w:after="0"/>
              <w:rPr>
                <w:sz w:val="20"/>
                <w:szCs w:val="20"/>
                <w:color w:val="auto"/>
              </w:rPr>
            </w:pPr>
            <w:r>
              <w:rPr>
                <w:rFonts w:ascii="Arial" w:cs="Arial" w:eastAsia="Arial" w:hAnsi="Arial"/>
                <w:sz w:val="14"/>
                <w:szCs w:val="14"/>
                <w:color w:val="auto"/>
              </w:rPr>
              <w:t>cash equivalents, program and restricted cash</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Net increase in cash and cash equivalents,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280" w:type="dxa"/>
            <w:vAlign w:val="bottom"/>
          </w:tcPr>
          <w:p>
            <w:pPr>
              <w:ind w:left="160"/>
              <w:spacing w:after="0"/>
              <w:rPr>
                <w:sz w:val="20"/>
                <w:szCs w:val="20"/>
                <w:color w:val="auto"/>
              </w:rPr>
            </w:pPr>
            <w:r>
              <w:rPr>
                <w:rFonts w:ascii="Arial" w:cs="Arial" w:eastAsia="Arial" w:hAnsi="Arial"/>
                <w:sz w:val="14"/>
                <w:szCs w:val="14"/>
                <w:color w:val="auto"/>
              </w:rPr>
              <w:t>program and restricted cash</w:t>
            </w: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206"/>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program and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60"/>
              <w:spacing w:after="0"/>
              <w:rPr>
                <w:sz w:val="20"/>
                <w:szCs w:val="20"/>
                <w:color w:val="auto"/>
              </w:rPr>
            </w:pPr>
            <w:r>
              <w:rPr>
                <w:rFonts w:ascii="Arial" w:cs="Arial" w:eastAsia="Arial" w:hAnsi="Arial"/>
                <w:sz w:val="14"/>
                <w:szCs w:val="14"/>
                <w:color w:val="auto"/>
              </w:rPr>
              <w:t>restricted cash, beginning of period</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705</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180"/>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program and</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788</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1,070</w:t>
            </w:r>
          </w:p>
        </w:tc>
        <w:tc>
          <w:tcPr>
            <w:tcW w:w="0" w:type="dxa"/>
            <w:vAlign w:val="bottom"/>
          </w:tcPr>
          <w:p>
            <w:pPr>
              <w:spacing w:after="0"/>
              <w:rPr>
                <w:sz w:val="1"/>
                <w:szCs w:val="1"/>
                <w:color w:val="auto"/>
              </w:rPr>
            </w:pPr>
          </w:p>
        </w:tc>
      </w:tr>
      <w:tr>
        <w:trPr>
          <w:trHeight w:val="171"/>
        </w:trPr>
        <w:tc>
          <w:tcPr>
            <w:tcW w:w="3280" w:type="dxa"/>
            <w:vAlign w:val="bottom"/>
          </w:tcPr>
          <w:p>
            <w:pPr>
              <w:ind w:left="160"/>
              <w:spacing w:after="0"/>
              <w:rPr>
                <w:sz w:val="20"/>
                <w:szCs w:val="20"/>
                <w:color w:val="auto"/>
              </w:rPr>
            </w:pPr>
            <w:r>
              <w:rPr>
                <w:rFonts w:ascii="Arial" w:cs="Arial" w:eastAsia="Arial" w:hAnsi="Arial"/>
                <w:sz w:val="14"/>
                <w:szCs w:val="14"/>
                <w:color w:val="auto"/>
              </w:rPr>
              <w:t>restricted cash, end of period</w:t>
            </w:r>
          </w:p>
        </w:tc>
        <w:tc>
          <w:tcPr>
            <w:tcW w:w="2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40"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47" w:lineRule="exact"/>
        <w:rPr>
          <w:rFonts w:ascii="Arial" w:cs="Arial" w:eastAsia="Arial" w:hAnsi="Arial"/>
          <w:sz w:val="18"/>
          <w:szCs w:val="18"/>
          <w:b w:val="1"/>
          <w:bCs w:val="1"/>
          <w:color w:val="auto"/>
        </w:rPr>
      </w:pPr>
    </w:p>
    <w:p>
      <w:pPr>
        <w:ind w:left="50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In April 2018, the Company’s Avis Budget Rental Car Funding subsidiary issued approximately $400 million in asset-backed notes with an expected final payment date of September 2023 incurring interest at a weighted average rate of 4%.</w:t>
      </w:r>
    </w:p>
    <w:p>
      <w:pPr>
        <w:spacing w:after="0" w:line="200" w:lineRule="exact"/>
        <w:rPr>
          <w:rFonts w:ascii="Arial" w:cs="Arial" w:eastAsia="Arial" w:hAnsi="Arial"/>
          <w:sz w:val="18"/>
          <w:szCs w:val="18"/>
          <w:b w:val="1"/>
          <w:bCs w:val="1"/>
          <w:color w:val="auto"/>
        </w:rPr>
      </w:pPr>
    </w:p>
    <w:p>
      <w:pPr>
        <w:spacing w:after="0" w:line="220" w:lineRule="exact"/>
        <w:rPr>
          <w:rFonts w:ascii="Arial" w:cs="Arial" w:eastAsia="Arial" w:hAnsi="Arial"/>
          <w:sz w:val="18"/>
          <w:szCs w:val="18"/>
          <w:b w:val="1"/>
          <w:bCs w:val="1"/>
          <w:color w:val="auto"/>
        </w:rPr>
      </w:pPr>
    </w:p>
    <w:p>
      <w:pPr>
        <w:ind w:left="5700"/>
        <w:spacing w:after="0"/>
        <w:rPr>
          <w:rFonts w:ascii="Arial" w:cs="Arial" w:eastAsia="Arial" w:hAnsi="Arial"/>
          <w:sz w:val="18"/>
          <w:szCs w:val="18"/>
          <w:b w:val="1"/>
          <w:bCs w:val="1"/>
          <w:color w:val="auto"/>
        </w:rPr>
      </w:pPr>
      <w:r>
        <w:rPr>
          <w:rFonts w:ascii="Arial" w:cs="Arial" w:eastAsia="Arial" w:hAnsi="Arial"/>
          <w:sz w:val="22"/>
          <w:szCs w:val="22"/>
          <w:color w:val="auto"/>
        </w:rPr>
        <w:t>* * * *</w:t>
      </w:r>
    </w:p>
    <w:p>
      <w:pPr>
        <w:spacing w:after="0" w:line="2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240" w:top="140" w:right="4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our Consolidated Condensed Financial Statements and accompanying Notes thereto included elsewhere herein, and with our 2017 Form 10-K. Our actual results of operations may differ materially from those discussed in forward-looking statements as a result of various factors, including but not limited to those included elsewhere in this Quarterly Report on Form 10-Q and those included in the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 Operations,” “Risk Factors” and other portions of our 2017 Form 10-K. Unless otherwise noted, all dollar amounts in tables are in millions and those relating to our results of operations are presented before taxes.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4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operate three of the most globally recognized brands in the vehicle rental and other mobility solutions industry, Avis, Budget and Zipcar together with several brands well recognized in their respective markets, including Payless in the U.S. and certain other regions, Maggiore in Italy, FranceCars in France and Apex in both New Zealand and Australia. We are a leading vehicle rental operator in North America, Europe, Australasia and certain other regions we serve, with an average rental fleet of more than 620,000 vehicles. We also license the use of our trademarks to licensees in the areas in which we do not operate directly. We and our licensees operate our brands in approximately 180 countries throughout the world.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2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We categorize our operations into two reportable business segments: </w:t>
      </w:r>
      <w:r>
        <w:rPr>
          <w:rFonts w:ascii="Arial" w:cs="Arial" w:eastAsia="Arial" w:hAnsi="Arial"/>
          <w:sz w:val="18"/>
          <w:szCs w:val="18"/>
          <w:i w:val="1"/>
          <w:iCs w:val="1"/>
          <w:color w:val="auto"/>
        </w:rPr>
        <w:t>Americas</w:t>
      </w:r>
      <w:r>
        <w:rPr>
          <w:rFonts w:ascii="Arial" w:cs="Arial" w:eastAsia="Arial" w:hAnsi="Arial"/>
          <w:sz w:val="18"/>
          <w:szCs w:val="18"/>
          <w:color w:val="auto"/>
        </w:rPr>
        <w:t xml:space="preserve">, consisting primarily of our vehicle rental operations in North America, South America, Central America and the Caribbean, car sharing operations in certain of these markets, and licensees in the areas in which the Company does not operate directly; and </w:t>
      </w:r>
      <w:r>
        <w:rPr>
          <w:rFonts w:ascii="Arial" w:cs="Arial" w:eastAsia="Arial" w:hAnsi="Arial"/>
          <w:sz w:val="18"/>
          <w:szCs w:val="18"/>
          <w:i w:val="1"/>
          <w:iCs w:val="1"/>
          <w:color w:val="auto"/>
        </w:rPr>
        <w:t>International</w:t>
      </w:r>
      <w:r>
        <w:rPr>
          <w:rFonts w:ascii="Arial" w:cs="Arial" w:eastAsia="Arial" w:hAnsi="Arial"/>
          <w:sz w:val="18"/>
          <w:szCs w:val="18"/>
          <w:color w:val="auto"/>
        </w:rPr>
        <w:t>, consisting primarily of our vehicle rental operations in Europe, the Middle East, Africa, Asia and Australasia, car sharing operations in certain of these markets, and licensees in the areas in which the Company does not operate directly.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revenues are derived principally from vehicle rentals in our Company-owned operations and include:</w:t>
      </w:r>
    </w:p>
    <w:p>
      <w:pPr>
        <w:spacing w:after="0" w:line="17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time &amp; mileage fees charged to our customers for vehicle rentals;</w:t>
      </w:r>
    </w:p>
    <w:p>
      <w:pPr>
        <w:spacing w:after="0" w:line="171"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payments from our customers with respect to certain operating expenses we incur, including gasoline and vehicle licensing fees, as well as concession fees, which we pay in exchange for the right to operate at airports and certain other locations;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of loss damage waivers and insurance and other supplemental items in conjunction with vehicle rentals.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receive royalty revenue from our licensees in conjunction with their vehicle rental transactions.</w:t>
      </w:r>
    </w:p>
    <w:p>
      <w:pPr>
        <w:spacing w:after="0" w:line="2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operating results are subject to variability due to seasonality, macroeconomic conditions and other factors. Car rental volumes tend to be associated with the travel industry, particularly airline passenger volumes, or enplanements, which in turn tend to reflect general economic conditions. Our vehicle rental operations are also seasonal, with the third quarter of the year historically having been our strongest due to the increased level of leisure travel during such quarter. We have a partially variable cost structure and routinely adjust the size, and therefore the cost, of our rental fleet in response to fluctuations in demand.</w:t>
      </w:r>
    </w:p>
    <w:p>
      <w:pPr>
        <w:spacing w:after="0" w:line="20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Thus far in 2018, worldwide demand for vehicle rental and other mobility solutions has increased, and pricing in the Americas and used-vehicle values in the U.S. have stabilized. We expect such economic conditions to continue throughout 2018, counterbalanced by the incremental impact of rising interest rates and certain other headwinds. We will continue to pursue opportunities to enhance our profitability and return on invested capital.</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40"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objective is to drive sustainable, profitable growth by delivering strategic initiatives aimed at winning customers through differentiated brands and products, increasing our margins via revenue growth and operational efficiency and enhancing our leadership in the mobility landscape. Our strategies are intended to support and strengthen our brands, to grow our earnings and Adjusted EBITDA over time and to achieve growth and efficiency opportunities as mobility solutions continue to evolve. We operate in a highly competitive industry and we expect to continue to face challenges and risks. We seek to mitigate our exposure to risks in numerous ways, including delivering upon our core strategic initiatives, and through continued optimization of fleet levels to match changes in demand for vehicle rentals; maintenance of liquidity to fund our fleet and operations; appropriate investments in technology; and adjustments in the size and the nature and terms of our relationships with vehicle manufacturers.</w:t>
      </w:r>
    </w:p>
    <w:p>
      <w:pPr>
        <w:spacing w:after="0" w:line="20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2017, the U.S. enacted Public Law 115-97, commonly referred to as the U.S. Tax Reform Act (the “Tax Act”). The Tax Act makes broad and complex changes to U.S. corporate tax laws. We expect our 2018 provision for income taxes to be primarily impacted by the reduced U.S. corporate tax rate, the inclusion in the U.S. tax base of certain foreign subsidiary earnings and the limitations on the deductibility of certain business expenses. While we are still evaluating the impact of these changes, certain of these changes could have a material impact on our financial condition or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2018:</w:t>
      </w:r>
    </w:p>
    <w:p>
      <w:pPr>
        <w:spacing w:after="0" w:line="225" w:lineRule="exact"/>
        <w:rPr>
          <w:sz w:val="20"/>
          <w:szCs w:val="20"/>
          <w:color w:val="auto"/>
        </w:rPr>
      </w:pPr>
    </w:p>
    <w:p>
      <w:pPr>
        <w:ind w:left="660" w:hanging="328"/>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revenues totaled $2.0 billion and increased 7% compared to the three months ended March 31, 2017 due to higher rental volumes and a 3% benefit from currency exchange rate movements.</w:t>
      </w:r>
    </w:p>
    <w:p>
      <w:pPr>
        <w:spacing w:after="0" w:line="196" w:lineRule="exact"/>
        <w:rPr>
          <w:rFonts w:ascii="Arial" w:cs="Arial" w:eastAsia="Arial" w:hAnsi="Arial"/>
          <w:sz w:val="18"/>
          <w:szCs w:val="18"/>
          <w:color w:val="auto"/>
        </w:rPr>
      </w:pPr>
    </w:p>
    <w:p>
      <w:pPr>
        <w:jc w:val="both"/>
        <w:ind w:left="660" w:right="220" w:hanging="328"/>
        <w:spacing w:after="0" w:line="291"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Our net loss was $87 million, representing a $20 million year-over-year improvement in earnings, and our Adjusted EBITDA was $2 million, representing a $29 million year-over-year increase, driven by higher revenues and lower per-unit fleet costs in the Americas.</w:t>
      </w:r>
    </w:p>
    <w:p>
      <w:pPr>
        <w:spacing w:after="0" w:line="174" w:lineRule="exact"/>
        <w:rPr>
          <w:rFonts w:ascii="Arial" w:cs="Arial" w:eastAsia="Arial" w:hAnsi="Arial"/>
          <w:sz w:val="17"/>
          <w:szCs w:val="17"/>
          <w:color w:val="auto"/>
        </w:rPr>
      </w:pPr>
    </w:p>
    <w:p>
      <w:pPr>
        <w:ind w:left="660" w:right="100" w:hanging="328"/>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amended the terms of our Floating Rate Term Loan due 2022 and our Senior revolving credit facility maturing 2021. We extended our Floating Rate Term Loan maturity term to 2025 and our Senior revolving credit facility maturity to 2023.</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measure performance principally using the following key operating statistics: (i) rental days, which represent the total number of days (or portion thereof) a vehicle was rented, (ii) revenue per day, which represents revenues divided by rental days, (iii) vehicle utilization, which represents rental days divided by available rental days, available rental days is defined as average rental fleet times the number of days in the period, and (iv) per-unit fleet costs, which represent vehicle depreciation, lease charges and gain or loss on vehicle sales, divided by average rental fleet. Our rental days, revenue per day and vehicle utilization operating statistics are all calculated based on the actual rental of the vehicle during a 24-hour period. We believe that this methodology provides us with the most relevant statistics in order to manage the business. Our calculation may not be comparable to other companies’ calculation of similarly-titled statistics. We present currency exchange rate effects to provide a method of assessing how our business performed excluding the effects of foreign currency rate fluctuations. Currency exchange rate effects are calculated by translating the current-year results at the prior-period average exchange rate plus any related gains and losses on currency hedges.</w:t>
      </w:r>
    </w:p>
    <w:p>
      <w:pPr>
        <w:spacing w:after="0" w:line="212"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revenues and “Adjusted EBITDA,” which we define as income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legal matters, non-operational charges related to shareholder activist activity and income taxes. Net charges for unprecedented personal-injury legal matters are recorded within operating expenses in our consolidated condensed statement of operations. We have revised our definition of Adjusted EBITDA to exclude non-operational charges related to shareholder activist activity. Non-operational charges related to shareholder activist activity include third party advisory, legal and other professional service fees and are recorded within selling, general and administrative expenses in our consolidated condensed statement of</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140" w:right="2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operations. We did not revise prior years’ Adjusted EBITDA amounts because there were no costs similar in nature to these costs. We believe Adjusted EBITDA is useful as a supplemental measure in evaluating the performance of our operating businesses and in comparing our results from period to period. We also believe that Adjusted EBITDA is useful to investors because it allows investors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2018 vs. Three Months Ended March 31, 2017</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condensed results of operations comprised the following:</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46"/>
        </w:trPr>
        <w:tc>
          <w:tcPr>
            <w:tcW w:w="5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gridSpan w:val="5"/>
          </w:tcPr>
          <w:p>
            <w:pPr>
              <w:ind w:left="60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64"/>
        </w:trPr>
        <w:tc>
          <w:tcPr>
            <w:tcW w:w="596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596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1,839</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129</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7%</w:t>
            </w:r>
          </w:p>
        </w:tc>
      </w:tr>
      <w:tr>
        <w:trPr>
          <w:trHeight w:val="486"/>
        </w:trPr>
        <w:tc>
          <w:tcPr>
            <w:tcW w:w="59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5960" w:type="dxa"/>
            <w:vAlign w:val="bottom"/>
          </w:tcPr>
          <w:p>
            <w:pPr>
              <w:ind w:left="200"/>
              <w:spacing w:after="0"/>
              <w:rPr>
                <w:sz w:val="20"/>
                <w:szCs w:val="20"/>
                <w:color w:val="auto"/>
              </w:rPr>
            </w:pPr>
            <w:r>
              <w:rPr>
                <w:rFonts w:ascii="Arial" w:cs="Arial" w:eastAsia="Arial" w:hAnsi="Arial"/>
                <w:sz w:val="18"/>
                <w:szCs w:val="18"/>
                <w:color w:val="auto"/>
              </w:rPr>
              <w:t>Operating</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1,092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1,049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70"/>
        </w:trPr>
        <w:tc>
          <w:tcPr>
            <w:tcW w:w="5960" w:type="dxa"/>
            <w:vAlign w:val="bottom"/>
          </w:tcPr>
          <w:p>
            <w:pPr>
              <w:ind w:left="200"/>
              <w:spacing w:after="0"/>
              <w:rPr>
                <w:sz w:val="20"/>
                <w:szCs w:val="20"/>
                <w:color w:val="auto"/>
              </w:rPr>
            </w:pPr>
            <w:r>
              <w:rPr>
                <w:rFonts w:ascii="Arial" w:cs="Arial" w:eastAsia="Arial" w:hAnsi="Arial"/>
                <w:sz w:val="18"/>
                <w:szCs w:val="18"/>
                <w:color w:val="auto"/>
              </w:rPr>
              <w:t>Vehicle depreciation and lease charges, net</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596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5960" w:type="dxa"/>
            <w:vAlign w:val="bottom"/>
          </w:tcPr>
          <w:p>
            <w:pPr>
              <w:ind w:left="200"/>
              <w:spacing w:after="0"/>
              <w:rPr>
                <w:sz w:val="20"/>
                <w:szCs w:val="20"/>
                <w:color w:val="auto"/>
              </w:rPr>
            </w:pPr>
            <w:r>
              <w:rPr>
                <w:rFonts w:ascii="Arial" w:cs="Arial" w:eastAsia="Arial" w:hAnsi="Arial"/>
                <w:sz w:val="18"/>
                <w:szCs w:val="18"/>
                <w:color w:val="auto"/>
              </w:rPr>
              <w:t>Vehicle interest, net</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5960" w:type="dxa"/>
            <w:vAlign w:val="bottom"/>
          </w:tcPr>
          <w:p>
            <w:pPr>
              <w:ind w:left="200"/>
              <w:spacing w:after="0"/>
              <w:rPr>
                <w:sz w:val="20"/>
                <w:szCs w:val="20"/>
                <w:color w:val="auto"/>
              </w:rPr>
            </w:pPr>
            <w:r>
              <w:rPr>
                <w:rFonts w:ascii="Arial" w:cs="Arial" w:eastAsia="Arial" w:hAnsi="Arial"/>
                <w:sz w:val="18"/>
                <w:szCs w:val="18"/>
                <w:color w:val="auto"/>
              </w:rPr>
              <w:t>Non-vehicle related depreciation and amortization</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r>
      <w:tr>
        <w:trPr>
          <w:trHeight w:val="270"/>
        </w:trPr>
        <w:tc>
          <w:tcPr>
            <w:tcW w:w="5960" w:type="dxa"/>
            <w:vAlign w:val="bottom"/>
          </w:tcPr>
          <w:p>
            <w:pPr>
              <w:ind w:left="200"/>
              <w:spacing w:after="0"/>
              <w:rPr>
                <w:sz w:val="20"/>
                <w:szCs w:val="20"/>
                <w:color w:val="auto"/>
              </w:rPr>
            </w:pPr>
            <w:r>
              <w:rPr>
                <w:rFonts w:ascii="Arial" w:cs="Arial" w:eastAsia="Arial" w:hAnsi="Arial"/>
                <w:sz w:val="18"/>
                <w:szCs w:val="18"/>
                <w:color w:val="auto"/>
              </w:rPr>
              <w:t>Interest expense related to corporate debt, net:</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0"/>
        </w:trPr>
        <w:tc>
          <w:tcPr>
            <w:tcW w:w="596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5960" w:type="dxa"/>
            <w:vAlign w:val="bottom"/>
          </w:tcPr>
          <w:p>
            <w:pPr>
              <w:ind w:left="340"/>
              <w:spacing w:after="0"/>
              <w:rPr>
                <w:sz w:val="20"/>
                <w:szCs w:val="20"/>
                <w:color w:val="auto"/>
              </w:rPr>
            </w:pPr>
            <w:r>
              <w:rPr>
                <w:rFonts w:ascii="Arial" w:cs="Arial" w:eastAsia="Arial" w:hAnsi="Arial"/>
                <w:sz w:val="18"/>
                <w:szCs w:val="18"/>
                <w:color w:val="auto"/>
              </w:rPr>
              <w:t>Early extinguishment of debt</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5960" w:type="dxa"/>
            <w:vAlign w:val="bottom"/>
          </w:tcPr>
          <w:p>
            <w:pPr>
              <w:ind w:left="20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14%</w:t>
            </w:r>
          </w:p>
        </w:tc>
      </w:tr>
      <w:tr>
        <w:trPr>
          <w:trHeight w:val="277"/>
        </w:trPr>
        <w:tc>
          <w:tcPr>
            <w:tcW w:w="5960" w:type="dxa"/>
            <w:vAlign w:val="bottom"/>
          </w:tcPr>
          <w:p>
            <w:pPr>
              <w:ind w:left="200"/>
              <w:spacing w:after="0"/>
              <w:rPr>
                <w:sz w:val="20"/>
                <w:szCs w:val="20"/>
                <w:color w:val="auto"/>
              </w:rPr>
            </w:pPr>
            <w:r>
              <w:rPr>
                <w:rFonts w:ascii="Arial" w:cs="Arial" w:eastAsia="Arial" w:hAnsi="Arial"/>
                <w:sz w:val="18"/>
                <w:szCs w:val="18"/>
                <w:color w:val="auto"/>
              </w:rPr>
              <w:t>Transaction-related costs, net</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50"/>
        </w:trPr>
        <w:tc>
          <w:tcPr>
            <w:tcW w:w="5960" w:type="dxa"/>
            <w:vAlign w:val="bottom"/>
          </w:tcPr>
          <w:p>
            <w:pPr>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486"/>
        </w:trPr>
        <w:tc>
          <w:tcPr>
            <w:tcW w:w="5960" w:type="dxa"/>
            <w:vAlign w:val="bottom"/>
          </w:tcPr>
          <w:p>
            <w:pPr>
              <w:spacing w:after="0"/>
              <w:rPr>
                <w:sz w:val="20"/>
                <w:szCs w:val="20"/>
                <w:color w:val="auto"/>
              </w:rPr>
            </w:pPr>
            <w:r>
              <w:rPr>
                <w:rFonts w:ascii="Arial" w:cs="Arial" w:eastAsia="Arial" w:hAnsi="Arial"/>
                <w:sz w:val="18"/>
                <w:szCs w:val="18"/>
                <w:b w:val="1"/>
                <w:bCs w:val="1"/>
                <w:color w:val="auto"/>
              </w:rPr>
              <w:t>Loss before income taxes</w:t>
            </w:r>
          </w:p>
        </w:tc>
        <w:tc>
          <w:tcPr>
            <w:tcW w:w="2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22%</w:t>
            </w:r>
          </w:p>
        </w:tc>
      </w:tr>
      <w:tr>
        <w:trPr>
          <w:trHeight w:val="277"/>
        </w:trPr>
        <w:tc>
          <w:tcPr>
            <w:tcW w:w="596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28%</w:t>
            </w:r>
          </w:p>
        </w:tc>
      </w:tr>
      <w:tr>
        <w:trPr>
          <w:trHeight w:val="486"/>
        </w:trPr>
        <w:tc>
          <w:tcPr>
            <w:tcW w:w="59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19%</w:t>
            </w: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first quarter is typically a seasonally slower and lower-margin period for our business. First quarter results are not indicative of the full year.</w:t>
      </w:r>
    </w:p>
    <w:p>
      <w:pPr>
        <w:spacing w:after="0" w:line="225" w:lineRule="exact"/>
        <w:rPr>
          <w:sz w:val="20"/>
          <w:szCs w:val="20"/>
          <w:color w:val="auto"/>
        </w:rPr>
      </w:pPr>
    </w:p>
    <w:p>
      <w:pPr>
        <w:jc w:val="both"/>
        <w:ind w:right="580"/>
        <w:spacing w:after="0" w:line="262" w:lineRule="auto"/>
        <w:rPr>
          <w:sz w:val="20"/>
          <w:szCs w:val="20"/>
          <w:color w:val="auto"/>
        </w:rPr>
      </w:pPr>
      <w:r>
        <w:rPr>
          <w:rFonts w:ascii="Arial" w:cs="Arial" w:eastAsia="Arial" w:hAnsi="Arial"/>
          <w:sz w:val="18"/>
          <w:szCs w:val="18"/>
          <w:color w:val="auto"/>
        </w:rPr>
        <w:t>During first quarter 2018, our revenues increased as a result of a 5% increase in rental volumes and a $63 million benefit from currency exchange rate movements. Revenue per day increased 2% (including a 3% favorable impact from currency exchange rate movements).</w:t>
      </w:r>
    </w:p>
    <w:p>
      <w:pPr>
        <w:spacing w:after="0" w:line="1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Total expenses increased as a result of increased rental volumes, a 3% increase in average rental fleet, increased marketing investment and airport concession fees, partially offset by the benefits of cost mitigating actions and lower per-unit fleet costs in the Americas. These increases include a $60 million negative effect from currency exchange rate movements. Our effective tax rates were benefits of 33% and 35% for the three months ended March 31, 2018 and 2017, respectively. As a result of these items, our net income increased by $20 million.</w:t>
      </w:r>
    </w:p>
    <w:p>
      <w:pPr>
        <w:spacing w:after="0" w:line="2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 the three months ended March 31, 2018, the Company reported a loss of $1.08 per diluted share, which includes after-tax non-operational charges related to shareholder activist activity of ($ 0.08) per share, after-tax restructuring and other related charges of ($0.05) per share, after-tax debt extinguishment costs of ($0.05) per share and after-tax transaction-related costs of ($0.04) per share. For the three months ended March 31, 2017, the Company reported a loss of $1.25 per diluted share, which includes after-tax charges for legal matters of ($0.09) per share, after-tax restructuring and other related charges of ($0.05) per share, after-tax transaction-related costs of ($0.03) per share and after-tax debt extinguishment costs of ($0.02) per share.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40"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March 31, 2018:</w:t>
      </w:r>
    </w:p>
    <w:p>
      <w:pPr>
        <w:spacing w:after="0" w:line="225" w:lineRule="exact"/>
        <w:rPr>
          <w:sz w:val="20"/>
          <w:szCs w:val="20"/>
          <w:color w:val="auto"/>
        </w:rPr>
      </w:pPr>
    </w:p>
    <w:p>
      <w:pPr>
        <w:ind w:left="660" w:right="40" w:hanging="328"/>
        <w:spacing w:after="0" w:line="262"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Operating expenses were reduced to 55.5% of revenue from 57.1% in first quarter 2017, primarily due to the benefits of cost mitigating actions, expenses related to an unprecedented personal-injury legal matter in the prior year and currency hedge gains.</w:t>
      </w:r>
    </w:p>
    <w:p>
      <w:pPr>
        <w:spacing w:after="0" w:line="196" w:lineRule="exact"/>
        <w:rPr>
          <w:rFonts w:ascii="Arial" w:cs="Arial" w:eastAsia="Arial" w:hAnsi="Arial"/>
          <w:sz w:val="18"/>
          <w:szCs w:val="18"/>
          <w:color w:val="auto"/>
        </w:rPr>
      </w:pPr>
    </w:p>
    <w:p>
      <w:pPr>
        <w:ind w:left="660" w:right="60" w:hanging="328"/>
        <w:spacing w:after="0" w:line="262"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Vehicle depreciation and lease charges were reduced to 26.2% of revenue from 27.4% in first quarter 2017, primarily due to lower per-unit fleet costs in the Americas and higher utilization.</w:t>
      </w:r>
    </w:p>
    <w:p>
      <w:pPr>
        <w:spacing w:after="0" w:line="196" w:lineRule="exact"/>
        <w:rPr>
          <w:rFonts w:ascii="Arial" w:cs="Arial" w:eastAsia="Arial" w:hAnsi="Arial"/>
          <w:sz w:val="18"/>
          <w:szCs w:val="18"/>
          <w:color w:val="auto"/>
        </w:rPr>
      </w:pPr>
    </w:p>
    <w:p>
      <w:pPr>
        <w:ind w:left="660" w:right="660" w:hanging="328"/>
        <w:spacing w:after="0" w:line="262"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15.1% of revenue compared to 14.2% in first quarter 2017, due to higher marketing investment and commissions, and non-operational charges related to shareholder activist activity.</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Vehicle interest costs increased to 3.7% of revenue compared to 3.5% in the prior-year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loss to Adjusted EBITDA:</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50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12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240" w:type="dxa"/>
            <w:vAlign w:val="bottom"/>
            <w:tcBorders>
              <w:bottom w:val="single" w:sz="8" w:color="auto"/>
            </w:tcBorders>
          </w:tcPr>
          <w:p>
            <w:pPr>
              <w:spacing w:after="0"/>
              <w:rPr>
                <w:sz w:val="21"/>
                <w:szCs w:val="21"/>
                <w:color w:val="auto"/>
              </w:rPr>
            </w:pPr>
          </w:p>
        </w:tc>
      </w:tr>
      <w:tr>
        <w:trPr>
          <w:trHeight w:val="207"/>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8"/>
              </w:rPr>
              <w:t>Adjusted</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b w:val="1"/>
                <w:bCs w:val="1"/>
                <w:color w:val="auto"/>
              </w:rPr>
              <w:t>Adjusted</w:t>
            </w:r>
          </w:p>
        </w:tc>
      </w:tr>
      <w:tr>
        <w:trPr>
          <w:trHeight w:val="246"/>
        </w:trPr>
        <w:tc>
          <w:tcPr>
            <w:tcW w:w="5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1"/>
                <w:szCs w:val="21"/>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rPr>
              <w:t>EBITDA</w:t>
            </w:r>
          </w:p>
        </w:tc>
        <w:tc>
          <w:tcPr>
            <w:tcW w:w="220" w:type="dxa"/>
            <w:vAlign w:val="bottom"/>
          </w:tcPr>
          <w:p>
            <w:pPr>
              <w:spacing w:after="0"/>
              <w:rPr>
                <w:sz w:val="21"/>
                <w:szCs w:val="21"/>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1"/>
                <w:szCs w:val="21"/>
                <w:color w:val="auto"/>
              </w:rPr>
            </w:pPr>
          </w:p>
        </w:tc>
        <w:tc>
          <w:tcPr>
            <w:tcW w:w="1240" w:type="dxa"/>
            <w:vAlign w:val="bottom"/>
          </w:tcPr>
          <w:p>
            <w:pPr>
              <w:jc w:val="right"/>
              <w:ind w:right="330"/>
              <w:spacing w:after="0"/>
              <w:rPr>
                <w:sz w:val="20"/>
                <w:szCs w:val="20"/>
                <w:color w:val="auto"/>
              </w:rPr>
            </w:pPr>
            <w:r>
              <w:rPr>
                <w:rFonts w:ascii="Arial" w:cs="Arial" w:eastAsia="Arial" w:hAnsi="Arial"/>
                <w:sz w:val="18"/>
                <w:szCs w:val="18"/>
                <w:b w:val="1"/>
                <w:bCs w:val="1"/>
                <w:color w:val="auto"/>
              </w:rPr>
              <w:t>EBITDA</w:t>
            </w: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Americas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5080" w:type="dxa"/>
            <w:vAlign w:val="bottom"/>
          </w:tcPr>
          <w:p>
            <w:pPr>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283"/>
        </w:trPr>
        <w:tc>
          <w:tcPr>
            <w:tcW w:w="5080" w:type="dxa"/>
            <w:vAlign w:val="bottom"/>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8"/>
                <w:szCs w:val="18"/>
                <w:color w:val="auto"/>
                <w:vertAlign w:val="superscript"/>
              </w:rPr>
              <w:t>(a)</w:t>
            </w:r>
          </w:p>
        </w:tc>
        <w:tc>
          <w:tcPr>
            <w:tcW w:w="22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5080" w:type="dxa"/>
            <w:vAlign w:val="bottom"/>
          </w:tcPr>
          <w:p>
            <w:pPr>
              <w:ind w:left="120"/>
              <w:spacing w:after="0"/>
              <w:rPr>
                <w:sz w:val="20"/>
                <w:szCs w:val="20"/>
                <w:color w:val="auto"/>
              </w:rPr>
            </w:pPr>
            <w:r>
              <w:rPr>
                <w:rFonts w:ascii="Arial" w:cs="Arial" w:eastAsia="Arial" w:hAnsi="Arial"/>
                <w:sz w:val="18"/>
                <w:szCs w:val="18"/>
                <w:color w:val="auto"/>
              </w:rPr>
              <w:t>Total Company</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1,839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8300"/>
        <w:spacing w:after="0"/>
        <w:rPr>
          <w:sz w:val="20"/>
          <w:szCs w:val="20"/>
          <w:color w:val="auto"/>
        </w:rPr>
      </w:pPr>
      <w:r>
        <w:rPr>
          <w:rFonts w:ascii="Arial" w:cs="Arial" w:eastAsia="Arial" w:hAnsi="Arial"/>
          <w:sz w:val="18"/>
          <w:szCs w:val="18"/>
          <w:b w:val="1"/>
          <w:bCs w:val="1"/>
          <w:color w:val="auto"/>
        </w:rPr>
        <w:t>Reconciliation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28575</wp:posOffset>
            </wp:positionV>
            <wp:extent cx="39789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8320" w:type="dxa"/>
            <w:vAlign w:val="bottom"/>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7"/>
        </w:trPr>
        <w:tc>
          <w:tcPr>
            <w:tcW w:w="8320" w:type="dxa"/>
            <w:vAlign w:val="bottom"/>
          </w:tcPr>
          <w:p>
            <w:pPr>
              <w:ind w:left="40"/>
              <w:spacing w:after="0"/>
              <w:rPr>
                <w:sz w:val="20"/>
                <w:szCs w:val="20"/>
                <w:color w:val="auto"/>
              </w:rPr>
            </w:pPr>
            <w:r>
              <w:rPr>
                <w:rFonts w:ascii="Arial" w:cs="Arial" w:eastAsia="Arial" w:hAnsi="Arial"/>
                <w:sz w:val="18"/>
                <w:szCs w:val="18"/>
                <w:color w:val="auto"/>
              </w:rPr>
              <w:t>Benefit from income taxes</w:t>
            </w:r>
          </w:p>
        </w:tc>
        <w:tc>
          <w:tcPr>
            <w:tcW w:w="9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500"/>
        </w:trPr>
        <w:tc>
          <w:tcPr>
            <w:tcW w:w="8320" w:type="dxa"/>
            <w:vAlign w:val="bottom"/>
          </w:tcPr>
          <w:p>
            <w:pPr>
              <w:ind w:left="40"/>
              <w:spacing w:after="0"/>
              <w:rPr>
                <w:sz w:val="20"/>
                <w:szCs w:val="20"/>
                <w:color w:val="auto"/>
              </w:rPr>
            </w:pPr>
            <w:r>
              <w:rPr>
                <w:rFonts w:ascii="Arial" w:cs="Arial" w:eastAsia="Arial" w:hAnsi="Arial"/>
                <w:sz w:val="18"/>
                <w:szCs w:val="18"/>
                <w:color w:val="auto"/>
              </w:rPr>
              <w:t>Add:  Non-vehicle related depreciation and amortization</w:t>
            </w:r>
          </w:p>
        </w:tc>
        <w:tc>
          <w:tcPr>
            <w:tcW w:w="980" w:type="dxa"/>
            <w:vAlign w:val="bottom"/>
          </w:tcPr>
          <w:p>
            <w:pPr>
              <w:spacing w:after="0"/>
              <w:rPr>
                <w:sz w:val="24"/>
                <w:szCs w:val="24"/>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0"/>
        </w:trPr>
        <w:tc>
          <w:tcPr>
            <w:tcW w:w="8320" w:type="dxa"/>
            <w:vAlign w:val="bottom"/>
          </w:tcPr>
          <w:p>
            <w:pPr>
              <w:ind w:left="620"/>
              <w:spacing w:after="0"/>
              <w:rPr>
                <w:sz w:val="20"/>
                <w:szCs w:val="20"/>
                <w:color w:val="auto"/>
              </w:rPr>
            </w:pPr>
            <w:r>
              <w:rPr>
                <w:rFonts w:ascii="Arial" w:cs="Arial" w:eastAsia="Arial" w:hAnsi="Arial"/>
                <w:sz w:val="18"/>
                <w:szCs w:val="18"/>
                <w:color w:val="auto"/>
              </w:rPr>
              <w:t>Interest expense related to corporate debt, net</w:t>
            </w:r>
          </w:p>
        </w:tc>
        <w:tc>
          <w:tcPr>
            <w:tcW w:w="9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860"/>
              <w:spacing w:after="0"/>
              <w:rPr>
                <w:sz w:val="20"/>
                <w:szCs w:val="20"/>
                <w:color w:val="auto"/>
              </w:rPr>
            </w:pPr>
            <w:r>
              <w:rPr>
                <w:rFonts w:ascii="Arial" w:cs="Arial" w:eastAsia="Arial" w:hAnsi="Arial"/>
                <w:sz w:val="18"/>
                <w:szCs w:val="18"/>
                <w:color w:val="auto"/>
              </w:rPr>
              <w:t>Interest expense</w:t>
            </w:r>
          </w:p>
        </w:tc>
        <w:tc>
          <w:tcPr>
            <w:tcW w:w="98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8320" w:type="dxa"/>
            <w:vAlign w:val="bottom"/>
          </w:tcPr>
          <w:p>
            <w:pPr>
              <w:ind w:left="860"/>
              <w:spacing w:after="0"/>
              <w:rPr>
                <w:sz w:val="20"/>
                <w:szCs w:val="20"/>
                <w:color w:val="auto"/>
              </w:rPr>
            </w:pPr>
            <w:r>
              <w:rPr>
                <w:rFonts w:ascii="Arial" w:cs="Arial" w:eastAsia="Arial" w:hAnsi="Arial"/>
                <w:sz w:val="18"/>
                <w:szCs w:val="18"/>
                <w:color w:val="auto"/>
              </w:rPr>
              <w:t>Early extinguishment of debt</w:t>
            </w:r>
          </w:p>
        </w:tc>
        <w:tc>
          <w:tcPr>
            <w:tcW w:w="980" w:type="dxa"/>
            <w:vAlign w:val="bottom"/>
          </w:tcPr>
          <w:p>
            <w:pPr>
              <w:spacing w:after="0"/>
              <w:rPr>
                <w:sz w:val="23"/>
                <w:szCs w:val="23"/>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83"/>
        </w:trPr>
        <w:tc>
          <w:tcPr>
            <w:tcW w:w="8320" w:type="dxa"/>
            <w:vAlign w:val="bottom"/>
          </w:tcPr>
          <w:p>
            <w:pPr>
              <w:ind w:left="620"/>
              <w:spacing w:after="0"/>
              <w:rPr>
                <w:sz w:val="20"/>
                <w:szCs w:val="20"/>
                <w:color w:val="auto"/>
              </w:rPr>
            </w:pPr>
            <w:r>
              <w:rPr>
                <w:rFonts w:ascii="Arial" w:cs="Arial" w:eastAsia="Arial" w:hAnsi="Arial"/>
                <w:sz w:val="18"/>
                <w:szCs w:val="18"/>
                <w:color w:val="auto"/>
              </w:rPr>
              <w:t xml:space="preserve">Non-operational charges related to shareholder activist activity </w:t>
            </w:r>
            <w:r>
              <w:rPr>
                <w:rFonts w:ascii="Arial" w:cs="Arial" w:eastAsia="Arial" w:hAnsi="Arial"/>
                <w:sz w:val="18"/>
                <w:szCs w:val="18"/>
                <w:color w:val="auto"/>
                <w:vertAlign w:val="superscript"/>
              </w:rPr>
              <w:t>(b)</w:t>
            </w:r>
          </w:p>
        </w:tc>
        <w:tc>
          <w:tcPr>
            <w:tcW w:w="980" w:type="dxa"/>
            <w:vAlign w:val="bottom"/>
          </w:tcPr>
          <w:p>
            <w:pPr>
              <w:spacing w:after="0"/>
              <w:rPr>
                <w:sz w:val="24"/>
                <w:szCs w:val="24"/>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320" w:type="dxa"/>
            <w:vAlign w:val="bottom"/>
          </w:tcPr>
          <w:p>
            <w:pPr>
              <w:ind w:left="620"/>
              <w:spacing w:after="0"/>
              <w:rPr>
                <w:sz w:val="20"/>
                <w:szCs w:val="20"/>
                <w:color w:val="auto"/>
              </w:rPr>
            </w:pPr>
            <w:r>
              <w:rPr>
                <w:rFonts w:ascii="Arial" w:cs="Arial" w:eastAsia="Arial" w:hAnsi="Arial"/>
                <w:sz w:val="18"/>
                <w:szCs w:val="18"/>
                <w:color w:val="auto"/>
              </w:rPr>
              <w:t>Restructuring and other related charges</w:t>
            </w:r>
          </w:p>
        </w:tc>
        <w:tc>
          <w:tcPr>
            <w:tcW w:w="980" w:type="dxa"/>
            <w:vAlign w:val="bottom"/>
          </w:tcPr>
          <w:p>
            <w:pPr>
              <w:spacing w:after="0"/>
              <w:rPr>
                <w:sz w:val="22"/>
                <w:szCs w:val="22"/>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83"/>
        </w:trPr>
        <w:tc>
          <w:tcPr>
            <w:tcW w:w="8320" w:type="dxa"/>
            <w:vAlign w:val="bottom"/>
          </w:tcPr>
          <w:p>
            <w:pPr>
              <w:ind w:left="62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18"/>
                <w:szCs w:val="18"/>
                <w:color w:val="auto"/>
                <w:vertAlign w:val="superscript"/>
              </w:rPr>
              <w:t>(c)</w:t>
            </w:r>
          </w:p>
        </w:tc>
        <w:tc>
          <w:tcPr>
            <w:tcW w:w="980" w:type="dxa"/>
            <w:vAlign w:val="bottom"/>
          </w:tcPr>
          <w:p>
            <w:pPr>
              <w:spacing w:after="0"/>
              <w:rPr>
                <w:sz w:val="24"/>
                <w:szCs w:val="24"/>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8320" w:type="dxa"/>
            <w:vAlign w:val="bottom"/>
          </w:tcPr>
          <w:p>
            <w:pPr>
              <w:ind w:left="620"/>
              <w:spacing w:after="0"/>
              <w:rPr>
                <w:sz w:val="20"/>
                <w:szCs w:val="20"/>
                <w:color w:val="auto"/>
              </w:rPr>
            </w:pPr>
            <w:r>
              <w:rPr>
                <w:rFonts w:ascii="Arial" w:cs="Arial" w:eastAsia="Arial" w:hAnsi="Arial"/>
                <w:sz w:val="18"/>
                <w:szCs w:val="18"/>
                <w:color w:val="auto"/>
              </w:rPr>
              <w:t xml:space="preserve">Charges for legal matter, net </w:t>
            </w:r>
            <w:r>
              <w:rPr>
                <w:rFonts w:ascii="Arial" w:cs="Arial" w:eastAsia="Arial" w:hAnsi="Arial"/>
                <w:sz w:val="18"/>
                <w:szCs w:val="18"/>
                <w:color w:val="auto"/>
                <w:vertAlign w:val="superscript"/>
              </w:rPr>
              <w:t>(d)</w:t>
            </w:r>
          </w:p>
        </w:tc>
        <w:tc>
          <w:tcPr>
            <w:tcW w:w="980" w:type="dxa"/>
            <w:vAlign w:val="bottom"/>
          </w:tcPr>
          <w:p>
            <w:pPr>
              <w:spacing w:after="0"/>
              <w:rPr>
                <w:sz w:val="23"/>
                <w:szCs w:val="23"/>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0"/>
        </w:trPr>
        <w:tc>
          <w:tcPr>
            <w:tcW w:w="83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98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32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hanging="332"/>
        <w:spacing w:after="0" w:line="193" w:lineRule="auto"/>
        <w:tabs>
          <w:tab w:leader="none" w:pos="34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40" w:hanging="332"/>
        <w:spacing w:after="0" w:line="187" w:lineRule="auto"/>
        <w:tabs>
          <w:tab w:leader="none" w:pos="34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Reported within selling, general and administrative expenses in our consolidated condensed results of operations.</w:t>
      </w:r>
    </w:p>
    <w:p>
      <w:pPr>
        <w:ind w:left="340" w:hanging="332"/>
        <w:spacing w:after="0" w:line="187" w:lineRule="auto"/>
        <w:tabs>
          <w:tab w:leader="none" w:pos="34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Primarily comprised of acquisition- and integration-related expenses.</w:t>
      </w:r>
    </w:p>
    <w:p>
      <w:pPr>
        <w:ind w:left="340" w:hanging="332"/>
        <w:spacing w:after="0" w:line="199" w:lineRule="auto"/>
        <w:tabs>
          <w:tab w:leader="none" w:pos="340" w:val="left"/>
        </w:tabs>
        <w:numPr>
          <w:ilvl w:val="0"/>
          <w:numId w:val="45"/>
        </w:numPr>
        <w:rPr>
          <w:rFonts w:ascii="Arial" w:cs="Arial" w:eastAsia="Arial" w:hAnsi="Arial"/>
          <w:sz w:val="18"/>
          <w:szCs w:val="18"/>
          <w:color w:val="auto"/>
          <w:vertAlign w:val="superscript"/>
        </w:rPr>
      </w:pPr>
      <w:r>
        <w:rPr>
          <w:rFonts w:ascii="Arial" w:cs="Arial" w:eastAsia="Arial" w:hAnsi="Arial"/>
          <w:sz w:val="14"/>
          <w:szCs w:val="14"/>
          <w:color w:val="auto"/>
        </w:rPr>
        <w:t>Reported within operating expenses in our consolidated condensed results of operations.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6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99"/>
        </w:trPr>
        <w:tc>
          <w:tcPr>
            <w:tcW w:w="7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1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1,348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1,314</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75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n/m</w:t>
            </w:r>
          </w:p>
        </w:tc>
      </w:tr>
      <w:tr>
        <w:trPr>
          <w:trHeight w:val="207"/>
        </w:trPr>
        <w:tc>
          <w:tcPr>
            <w:tcW w:w="7560" w:type="dxa"/>
            <w:vAlign w:val="bottom"/>
          </w:tcPr>
          <w:p>
            <w:pPr>
              <w:spacing w:after="0"/>
              <w:rPr>
                <w:sz w:val="20"/>
                <w:szCs w:val="20"/>
                <w:color w:val="auto"/>
              </w:rPr>
            </w:pPr>
            <w:r>
              <w:rPr>
                <w:rFonts w:ascii="Arial" w:cs="Arial" w:eastAsia="Arial" w:hAnsi="Arial"/>
                <w:sz w:val="16"/>
                <w:szCs w:val="16"/>
                <w:color w:val="auto"/>
              </w:rPr>
              <w:t>__________</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72"/>
        </w:trPr>
        <w:tc>
          <w:tcPr>
            <w:tcW w:w="7560" w:type="dxa"/>
            <w:vAlign w:val="bottom"/>
          </w:tcPr>
          <w:p>
            <w:pPr>
              <w:spacing w:after="0"/>
              <w:rPr>
                <w:sz w:val="20"/>
                <w:szCs w:val="20"/>
                <w:color w:val="auto"/>
              </w:rPr>
            </w:pPr>
            <w:r>
              <w:rPr>
                <w:rFonts w:ascii="Arial" w:cs="Arial" w:eastAsia="Arial" w:hAnsi="Arial"/>
                <w:sz w:val="14"/>
                <w:szCs w:val="14"/>
                <w:color w:val="auto"/>
              </w:rPr>
              <w:t>n/m Not meaningful.</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r>
    </w:tbl>
    <w:p>
      <w:pPr>
        <w:spacing w:after="0" w:line="20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Revenues increased 3% in the first quarter 2018 compared with first quarter 2017, primarily due to a 3% increase in rental volumes. Currency movements increased revenues by $2 million.</w:t>
      </w: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00"/>
          </w:cols>
          <w:pgMar w:left="240" w:top="140" w:right="25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both"/>
        <w:ind w:right="480"/>
        <w:spacing w:after="0" w:line="256" w:lineRule="auto"/>
        <w:rPr>
          <w:sz w:val="20"/>
          <w:szCs w:val="20"/>
          <w:color w:val="auto"/>
        </w:rPr>
      </w:pPr>
      <w:r>
        <w:rPr>
          <w:rFonts w:ascii="Arial" w:cs="Arial" w:eastAsia="Arial" w:hAnsi="Arial"/>
          <w:sz w:val="18"/>
          <w:szCs w:val="18"/>
          <w:color w:val="auto"/>
        </w:rPr>
        <w:t>Adjusted EBITDA increased $35 million in first quarter 2018 compared with first quarter 2017, primarily due to increased revenues, a 4% decrease in per-unit fleet costs and an increase in utilization of 120 basis points. Currency movements increased Adjusted EBITDA by $2 million.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March 31, 2018:</w:t>
      </w:r>
    </w:p>
    <w:p>
      <w:pPr>
        <w:spacing w:after="0" w:line="225" w:lineRule="exact"/>
        <w:rPr>
          <w:sz w:val="20"/>
          <w:szCs w:val="20"/>
          <w:color w:val="auto"/>
        </w:rPr>
      </w:pPr>
    </w:p>
    <w:p>
      <w:pPr>
        <w:ind w:left="660" w:right="660" w:hanging="328"/>
        <w:spacing w:after="0" w:line="26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Operating expenses were reduced to 53.3% of revenue from 55.6% in first quarter 2017, primarily due to the benefits from cost mitigating actions and expenses related to an unprecedented personal-injury legal matter in the prior year.</w:t>
      </w:r>
    </w:p>
    <w:p>
      <w:pPr>
        <w:spacing w:after="0" w:line="196"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Vehicle depreciation and lease charges were reduced to 28.6% of revenue from 30.2% in the prior-year period, due to lower per-unit fleet costs and higher utilization.</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Selling, general and administrative costs, at 12.8% of revenue, remained level with first quarter 2017.</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Vehicle interest costs increased to 4.2% of revenue compared to 4.0% in the prior-year period.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8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9"/>
        </w:trPr>
        <w:tc>
          <w:tcPr>
            <w:tcW w:w="74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4"/>
                <w:szCs w:val="24"/>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0"/>
        </w:trPr>
        <w:tc>
          <w:tcPr>
            <w:tcW w:w="748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w:t>
            </w:r>
          </w:p>
        </w:tc>
      </w:tr>
    </w:tbl>
    <w:p>
      <w:pPr>
        <w:spacing w:after="0" w:line="22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Revenues increased 18% in first quarter 2018 compared to first quarter 2017, due to 9% higher rental volumes and a $61 million benefit from currency exchange rate movements, partially offset by a 2% decrease in revenue per day excluding currency exchange rate movements.</w:t>
      </w:r>
    </w:p>
    <w:p>
      <w:pPr>
        <w:spacing w:after="0" w:line="1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Adjusted EBITDA was $4 million lower in first quarter 2018 compared to first quarter 2017, primarily due to increased marketing investment, higher airport concession fees and weather related maintenance and damage costs, partially offset by increased revenues and a favorable $4 million currency exchange rate effects.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March 31, 2018:</w:t>
      </w:r>
    </w:p>
    <w:p>
      <w:pPr>
        <w:spacing w:after="0" w:line="225" w:lineRule="exact"/>
        <w:rPr>
          <w:sz w:val="20"/>
          <w:szCs w:val="20"/>
          <w:color w:val="auto"/>
        </w:rPr>
      </w:pPr>
    </w:p>
    <w:p>
      <w:pPr>
        <w:ind w:left="660" w:right="340" w:hanging="328"/>
        <w:spacing w:after="0" w:line="26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Operating expenses were reduced to 59.5% of revenue from 60.4% in the prior-year period, primarily due to currency hedge gains, partially offset by higher weather related maintenance and damage costs.</w:t>
      </w:r>
    </w:p>
    <w:p>
      <w:pPr>
        <w:spacing w:after="0" w:line="196" w:lineRule="exact"/>
        <w:rPr>
          <w:rFonts w:ascii="Arial" w:cs="Arial" w:eastAsia="Arial" w:hAnsi="Arial"/>
          <w:sz w:val="18"/>
          <w:szCs w:val="18"/>
          <w:color w:val="auto"/>
        </w:rPr>
      </w:pPr>
    </w:p>
    <w:p>
      <w:pPr>
        <w:ind w:left="660" w:right="440" w:hanging="328"/>
        <w:spacing w:after="0" w:line="26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20.8% of revenue from 20.4% in the first quarter 2017, primarily due to lower revenue per day excluding currency exchange rate movements, partially offset by higher utilization.</w:t>
      </w:r>
    </w:p>
    <w:p>
      <w:pPr>
        <w:spacing w:after="0" w:line="196"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16.7% of revenue from 15.6% in the prior-year period, due to higher marketing investment and commissions.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Vehicle interest costs increased to 2.4% of revenue compared to 2.2% in first quarter 2017.</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40" w:right="25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61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0"/>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FINANCIAL CONDITION</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2"/>
        </w:trPr>
        <w:tc>
          <w:tcPr>
            <w:tcW w:w="14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24"/>
                <w:szCs w:val="24"/>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6"/>
        </w:trPr>
        <w:tc>
          <w:tcPr>
            <w:tcW w:w="140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Change</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5,966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5,820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146</w:t>
            </w:r>
          </w:p>
        </w:tc>
      </w:tr>
      <w:tr>
        <w:trPr>
          <w:trHeight w:val="270"/>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2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6,147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5,935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212</w:t>
            </w:r>
          </w:p>
        </w:tc>
      </w:tr>
      <w:tr>
        <w:trPr>
          <w:trHeight w:val="270"/>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Assets under vehicle programs</w:t>
            </w:r>
          </w:p>
        </w:tc>
        <w:tc>
          <w:tcPr>
            <w:tcW w:w="2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13,256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11,879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1,377</w:t>
            </w:r>
          </w:p>
        </w:tc>
      </w:tr>
      <w:tr>
        <w:trPr>
          <w:trHeight w:val="270"/>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Liabilities under vehicle programs</w:t>
            </w:r>
          </w:p>
        </w:tc>
        <w:tc>
          <w:tcPr>
            <w:tcW w:w="2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12,620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11,191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1,429</w:t>
            </w:r>
          </w:p>
        </w:tc>
      </w:tr>
      <w:tr>
        <w:trPr>
          <w:trHeight w:val="270"/>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(118)</w:t>
            </w:r>
          </w:p>
        </w:tc>
      </w:tr>
    </w:tbl>
    <w:p>
      <w:pPr>
        <w:spacing w:after="0" w:line="229"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Total assets exclusive of assets under vehicle programs increased primarily due to a seasonal increase in value-added tax receivables, which are recoverable from government agencies. Total liabilities exclusive of liabilities under vehicle programs increased primarily due to a seasonal increase in accounts payable.</w:t>
      </w:r>
    </w:p>
    <w:p>
      <w:pPr>
        <w:spacing w:after="0" w:line="20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increases in assets under vehicle programs and liabilities under vehicle programs are principally related to the seasonal increase in the size of our vehicle rental fleet. The decrease in stockholders’ equity is primarily due to our net loss and the adoption of ASU 2014-09 (See Note 1 to our Consolidated Condensed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9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During the three months ended March 31, 2018, we amended the terms of our Floating Rate Term Loan due 2022 and our Senior revolving credit facility maturing 2021 and extended the maturity to 2025 and 2023, respectively.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color w:val="auto"/>
              </w:rPr>
              <w:t>The following table summarizes our cash flows: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9"/>
        </w:trPr>
        <w:tc>
          <w:tcPr>
            <w:tcW w:w="6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7"/>
          </w:tcPr>
          <w:p>
            <w:pPr>
              <w:jc w:val="right"/>
              <w:ind w:right="870"/>
              <w:spacing w:after="0"/>
              <w:rPr>
                <w:sz w:val="20"/>
                <w:szCs w:val="20"/>
                <w:color w:val="auto"/>
              </w:rPr>
            </w:pPr>
            <w:r>
              <w:rPr>
                <w:rFonts w:ascii="Arial" w:cs="Arial" w:eastAsia="Arial" w:hAnsi="Arial"/>
                <w:sz w:val="18"/>
                <w:szCs w:val="18"/>
                <w:b w:val="1"/>
                <w:bCs w:val="1"/>
                <w:color w:val="auto"/>
              </w:rPr>
              <w:t>Three Months Ended March 31,</w:t>
            </w:r>
          </w:p>
        </w:tc>
      </w:tr>
      <w:tr>
        <w:trPr>
          <w:trHeight w:val="264"/>
        </w:trPr>
        <w:tc>
          <w:tcPr>
            <w:tcW w:w="67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503</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(677)</w:t>
            </w: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1,024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42"/>
        </w:trPr>
        <w:tc>
          <w:tcPr>
            <w:tcW w:w="6740" w:type="dxa"/>
            <w:vAlign w:val="bottom"/>
          </w:tcPr>
          <w:p>
            <w:pPr>
              <w:ind w:left="40"/>
              <w:spacing w:after="0"/>
              <w:rPr>
                <w:sz w:val="20"/>
                <w:szCs w:val="20"/>
                <w:color w:val="auto"/>
              </w:rPr>
            </w:pPr>
            <w:r>
              <w:rPr>
                <w:rFonts w:ascii="Arial" w:cs="Arial" w:eastAsia="Arial" w:hAnsi="Arial"/>
                <w:sz w:val="18"/>
                <w:szCs w:val="18"/>
                <w:color w:val="auto"/>
              </w:rPr>
              <w:t>Effect of changes in exchange rates on cash and cash equivalents, program and</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4"/>
        </w:trPr>
        <w:tc>
          <w:tcPr>
            <w:tcW w:w="674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 program and restricted cash</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(550)</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w:t>
            </w:r>
          </w:p>
        </w:tc>
      </w:tr>
      <w:tr>
        <w:trPr>
          <w:trHeight w:val="250"/>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program and restricted cash,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701</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1,070</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increase in cash provided by operating activities during the three months ended March 31, 2018 compared with the same period in 2017 is principally due to changes in the components of working capital.</w:t>
      </w:r>
    </w:p>
    <w:p>
      <w:pPr>
        <w:spacing w:after="0" w:line="196"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increase in cash used in investing activities during the three months ended March 31, 2018 compared with the same period in 2017 is primarily due to an increase in investment in vehicles, partially offset by a decrease in proceeds received on the disposition of vehicles.</w:t>
      </w:r>
    </w:p>
    <w:p>
      <w:pPr>
        <w:spacing w:after="0" w:line="1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increase in cash provided by financing activities during the three months ended March 31, 2018 compared with the same period in 2017 is primarily due to an increase in net borrowings under vehicle programs, partially offset by a decrease in net corporate borrowings and a decrease in share repurchases.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08"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47"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At March 31, 2018, we had approximately $14 billion of indebtedness, including corporate indebtedness of approximately $4 billion and debt under vehicle programs of approximately $10 billion. For detailed information regarding our debt and borrowing arrangements, see Notes 11 and 12 to our Consolidated Condensed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4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Our primary liquidity needs include the procurement of rental vehicles to be used in our operations, servicing of corporate and vehicle-related debt and the payment of operating expenses. Our primary sources of funding are operating revenues, cash received upon the sale of vehicles, borrowings under our vehicle-backed borrowing arrangements and our senior revolving credit facility, and other financing activities.</w:t>
      </w:r>
    </w:p>
    <w:p>
      <w:pPr>
        <w:spacing w:after="0" w:line="148"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As a result of the Tax Act, we are subject to a one-time transition tax on cumulative earnings of foreign subsidiaries. We recorded a provisional charge for the one-time transition tax of $104 million in the fourth quarter of 2017. The Tax Act provides companies the ability to offset the one-time transition tax with available tax attributes or elect to pay the tax over an eight year period. Although the Tax Act generally eliminates U.S. federal income taxes on dividends from foreign subsidiaries effective for years beginning January 1, 2018, we continue to evaluate the expected manner of recovery to determine whether or not to continue to assert indefinite reinvestment on a part or all of our undistributed foreign earnings. This requires us to analyze our global working capital and cash requirements in light of the Tax Act and the potential tax liabilities attributable to a repatriation to the U.S., such as foreign withholding taxes and U.S. tax on currency transaction gains or losses. We did not record any deferred taxes attributable to our investments in our foreign subsidiaries. We will record the tax effects of any change in our assertion in the period that the analysis is complete.</w:t>
      </w:r>
    </w:p>
    <w:p>
      <w:pPr>
        <w:spacing w:after="0" w:line="213"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color w:val="auto"/>
        </w:rPr>
        <w:t>As discussed above, as of March 31, 2018, we have cash and cash equivalents of approximately $0.5 billion, available borrowing capacity under our committed credit facilities of approximately $0.7 billion and available capacity under our vehicle programs of approximately $2.6 billion.</w:t>
      </w:r>
    </w:p>
    <w:p>
      <w:pPr>
        <w:spacing w:after="0" w:line="202"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Our liquidity position could be negatively affected by financial market disruptions or a downturn in the U.S. and worldwide economies, which may result in unfavorable conditions in the vehicle rental industry, in the asset-backed financing market, and in the credit markets generally. We believe these factors have in the past affected and could in the future affect the debt ratings assigned to us by credit rating agencies and the cost of our borrowings. Additionally, a downturn in the worldwide economy or a disruption in the credit markets could impact our liquidity due to</w:t>
      </w:r>
    </w:p>
    <w:p>
      <w:pPr>
        <w:spacing w:after="0" w:line="1" w:lineRule="exact"/>
        <w:rPr>
          <w:sz w:val="20"/>
          <w:szCs w:val="20"/>
          <w:color w:val="auto"/>
        </w:rPr>
      </w:pPr>
    </w:p>
    <w:p>
      <w:pPr>
        <w:jc w:val="both"/>
        <w:ind w:right="60" w:firstLine="8"/>
        <w:spacing w:after="0" w:line="254" w:lineRule="auto"/>
        <w:tabs>
          <w:tab w:leader="none" w:pos="21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decreased demand and pricing for vehicles in the used-vehicle market, (ii) increased costs associated with, and/or reduced capacity or increased collateral needs under, our financings, (iii) the adverse impact of vehicle manufacturers being unable or unwilling to honor their obligations to repurchase or guarantee the depreciation on the related program vehicles and (iv) disruption in our ability to obtain financing due to negative credit events specific to us or affecting the overall debt market.</w:t>
      </w:r>
    </w:p>
    <w:p>
      <w:pPr>
        <w:spacing w:after="0" w:line="2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financial and other covenants associated with our senior credit facility and other borrowings, including a maximum leverage ratio. As of March 31, 2018, we were in compliance with the financial covenants governing our indebtedness. For additional information regarding our liquidity risks, see Part I, Item 1A, “Risk Factors” of our 2017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right="240"/>
        <w:spacing w:after="0" w:line="250" w:lineRule="auto"/>
        <w:rPr>
          <w:sz w:val="20"/>
          <w:szCs w:val="20"/>
          <w:color w:val="auto"/>
        </w:rPr>
      </w:pPr>
      <w:r>
        <w:rPr>
          <w:rFonts w:ascii="Arial" w:cs="Arial" w:eastAsia="Arial" w:hAnsi="Arial"/>
          <w:sz w:val="18"/>
          <w:szCs w:val="18"/>
          <w:color w:val="auto"/>
        </w:rPr>
        <w:t>Our future contractual obligations have not changed significantly from the amounts reported within our 2017 Form 10-K with the exception of our commitment to purchase vehicles, which decreased by approximately $2.7 billion from December 31, 2017, to approximately $5.4</w:t>
      </w:r>
    </w:p>
    <w:p>
      <w:pPr>
        <w:spacing w:after="0" w:line="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billion at March 31, 2018. Changes to our obligations related to corporate indebtedness and debt under vehicle programs are presented above within the section titled “Liquidity and Capital Resources—Debt and Financing Arrangements” and also within Notes 11 and 12 to our Consolidated Condensed Financial Statements.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40"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we are required to make estimates and assumptions that affect the amounts reported therein. Several of the estimates and assumptions that we are required to make pertain to matters that are inherently uncertain as they relate to future events. Presented within the section titled “Critical Accounting Policies” of our 2017 Form 10-K are the accounting policies (related to goodwill and other indefinite-lived intangible assets, vehicles, income taxes and public liability, property damage and other insurance liabilities) that we believe require subjective and/or complex judgments that could potentially affect 2018 reported results. There have been no significant changes to those accounting policies or our assessment of which accounting policies we would consider to be critical accounting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4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For detailed information regarding new accounting standards and their impact on our business, see Note 1 to our Consolidated Condensed Financial Statements.</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March 31, 2018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gasoline. We anticipate that such commodity risk will remain a market risk exposure for the foreseeable future. We determined that a 10% change in the price of unleaded gasoline would not have a material impact on our earnings for the period ended March 31, 2018. For additional information regarding our long-term borrowings and financial instruments, see Notes 11, 12 and 16 to our Consolidated Condensed Financial Statements.</w:t>
      </w:r>
    </w:p>
    <w:p>
      <w:pPr>
        <w:spacing w:after="0" w:line="1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340" w:hanging="332"/>
        <w:spacing w:after="0" w:line="258"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March 31, 2018.</w:t>
      </w:r>
    </w:p>
    <w:p>
      <w:pPr>
        <w:spacing w:after="0" w:line="183" w:lineRule="exact"/>
        <w:rPr>
          <w:rFonts w:ascii="Arial" w:cs="Arial" w:eastAsia="Arial" w:hAnsi="Arial"/>
          <w:sz w:val="18"/>
          <w:szCs w:val="18"/>
          <w:color w:val="auto"/>
        </w:rPr>
      </w:pPr>
    </w:p>
    <w:p>
      <w:pPr>
        <w:ind w:left="340" w:right="20" w:hanging="332"/>
        <w:spacing w:after="0" w:line="266"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fiscal quarter to which this report relates, there has been no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internal control over financial reporting (as such term is defined in Rules 13a-15(f) and 15d-15(f) under the Exchange Act) that has materially affected, or is reasonably likely to materially affect, the Company’s internal control over financial reporting.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0"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During the quarter ended March 31, 2018, the Company had no material developments to report with respect to its legal proceedings. For additional information regarding the Company’s legal proceedings, see Note 13 to our Consolidated Condensed Financial Statements and refer to the Company’s 2017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During the quarter ended March 31, 2018, the Company had no material developments to report with respect to its risk factors. For additional information regarding the Company’s risk factors, please refer to the Company’s 2017 Form 10-K.</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common stock repurchases by month for the quarter ended March 31, 2018:</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 Purchased as</w:t>
            </w:r>
          </w:p>
        </w:tc>
        <w:tc>
          <w:tcPr>
            <w:tcW w:w="12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Value of Shares That</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Part of Publicly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7"/>
              </w:rPr>
              <w:t>May Yet Be</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ind w:left="280"/>
              <w:spacing w:after="0" w:line="202" w:lineRule="exact"/>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7"/>
                <w:szCs w:val="17"/>
                <w:color w:val="auto"/>
              </w:rPr>
            </w:pPr>
          </w:p>
        </w:tc>
        <w:tc>
          <w:tcPr>
            <w:tcW w:w="1940" w:type="dxa"/>
            <w:vAlign w:val="bottom"/>
            <w:gridSpan w:val="3"/>
          </w:tcPr>
          <w:p>
            <w:pPr>
              <w:jc w:val="right"/>
              <w:ind w:right="220"/>
              <w:spacing w:after="0" w:line="202" w:lineRule="exact"/>
              <w:rPr>
                <w:sz w:val="20"/>
                <w:szCs w:val="20"/>
                <w:color w:val="auto"/>
              </w:rPr>
            </w:pPr>
            <w:r>
              <w:rPr>
                <w:rFonts w:ascii="Arial" w:cs="Arial" w:eastAsia="Arial" w:hAnsi="Arial"/>
                <w:sz w:val="18"/>
                <w:szCs w:val="18"/>
                <w:b w:val="1"/>
                <w:bCs w:val="1"/>
                <w:color w:val="auto"/>
              </w:rPr>
              <w:t>Average Price Paid</w:t>
            </w: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Announced Plans or</w:t>
            </w:r>
          </w:p>
        </w:tc>
        <w:tc>
          <w:tcPr>
            <w:tcW w:w="12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Purchased Under the</w:t>
            </w:r>
          </w:p>
        </w:tc>
        <w:tc>
          <w:tcPr>
            <w:tcW w:w="0" w:type="dxa"/>
            <w:vAlign w:val="bottom"/>
          </w:tcPr>
          <w:p>
            <w:pPr>
              <w:spacing w:after="0"/>
              <w:rPr>
                <w:sz w:val="1"/>
                <w:szCs w:val="1"/>
                <w:color w:val="auto"/>
              </w:rPr>
            </w:pPr>
          </w:p>
        </w:tc>
      </w:tr>
      <w:tr>
        <w:trPr>
          <w:trHeight w:val="296"/>
        </w:trPr>
        <w:tc>
          <w:tcPr>
            <w:tcW w:w="3440" w:type="dxa"/>
            <w:vAlign w:val="bottom"/>
          </w:tcPr>
          <w:p>
            <w:pPr>
              <w:spacing w:after="0"/>
              <w:rPr>
                <w:sz w:val="24"/>
                <w:szCs w:val="24"/>
                <w:color w:val="auto"/>
              </w:rPr>
            </w:pPr>
          </w:p>
        </w:tc>
        <w:tc>
          <w:tcPr>
            <w:tcW w:w="1940" w:type="dxa"/>
            <w:vAlign w:val="bottom"/>
          </w:tcPr>
          <w:p>
            <w:pPr>
              <w:ind w:left="120"/>
              <w:spacing w:after="0"/>
              <w:rPr>
                <w:sz w:val="20"/>
                <w:szCs w:val="20"/>
                <w:color w:val="auto"/>
              </w:rPr>
            </w:pPr>
            <w:r>
              <w:rPr>
                <w:rFonts w:ascii="Arial" w:cs="Arial" w:eastAsia="Arial" w:hAnsi="Arial"/>
                <w:sz w:val="18"/>
                <w:szCs w:val="18"/>
                <w:b w:val="1"/>
                <w:bCs w:val="1"/>
                <w:color w:val="auto"/>
              </w:rPr>
              <w:t>Shares Purchased</w:t>
            </w:r>
            <w:r>
              <w:rPr>
                <w:rFonts w:ascii="Arial" w:cs="Arial" w:eastAsia="Arial" w:hAnsi="Arial"/>
                <w:sz w:val="21"/>
                <w:szCs w:val="21"/>
                <w:b w:val="1"/>
                <w:bCs w:val="1"/>
                <w:color w:val="auto"/>
                <w:vertAlign w:val="superscript"/>
              </w:rPr>
              <w:t>(a)</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 Share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Plans or Programs</w:t>
            </w:r>
          </w:p>
        </w:tc>
        <w:tc>
          <w:tcPr>
            <w:tcW w:w="0" w:type="dxa"/>
            <w:vAlign w:val="bottom"/>
          </w:tcPr>
          <w:p>
            <w:pPr>
              <w:spacing w:after="0"/>
              <w:rPr>
                <w:sz w:val="1"/>
                <w:szCs w:val="1"/>
                <w:color w:val="auto"/>
              </w:rPr>
            </w:pPr>
          </w:p>
        </w:tc>
      </w:tr>
      <w:tr>
        <w:trPr>
          <w:trHeight w:val="37"/>
        </w:trPr>
        <w:tc>
          <w:tcPr>
            <w:tcW w:w="344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January 2018</w:t>
            </w:r>
          </w:p>
        </w:tc>
        <w:tc>
          <w:tcPr>
            <w:tcW w:w="1940" w:type="dxa"/>
            <w:vAlign w:val="bottom"/>
          </w:tcPr>
          <w:p>
            <w:pPr>
              <w:ind w:left="16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ind w:left="16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100,501,894</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8"/>
                <w:szCs w:val="18"/>
                <w:color w:val="auto"/>
              </w:rPr>
              <w:t>February 2018</w:t>
            </w:r>
          </w:p>
        </w:tc>
        <w:tc>
          <w:tcPr>
            <w:tcW w:w="1940" w:type="dxa"/>
            <w:vAlign w:val="bottom"/>
          </w:tcPr>
          <w:p>
            <w:pPr>
              <w:ind w:left="1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Pr>
          <w:p>
            <w:pPr>
              <w:ind w:left="1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100,501,894</w:t>
            </w:r>
          </w:p>
        </w:tc>
        <w:tc>
          <w:tcPr>
            <w:tcW w:w="0" w:type="dxa"/>
            <w:vAlign w:val="bottom"/>
          </w:tcPr>
          <w:p>
            <w:pPr>
              <w:spacing w:after="0"/>
              <w:rPr>
                <w:sz w:val="1"/>
                <w:szCs w:val="1"/>
                <w:color w:val="auto"/>
              </w:rPr>
            </w:pPr>
          </w:p>
        </w:tc>
      </w:tr>
      <w:tr>
        <w:trPr>
          <w:trHeight w:val="277"/>
        </w:trPr>
        <w:tc>
          <w:tcPr>
            <w:tcW w:w="3440" w:type="dxa"/>
            <w:vAlign w:val="bottom"/>
          </w:tcPr>
          <w:p>
            <w:pPr>
              <w:ind w:left="40"/>
              <w:spacing w:after="0"/>
              <w:rPr>
                <w:sz w:val="20"/>
                <w:szCs w:val="20"/>
                <w:color w:val="auto"/>
              </w:rPr>
            </w:pPr>
            <w:r>
              <w:rPr>
                <w:rFonts w:ascii="Arial" w:cs="Arial" w:eastAsia="Arial" w:hAnsi="Arial"/>
                <w:sz w:val="18"/>
                <w:szCs w:val="18"/>
                <w:color w:val="auto"/>
              </w:rPr>
              <w:t>March 2018</w:t>
            </w:r>
          </w:p>
        </w:tc>
        <w:tc>
          <w:tcPr>
            <w:tcW w:w="194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100,501,894</w:t>
            </w:r>
          </w:p>
        </w:tc>
        <w:tc>
          <w:tcPr>
            <w:tcW w:w="0" w:type="dxa"/>
            <w:vAlign w:val="bottom"/>
          </w:tcPr>
          <w:p>
            <w:pPr>
              <w:spacing w:after="0"/>
              <w:rPr>
                <w:sz w:val="1"/>
                <w:szCs w:val="1"/>
                <w:color w:val="auto"/>
              </w:rPr>
            </w:pPr>
          </w:p>
        </w:tc>
      </w:tr>
      <w:tr>
        <w:trPr>
          <w:trHeight w:val="257"/>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94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100,501,894</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40" w:type="dxa"/>
            <w:vAlign w:val="bottom"/>
            <w:vMerge w:val="continue"/>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right="320" w:hanging="332"/>
        <w:spacing w:after="0" w:line="218" w:lineRule="auto"/>
        <w:tabs>
          <w:tab w:leader="none" w:pos="34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Excludes, for the three months ended March 31, 2018, 121,999 shares which were withheld by the Company to satisfy employees’ income tax liabilities attributable to the vesting of restricted stock unit awards.</w:t>
      </w:r>
    </w:p>
    <w:p>
      <w:pPr>
        <w:spacing w:after="0" w:line="200"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262626"/>
        </w:rPr>
        <w:t>The Company</w:t>
      </w:r>
      <w:r>
        <w:rPr>
          <w:rFonts w:ascii="Arial" w:cs="Arial" w:eastAsia="Arial" w:hAnsi="Arial"/>
          <w:sz w:val="18"/>
          <w:szCs w:val="18"/>
          <w:color w:val="000000"/>
        </w:rPr>
        <w:t>’</w:t>
      </w:r>
      <w:r>
        <w:rPr>
          <w:rFonts w:ascii="Arial" w:cs="Arial" w:eastAsia="Arial" w:hAnsi="Arial"/>
          <w:sz w:val="18"/>
          <w:szCs w:val="18"/>
          <w:color w:val="262626"/>
        </w:rPr>
        <w:t>s Board of Directors has authorized the repurchase of up to $1.5 billion of its common stock under a plan originally approved in 2013 and subsequently expanded, most recently in 2016</w:t>
      </w:r>
      <w:r>
        <w:rPr>
          <w:rFonts w:ascii="Arial" w:cs="Arial" w:eastAsia="Arial" w:hAnsi="Arial"/>
          <w:sz w:val="18"/>
          <w:szCs w:val="18"/>
          <w:color w:val="000000"/>
        </w:rPr>
        <w:t>.</w:t>
      </w:r>
      <w:r>
        <w:rPr>
          <w:rFonts w:ascii="Arial" w:cs="Arial" w:eastAsia="Arial" w:hAnsi="Arial"/>
          <w:sz w:val="18"/>
          <w:szCs w:val="18"/>
          <w:color w:val="262626"/>
        </w:rPr>
        <w:t xml:space="preserve"> The Company</w:t>
      </w:r>
      <w:r>
        <w:rPr>
          <w:rFonts w:ascii="Arial" w:cs="Arial" w:eastAsia="Arial" w:hAnsi="Arial"/>
          <w:sz w:val="18"/>
          <w:szCs w:val="18"/>
          <w:color w:val="000000"/>
        </w:rPr>
        <w:t>’</w:t>
      </w:r>
      <w:r>
        <w:rPr>
          <w:rFonts w:ascii="Arial" w:cs="Arial" w:eastAsia="Arial" w:hAnsi="Arial"/>
          <w:sz w:val="18"/>
          <w:szCs w:val="18"/>
          <w:color w:val="262626"/>
        </w:rPr>
        <w:t>s stock repurchases may occur through open market purchases or trading plans pursuant to Rule 10b5-1 of the Securities Exchange Act of 1934. The amount and timing of specific repurchases are subject to market conditions, applicable legal requirements and other factors. The repurchase program may be suspended, modified or discontinued at any time without prior notice. The repurchase program has no set expiration or termination date.</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0"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AVIS BUDGET GROUP, INC.</w:t>
      </w:r>
    </w:p>
    <w:p>
      <w:pPr>
        <w:spacing w:after="0" w:line="200" w:lineRule="exact"/>
        <w:rPr>
          <w:sz w:val="20"/>
          <w:szCs w:val="20"/>
          <w:color w:val="auto"/>
        </w:rPr>
      </w:pPr>
    </w:p>
    <w:p>
      <w:pPr>
        <w:spacing w:after="0" w:line="20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May 3, 2018</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 Martyn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23495</wp:posOffset>
            </wp:positionV>
            <wp:extent cx="49225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Martyn Smith</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Interim Chief Financial Officer</w:t>
      </w:r>
    </w:p>
    <w:p>
      <w:pPr>
        <w:spacing w:after="0" w:line="387"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May 3, 2018</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23495</wp:posOffset>
            </wp:positionV>
            <wp:extent cx="49225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David T. Calabria</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Chief Accounting Officer</w:t>
      </w:r>
    </w:p>
    <w:p>
      <w:pPr>
        <w:spacing w:after="0" w:line="2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240" w:top="140" w:right="5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180" w:type="dxa"/>
            <w:vAlign w:val="bottom"/>
            <w:gridSpan w:val="12"/>
          </w:tcPr>
          <w:p>
            <w:pPr>
              <w:ind w:left="960"/>
              <w:spacing w:after="0"/>
              <w:rPr>
                <w:sz w:val="20"/>
                <w:szCs w:val="20"/>
                <w:color w:val="auto"/>
              </w:rPr>
            </w:pPr>
            <w:r>
              <w:rPr>
                <w:rFonts w:ascii="Arial" w:cs="Arial" w:eastAsia="Arial" w:hAnsi="Arial"/>
                <w:sz w:val="18"/>
                <w:szCs w:val="18"/>
                <w:b w:val="1"/>
                <w:bCs w:val="1"/>
                <w:color w:val="auto"/>
              </w:rPr>
              <w:t>Exhibit Index</w:t>
            </w:r>
          </w:p>
        </w:tc>
      </w:tr>
      <w:tr>
        <w:trPr>
          <w:trHeight w:val="324"/>
        </w:trPr>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460" w:type="dxa"/>
            <w:vAlign w:val="bottom"/>
            <w:gridSpan w:val="11"/>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0"/>
                <w:szCs w:val="20"/>
                <w:color w:val="auto"/>
              </w:rPr>
            </w:pPr>
          </w:p>
        </w:tc>
        <w:tc>
          <w:tcPr>
            <w:tcW w:w="10060" w:type="dxa"/>
            <w:vAlign w:val="bottom"/>
            <w:gridSpan w:val="17"/>
          </w:tcPr>
          <w:p>
            <w:pPr>
              <w:spacing w:after="0"/>
              <w:rPr>
                <w:rFonts w:ascii="Arial" w:cs="Arial" w:eastAsia="Arial" w:hAnsi="Arial"/>
                <w:sz w:val="18"/>
                <w:szCs w:val="18"/>
                <w:color w:val="0000FF"/>
              </w:rPr>
            </w:pPr>
            <w:hyperlink r:id="rId40">
              <w:r>
                <w:rPr>
                  <w:rFonts w:ascii="Arial" w:cs="Arial" w:eastAsia="Arial" w:hAnsi="Arial"/>
                  <w:sz w:val="18"/>
                  <w:szCs w:val="18"/>
                  <w:color w:val="0000FF"/>
                </w:rPr>
                <w:t>Certificate of Designations of Series S Preferred Stock of Avis Budget Group, Inc., as filed with the Secretary of State of the</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80" w:type="dxa"/>
            <w:vAlign w:val="bottom"/>
            <w:gridSpan w:val="3"/>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0" w:type="dxa"/>
            <w:vAlign w:val="bottom"/>
            <w:tcBorders>
              <w:bottom w:val="single" w:sz="8" w:color="0000FF"/>
            </w:tcBorders>
            <w:gridSpan w:val="15"/>
          </w:tcPr>
          <w:p>
            <w:pPr>
              <w:spacing w:after="0" w:line="182" w:lineRule="exact"/>
              <w:rPr>
                <w:rFonts w:ascii="Arial" w:cs="Arial" w:eastAsia="Arial" w:hAnsi="Arial"/>
                <w:sz w:val="18"/>
                <w:szCs w:val="18"/>
                <w:color w:val="0000FF"/>
                <w:w w:val="99"/>
              </w:rPr>
            </w:pPr>
            <w:hyperlink r:id="rId40">
              <w:r>
                <w:rPr>
                  <w:rFonts w:ascii="Arial" w:cs="Arial" w:eastAsia="Arial" w:hAnsi="Arial"/>
                  <w:sz w:val="18"/>
                  <w:szCs w:val="18"/>
                  <w:color w:val="0000FF"/>
                  <w:w w:val="99"/>
                </w:rPr>
                <w:t>State of Delaware on January 16, 2018 (Incorporated by reference to Exhibit 3.1 to the Company’s Current Report on Form 8-</w:t>
              </w:r>
            </w:hyperlink>
          </w:p>
        </w:tc>
        <w:tc>
          <w:tcPr>
            <w:tcW w:w="60" w:type="dxa"/>
            <w:vAlign w:val="bottom"/>
            <w:gridSpan w:val="2"/>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60" w:type="dxa"/>
            <w:vAlign w:val="bottom"/>
            <w:gridSpan w:val="17"/>
          </w:tcPr>
          <w:p>
            <w:pPr>
              <w:spacing w:after="0" w:line="182" w:lineRule="exact"/>
              <w:rPr>
                <w:rFonts w:ascii="Arial" w:cs="Arial" w:eastAsia="Arial" w:hAnsi="Arial"/>
                <w:sz w:val="18"/>
                <w:szCs w:val="18"/>
                <w:color w:val="0000FF"/>
              </w:rPr>
            </w:pPr>
            <w:hyperlink r:id="rId40">
              <w:r>
                <w:rPr>
                  <w:rFonts w:ascii="Arial" w:cs="Arial" w:eastAsia="Arial" w:hAnsi="Arial"/>
                  <w:sz w:val="18"/>
                  <w:szCs w:val="18"/>
                  <w:color w:val="0000FF"/>
                </w:rPr>
                <w:t>K dated January 16, 2018).</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8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0"/>
                <w:szCs w:val="20"/>
                <w:color w:val="auto"/>
              </w:rPr>
            </w:pPr>
          </w:p>
        </w:tc>
        <w:tc>
          <w:tcPr>
            <w:tcW w:w="10060" w:type="dxa"/>
            <w:vAlign w:val="bottom"/>
            <w:gridSpan w:val="17"/>
          </w:tcPr>
          <w:p>
            <w:pPr>
              <w:spacing w:after="0"/>
              <w:rPr>
                <w:rFonts w:ascii="Arial" w:cs="Arial" w:eastAsia="Arial" w:hAnsi="Arial"/>
                <w:sz w:val="18"/>
                <w:szCs w:val="18"/>
                <w:color w:val="0000FF"/>
              </w:rPr>
            </w:pPr>
            <w:hyperlink r:id="rId41">
              <w:r>
                <w:rPr>
                  <w:rFonts w:ascii="Arial" w:cs="Arial" w:eastAsia="Arial" w:hAnsi="Arial"/>
                  <w:sz w:val="18"/>
                  <w:szCs w:val="18"/>
                  <w:color w:val="0000FF"/>
                </w:rPr>
                <w:t>Certificate of Elimination of Series S Preferred Stock of Avis Budget Group, Inc., dated April 16, 2018 (Incorporated by</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360" w:type="dxa"/>
            <w:vAlign w:val="bottom"/>
            <w:tcBorders>
              <w:top w:val="single" w:sz="8" w:color="0000FF"/>
              <w:bottom w:val="single" w:sz="8" w:color="0000FF"/>
            </w:tcBorders>
            <w:gridSpan w:val="8"/>
          </w:tcPr>
          <w:p>
            <w:pPr>
              <w:spacing w:after="0" w:line="182" w:lineRule="exact"/>
              <w:rPr>
                <w:rFonts w:ascii="Arial" w:cs="Arial" w:eastAsia="Arial" w:hAnsi="Arial"/>
                <w:sz w:val="18"/>
                <w:szCs w:val="18"/>
                <w:color w:val="0000FF"/>
                <w:w w:val="99"/>
              </w:rPr>
            </w:pPr>
            <w:hyperlink r:id="rId41">
              <w:r>
                <w:rPr>
                  <w:rFonts w:ascii="Arial" w:cs="Arial" w:eastAsia="Arial" w:hAnsi="Arial"/>
                  <w:sz w:val="18"/>
                  <w:szCs w:val="18"/>
                  <w:color w:val="0000FF"/>
                  <w:w w:val="99"/>
                </w:rPr>
                <w:t>reference to Exhibit 3.1 to the Company’s Current Report on Form 8-K dated April 16, 2018).</w:t>
              </w:r>
            </w:hyperlink>
          </w:p>
        </w:tc>
        <w:tc>
          <w:tcPr>
            <w:tcW w:w="2020" w:type="dxa"/>
            <w:vAlign w:val="bottom"/>
            <w:tcBorders>
              <w:top w:val="single" w:sz="8" w:color="0000FF"/>
            </w:tcBorders>
          </w:tcPr>
          <w:p>
            <w:pPr>
              <w:spacing w:after="0"/>
              <w:rPr>
                <w:sz w:val="15"/>
                <w:szCs w:val="15"/>
                <w:color w:val="auto"/>
              </w:rPr>
            </w:pPr>
          </w:p>
        </w:tc>
        <w:tc>
          <w:tcPr>
            <w:tcW w:w="680" w:type="dxa"/>
            <w:vAlign w:val="bottom"/>
            <w:gridSpan w:val="8"/>
          </w:tcPr>
          <w:p>
            <w:pPr>
              <w:spacing w:after="0"/>
              <w:rPr>
                <w:sz w:val="15"/>
                <w:szCs w:val="15"/>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0"/>
                <w:szCs w:val="20"/>
                <w:color w:val="auto"/>
              </w:rPr>
            </w:pPr>
          </w:p>
        </w:tc>
        <w:tc>
          <w:tcPr>
            <w:tcW w:w="10000" w:type="dxa"/>
            <w:vAlign w:val="bottom"/>
            <w:tcBorders>
              <w:bottom w:val="single" w:sz="8" w:color="0000FF"/>
            </w:tcBorders>
            <w:gridSpan w:val="15"/>
          </w:tcPr>
          <w:p>
            <w:pPr>
              <w:spacing w:after="0"/>
              <w:rPr>
                <w:rFonts w:ascii="Arial" w:cs="Arial" w:eastAsia="Arial" w:hAnsi="Arial"/>
                <w:sz w:val="18"/>
                <w:szCs w:val="18"/>
                <w:color w:val="0000FF"/>
                <w:w w:val="99"/>
              </w:rPr>
            </w:pPr>
            <w:hyperlink r:id="rId42">
              <w:r>
                <w:rPr>
                  <w:rFonts w:ascii="Arial" w:cs="Arial" w:eastAsia="Arial" w:hAnsi="Arial"/>
                  <w:sz w:val="18"/>
                  <w:szCs w:val="18"/>
                  <w:color w:val="0000FF"/>
                  <w:w w:val="99"/>
                </w:rPr>
                <w:t>Rights Agreement, dated as of January 14, 2018, between Avis Budget Group, Inc. and Computershare Trust Company, N.A.,</w:t>
              </w:r>
            </w:hyperlink>
          </w:p>
        </w:tc>
        <w:tc>
          <w:tcPr>
            <w:tcW w:w="60" w:type="dxa"/>
            <w:vAlign w:val="bottom"/>
            <w:gridSpan w:val="2"/>
          </w:tcPr>
          <w:p>
            <w:pPr>
              <w:spacing w:after="0"/>
              <w:rPr>
                <w:sz w:val="20"/>
                <w:szCs w:val="20"/>
                <w:color w:val="auto"/>
              </w:rPr>
            </w:pPr>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60" w:type="dxa"/>
            <w:vAlign w:val="bottom"/>
            <w:gridSpan w:val="17"/>
          </w:tcPr>
          <w:p>
            <w:pPr>
              <w:spacing w:after="0" w:line="182" w:lineRule="exact"/>
              <w:rPr>
                <w:rFonts w:ascii="Arial" w:cs="Arial" w:eastAsia="Arial" w:hAnsi="Arial"/>
                <w:sz w:val="18"/>
                <w:szCs w:val="18"/>
                <w:color w:val="0000FF"/>
              </w:rPr>
            </w:pPr>
            <w:hyperlink r:id="rId42">
              <w:r>
                <w:rPr>
                  <w:rFonts w:ascii="Arial" w:cs="Arial" w:eastAsia="Arial" w:hAnsi="Arial"/>
                  <w:sz w:val="18"/>
                  <w:szCs w:val="18"/>
                  <w:color w:val="0000FF"/>
                </w:rPr>
                <w:t>as Rights Agent (Incorporated by reference to Exhibit 4.1 to the Company’s Current Report on Form 8-K dated January 16,</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3"/>
              </w:rPr>
            </w:pPr>
            <w:hyperlink r:id="rId42">
              <w:r>
                <w:rPr>
                  <w:rFonts w:ascii="Arial" w:cs="Arial" w:eastAsia="Arial" w:hAnsi="Arial"/>
                  <w:sz w:val="18"/>
                  <w:szCs w:val="18"/>
                  <w:color w:val="0000FF"/>
                  <w:w w:val="93"/>
                </w:rPr>
                <w:t>2018).</w:t>
              </w:r>
            </w:hyperlink>
          </w:p>
        </w:tc>
        <w:tc>
          <w:tcPr>
            <w:tcW w:w="1220" w:type="dxa"/>
            <w:vAlign w:val="bottom"/>
            <w:tcBorders>
              <w:top w:val="single" w:sz="8" w:color="0000FF"/>
            </w:tcBorders>
          </w:tcPr>
          <w:p>
            <w:pPr>
              <w:spacing w:after="0"/>
              <w:rPr>
                <w:sz w:val="15"/>
                <w:szCs w:val="15"/>
                <w:color w:val="auto"/>
              </w:rPr>
            </w:pPr>
          </w:p>
        </w:tc>
        <w:tc>
          <w:tcPr>
            <w:tcW w:w="32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720" w:type="dxa"/>
            <w:vAlign w:val="bottom"/>
            <w:tcBorders>
              <w:top w:val="single" w:sz="8" w:color="0000FF"/>
            </w:tcBorders>
          </w:tcPr>
          <w:p>
            <w:pPr>
              <w:spacing w:after="0"/>
              <w:rPr>
                <w:sz w:val="15"/>
                <w:szCs w:val="15"/>
                <w:color w:val="auto"/>
              </w:rPr>
            </w:pPr>
          </w:p>
        </w:tc>
        <w:tc>
          <w:tcPr>
            <w:tcW w:w="1720" w:type="dxa"/>
            <w:vAlign w:val="bottom"/>
            <w:tcBorders>
              <w:top w:val="single" w:sz="8" w:color="0000FF"/>
            </w:tcBorders>
          </w:tcPr>
          <w:p>
            <w:pPr>
              <w:spacing w:after="0"/>
              <w:rPr>
                <w:sz w:val="15"/>
                <w:szCs w:val="15"/>
                <w:color w:val="auto"/>
              </w:rPr>
            </w:pPr>
          </w:p>
        </w:tc>
        <w:tc>
          <w:tcPr>
            <w:tcW w:w="880" w:type="dxa"/>
            <w:vAlign w:val="bottom"/>
            <w:tcBorders>
              <w:top w:val="single" w:sz="8" w:color="0000FF"/>
            </w:tcBorders>
          </w:tcPr>
          <w:p>
            <w:pPr>
              <w:spacing w:after="0"/>
              <w:rPr>
                <w:sz w:val="15"/>
                <w:szCs w:val="15"/>
                <w:color w:val="auto"/>
              </w:rPr>
            </w:pPr>
          </w:p>
        </w:tc>
        <w:tc>
          <w:tcPr>
            <w:tcW w:w="1880" w:type="dxa"/>
            <w:vAlign w:val="bottom"/>
            <w:tcBorders>
              <w:top w:val="single" w:sz="8" w:color="0000FF"/>
            </w:tcBorders>
          </w:tcPr>
          <w:p>
            <w:pPr>
              <w:spacing w:after="0"/>
              <w:rPr>
                <w:sz w:val="15"/>
                <w:szCs w:val="15"/>
                <w:color w:val="auto"/>
              </w:rPr>
            </w:pPr>
          </w:p>
        </w:tc>
        <w:tc>
          <w:tcPr>
            <w:tcW w:w="2020" w:type="dxa"/>
            <w:vAlign w:val="bottom"/>
            <w:tcBorders>
              <w:top w:val="single" w:sz="8" w:color="0000FF"/>
            </w:tcBorders>
          </w:tcPr>
          <w:p>
            <w:pPr>
              <w:spacing w:after="0"/>
              <w:rPr>
                <w:sz w:val="15"/>
                <w:szCs w:val="15"/>
                <w:color w:val="auto"/>
              </w:rPr>
            </w:pPr>
          </w:p>
        </w:tc>
        <w:tc>
          <w:tcPr>
            <w:tcW w:w="42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0"/>
                <w:szCs w:val="20"/>
                <w:color w:val="auto"/>
              </w:rPr>
            </w:pPr>
          </w:p>
        </w:tc>
        <w:tc>
          <w:tcPr>
            <w:tcW w:w="10060" w:type="dxa"/>
            <w:vAlign w:val="bottom"/>
            <w:tcBorders>
              <w:bottom w:val="single" w:sz="8" w:color="0000FF"/>
            </w:tcBorders>
            <w:gridSpan w:val="17"/>
          </w:tcPr>
          <w:p>
            <w:pPr>
              <w:spacing w:after="0"/>
              <w:rPr>
                <w:rFonts w:ascii="Arial" w:cs="Arial" w:eastAsia="Arial" w:hAnsi="Arial"/>
                <w:sz w:val="18"/>
                <w:szCs w:val="18"/>
                <w:color w:val="0000FF"/>
                <w:w w:val="99"/>
              </w:rPr>
            </w:pPr>
            <w:hyperlink r:id="rId43">
              <w:r>
                <w:rPr>
                  <w:rFonts w:ascii="Arial" w:cs="Arial" w:eastAsia="Arial" w:hAnsi="Arial"/>
                  <w:sz w:val="18"/>
                  <w:szCs w:val="18"/>
                  <w:color w:val="0000FF"/>
                  <w:w w:val="99"/>
                </w:rPr>
                <w:t>Amendment No. 1, dated April 16, 2018, to Rights Agreement, dated as of January 14, 2018, between Avis Budget Group, Inc.</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60" w:type="dxa"/>
            <w:vAlign w:val="bottom"/>
            <w:gridSpan w:val="17"/>
          </w:tcPr>
          <w:p>
            <w:pPr>
              <w:spacing w:after="0" w:line="182" w:lineRule="exact"/>
              <w:rPr>
                <w:rFonts w:ascii="Arial" w:cs="Arial" w:eastAsia="Arial" w:hAnsi="Arial"/>
                <w:sz w:val="18"/>
                <w:szCs w:val="18"/>
                <w:color w:val="0000FF"/>
              </w:rPr>
            </w:pPr>
            <w:hyperlink r:id="rId43">
              <w:r>
                <w:rPr>
                  <w:rFonts w:ascii="Arial" w:cs="Arial" w:eastAsia="Arial" w:hAnsi="Arial"/>
                  <w:sz w:val="18"/>
                  <w:szCs w:val="18"/>
                  <w:color w:val="0000FF"/>
                </w:rPr>
                <w:t>and Computershare Trust Company, N.A. (Incorporated by reference to Exhibit 4.1 to the Company’s Current Report on Form</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60" w:type="dxa"/>
            <w:vAlign w:val="bottom"/>
            <w:tcBorders>
              <w:top w:val="single" w:sz="8" w:color="0000FF"/>
            </w:tcBorders>
            <w:gridSpan w:val="13"/>
          </w:tcPr>
          <w:p>
            <w:pPr>
              <w:spacing w:after="0" w:line="182" w:lineRule="exact"/>
              <w:rPr>
                <w:rFonts w:ascii="Arial" w:cs="Arial" w:eastAsia="Arial" w:hAnsi="Arial"/>
                <w:sz w:val="18"/>
                <w:szCs w:val="18"/>
                <w:color w:val="0000FF"/>
              </w:rPr>
            </w:pPr>
            <w:hyperlink r:id="rId43">
              <w:r>
                <w:rPr>
                  <w:rFonts w:ascii="Arial" w:cs="Arial" w:eastAsia="Arial" w:hAnsi="Arial"/>
                  <w:sz w:val="18"/>
                  <w:szCs w:val="18"/>
                  <w:color w:val="0000FF"/>
                </w:rPr>
                <w:t>8-K dated April 16, 2018).</w:t>
              </w:r>
            </w:hyperlink>
          </w:p>
        </w:tc>
        <w:tc>
          <w:tcPr>
            <w:tcW w:w="100" w:type="dxa"/>
            <w:vAlign w:val="bottom"/>
            <w:gridSpan w:val="4"/>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9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0"/>
                <w:szCs w:val="20"/>
                <w:color w:val="auto"/>
              </w:rPr>
            </w:pPr>
          </w:p>
        </w:tc>
        <w:tc>
          <w:tcPr>
            <w:tcW w:w="10060" w:type="dxa"/>
            <w:vAlign w:val="bottom"/>
            <w:gridSpan w:val="17"/>
          </w:tcPr>
          <w:p>
            <w:pPr>
              <w:spacing w:after="0"/>
              <w:rPr>
                <w:rFonts w:ascii="Arial" w:cs="Arial" w:eastAsia="Arial" w:hAnsi="Arial"/>
                <w:sz w:val="18"/>
                <w:szCs w:val="18"/>
                <w:color w:val="0000FF"/>
              </w:rPr>
            </w:pPr>
            <w:hyperlink r:id="rId44">
              <w:r>
                <w:rPr>
                  <w:rFonts w:ascii="Arial" w:cs="Arial" w:eastAsia="Arial" w:hAnsi="Arial"/>
                  <w:sz w:val="18"/>
                  <w:szCs w:val="18"/>
                  <w:color w:val="0000FF"/>
                </w:rPr>
                <w:t>Fifth Amended and Restated Credit Agreement, dated as of February 13, 2018, to the Fourth Amended and Restated Credit</w:t>
              </w:r>
            </w:hyperlink>
          </w:p>
        </w:tc>
      </w:tr>
      <w:tr>
        <w:trPr>
          <w:trHeight w:val="20"/>
        </w:trPr>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6920" w:type="dxa"/>
            <w:vAlign w:val="bottom"/>
            <w:tcBorders>
              <w:right w:val="single" w:sz="8" w:color="0000FF"/>
            </w:tcBorders>
            <w:gridSpan w:val="5"/>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60" w:type="dxa"/>
            <w:vAlign w:val="bottom"/>
            <w:gridSpan w:val="17"/>
          </w:tcPr>
          <w:p>
            <w:pPr>
              <w:spacing w:after="0" w:line="182" w:lineRule="exact"/>
              <w:rPr>
                <w:rFonts w:ascii="Arial" w:cs="Arial" w:eastAsia="Arial" w:hAnsi="Arial"/>
                <w:sz w:val="18"/>
                <w:szCs w:val="18"/>
                <w:color w:val="0000FF"/>
                <w:w w:val="99"/>
              </w:rPr>
            </w:pPr>
            <w:hyperlink r:id="rId44">
              <w:r>
                <w:rPr>
                  <w:rFonts w:ascii="Arial" w:cs="Arial" w:eastAsia="Arial" w:hAnsi="Arial"/>
                  <w:sz w:val="18"/>
                  <w:szCs w:val="18"/>
                  <w:color w:val="0000FF"/>
                  <w:w w:val="99"/>
                </w:rPr>
                <w:t>Agreement dated as of October 7, 2016, among Avis Budget Holdings, LLC, Avis Budget Car Rental, LLC, Avis Budget Group,</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40" w:type="dxa"/>
            <w:vAlign w:val="bottom"/>
            <w:tcBorders>
              <w:top w:val="single" w:sz="8" w:color="0000FF"/>
            </w:tcBorders>
            <w:gridSpan w:val="16"/>
          </w:tcPr>
          <w:p>
            <w:pPr>
              <w:spacing w:after="0" w:line="182" w:lineRule="exact"/>
              <w:rPr>
                <w:rFonts w:ascii="Arial" w:cs="Arial" w:eastAsia="Arial" w:hAnsi="Arial"/>
                <w:sz w:val="18"/>
                <w:szCs w:val="18"/>
                <w:color w:val="0000FF"/>
              </w:rPr>
            </w:pPr>
            <w:hyperlink r:id="rId44">
              <w:r>
                <w:rPr>
                  <w:rFonts w:ascii="Arial" w:cs="Arial" w:eastAsia="Arial" w:hAnsi="Arial"/>
                  <w:sz w:val="18"/>
                  <w:szCs w:val="18"/>
                  <w:color w:val="0000FF"/>
                </w:rPr>
                <w:t>Inc., the subsidiary borrowers from time to time parties thereto, JPMorgan Chase Bank, N.A., as administrative agent, and the</w:t>
              </w:r>
            </w:hyperlink>
          </w:p>
        </w:tc>
        <w:tc>
          <w:tcPr>
            <w:tcW w:w="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8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44">
              <w:r>
                <w:rPr>
                  <w:rFonts w:ascii="Arial" w:cs="Arial" w:eastAsia="Arial" w:hAnsi="Arial"/>
                  <w:sz w:val="18"/>
                  <w:szCs w:val="18"/>
                  <w:color w:val="0000FF"/>
                </w:rPr>
                <w:t>several lenders from time to time parties thereto (Incorporated by reference Exhibit 10.1 to the Company’s Current Report on</w:t>
              </w:r>
            </w:hyperlink>
          </w:p>
        </w:tc>
        <w:tc>
          <w:tcPr>
            <w:tcW w:w="80" w:type="dxa"/>
            <w:vAlign w:val="bottom"/>
            <w:gridSpan w:val="3"/>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80" w:type="dxa"/>
            <w:vAlign w:val="bottom"/>
            <w:tcBorders>
              <w:top w:val="single" w:sz="8" w:color="0000FF"/>
              <w:bottom w:val="single" w:sz="8" w:color="0000FF"/>
            </w:tcBorders>
            <w:gridSpan w:val="5"/>
          </w:tcPr>
          <w:p>
            <w:pPr>
              <w:spacing w:after="0" w:line="182" w:lineRule="exact"/>
              <w:rPr>
                <w:rFonts w:ascii="Arial" w:cs="Arial" w:eastAsia="Arial" w:hAnsi="Arial"/>
                <w:sz w:val="18"/>
                <w:szCs w:val="18"/>
                <w:color w:val="0000FF"/>
                <w:w w:val="99"/>
              </w:rPr>
            </w:pPr>
            <w:hyperlink r:id="rId44">
              <w:r>
                <w:rPr>
                  <w:rFonts w:ascii="Arial" w:cs="Arial" w:eastAsia="Arial" w:hAnsi="Arial"/>
                  <w:sz w:val="18"/>
                  <w:szCs w:val="18"/>
                  <w:color w:val="0000FF"/>
                  <w:w w:val="99"/>
                </w:rPr>
                <w:t>Form 8-K dated February 16, 2018).</w:t>
              </w:r>
            </w:hyperlink>
          </w:p>
        </w:tc>
        <w:tc>
          <w:tcPr>
            <w:tcW w:w="7020" w:type="dxa"/>
            <w:vAlign w:val="bottom"/>
            <w:tcBorders>
              <w:top w:val="single" w:sz="8" w:color="0000FF"/>
            </w:tcBorders>
            <w:gridSpan w:val="6"/>
          </w:tcPr>
          <w:p>
            <w:pPr>
              <w:spacing w:after="0"/>
              <w:rPr>
                <w:sz w:val="15"/>
                <w:szCs w:val="15"/>
                <w:color w:val="auto"/>
              </w:rPr>
            </w:pPr>
          </w:p>
        </w:tc>
        <w:tc>
          <w:tcPr>
            <w:tcW w:w="160" w:type="dxa"/>
            <w:vAlign w:val="bottom"/>
            <w:gridSpan w:val="6"/>
          </w:tcPr>
          <w:p>
            <w:pPr>
              <w:spacing w:after="0"/>
              <w:rPr>
                <w:sz w:val="15"/>
                <w:szCs w:val="15"/>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0"/>
                <w:szCs w:val="20"/>
                <w:color w:val="auto"/>
              </w:rPr>
            </w:pPr>
          </w:p>
        </w:tc>
        <w:tc>
          <w:tcPr>
            <w:tcW w:w="9800" w:type="dxa"/>
            <w:vAlign w:val="bottom"/>
            <w:tcBorders>
              <w:bottom w:val="single" w:sz="8" w:color="0000FF"/>
            </w:tcBorders>
            <w:gridSpan w:val="10"/>
          </w:tcPr>
          <w:p>
            <w:pPr>
              <w:spacing w:after="0"/>
              <w:rPr>
                <w:rFonts w:ascii="Arial" w:cs="Arial" w:eastAsia="Arial" w:hAnsi="Arial"/>
                <w:sz w:val="18"/>
                <w:szCs w:val="18"/>
                <w:color w:val="0000FF"/>
                <w:w w:val="99"/>
              </w:rPr>
            </w:pPr>
            <w:hyperlink r:id="rId45">
              <w:r>
                <w:rPr>
                  <w:rFonts w:ascii="Arial" w:cs="Arial" w:eastAsia="Arial" w:hAnsi="Arial"/>
                  <w:sz w:val="18"/>
                  <w:szCs w:val="18"/>
                  <w:color w:val="0000FF"/>
                  <w:w w:val="99"/>
                </w:rPr>
                <w:t>Second Amended and Restated Cooperation Agreement, dated April 16, 2018, by and among Avis Budget Group, Inc. and</w:t>
              </w:r>
            </w:hyperlink>
          </w:p>
        </w:tc>
        <w:tc>
          <w:tcPr>
            <w:tcW w:w="260" w:type="dxa"/>
            <w:vAlign w:val="bottom"/>
            <w:gridSpan w:val="7"/>
          </w:tcPr>
          <w:p>
            <w:pPr>
              <w:spacing w:after="0"/>
              <w:rPr>
                <w:sz w:val="20"/>
                <w:szCs w:val="20"/>
                <w:color w:val="auto"/>
              </w:rPr>
            </w:pPr>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60" w:type="dxa"/>
            <w:vAlign w:val="bottom"/>
            <w:gridSpan w:val="17"/>
          </w:tcPr>
          <w:p>
            <w:pPr>
              <w:spacing w:after="0" w:line="182" w:lineRule="exact"/>
              <w:rPr>
                <w:rFonts w:ascii="Arial" w:cs="Arial" w:eastAsia="Arial" w:hAnsi="Arial"/>
                <w:sz w:val="18"/>
                <w:szCs w:val="18"/>
                <w:color w:val="0000FF"/>
              </w:rPr>
            </w:pPr>
            <w:hyperlink r:id="rId45">
              <w:r>
                <w:rPr>
                  <w:rFonts w:ascii="Arial" w:cs="Arial" w:eastAsia="Arial" w:hAnsi="Arial"/>
                  <w:sz w:val="18"/>
                  <w:szCs w:val="18"/>
                  <w:color w:val="0000FF"/>
                </w:rPr>
                <w:t>SRS Investment Management, LLC (Incorporated by reference to Exhibit 10.1 to the Company’s Current Report on Form 8-K</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2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8"/>
              </w:rPr>
            </w:pPr>
            <w:hyperlink r:id="rId45">
              <w:r>
                <w:rPr>
                  <w:rFonts w:ascii="Arial" w:cs="Arial" w:eastAsia="Arial" w:hAnsi="Arial"/>
                  <w:sz w:val="18"/>
                  <w:szCs w:val="18"/>
                  <w:color w:val="0000FF"/>
                  <w:w w:val="98"/>
                </w:rPr>
                <w:t>dated April 16, 2018).</w:t>
              </w:r>
            </w:hyperlink>
          </w:p>
        </w:tc>
        <w:tc>
          <w:tcPr>
            <w:tcW w:w="8200" w:type="dxa"/>
            <w:vAlign w:val="bottom"/>
            <w:tcBorders>
              <w:top w:val="single" w:sz="8" w:color="0000FF"/>
            </w:tcBorders>
            <w:gridSpan w:val="10"/>
          </w:tcPr>
          <w:p>
            <w:pPr>
              <w:spacing w:after="0"/>
              <w:rPr>
                <w:sz w:val="15"/>
                <w:szCs w:val="15"/>
                <w:color w:val="auto"/>
              </w:rPr>
            </w:pPr>
          </w:p>
        </w:tc>
        <w:tc>
          <w:tcPr>
            <w:tcW w:w="140" w:type="dxa"/>
            <w:vAlign w:val="bottom"/>
            <w:gridSpan w:val="5"/>
          </w:tcPr>
          <w:p>
            <w:pPr>
              <w:spacing w:after="0"/>
              <w:rPr>
                <w:sz w:val="15"/>
                <w:szCs w:val="15"/>
                <w:color w:val="auto"/>
              </w:rPr>
            </w:pPr>
          </w:p>
        </w:tc>
      </w:tr>
    </w:tbl>
    <w:p>
      <w:pPr>
        <w:spacing w:after="0" w:line="67" w:lineRule="exact"/>
        <w:rPr>
          <w:sz w:val="20"/>
          <w:szCs w:val="20"/>
          <w:color w:val="auto"/>
        </w:rPr>
      </w:pPr>
    </w:p>
    <w:p>
      <w:pPr>
        <w:ind w:left="1300" w:hanging="1265"/>
        <w:spacing w:after="0"/>
        <w:tabs>
          <w:tab w:leader="none" w:pos="1300" w:val="left"/>
        </w:tabs>
        <w:numPr>
          <w:ilvl w:val="0"/>
          <w:numId w:val="51"/>
        </w:numPr>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Statement re: Computation of Ratio of Earnings to Fixed Charges.</w:t>
        </w:r>
      </w:hyperlink>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tcPr>
          <w:p>
            <w:pPr>
              <w:jc w:val="right"/>
              <w:ind w:right="830"/>
              <w:spacing w:after="0"/>
              <w:rPr>
                <w:sz w:val="20"/>
                <w:szCs w:val="20"/>
                <w:color w:val="auto"/>
              </w:rPr>
            </w:pPr>
            <w:r>
              <w:rPr>
                <w:rFonts w:ascii="Arial" w:cs="Arial" w:eastAsia="Arial" w:hAnsi="Arial"/>
                <w:sz w:val="18"/>
                <w:szCs w:val="18"/>
                <w:color w:val="auto"/>
                <w:w w:val="91"/>
              </w:rPr>
              <w:t>31.1</w:t>
            </w:r>
          </w:p>
        </w:tc>
        <w:tc>
          <w:tcPr>
            <w:tcW w:w="9440" w:type="dxa"/>
            <w:vAlign w:val="bottom"/>
            <w:tcBorders>
              <w:bottom w:val="single" w:sz="8" w:color="0000FF"/>
            </w:tcBorders>
            <w:gridSpan w:val="2"/>
          </w:tcPr>
          <w:p>
            <w:pPr>
              <w:spacing w:after="0"/>
              <w:rPr>
                <w:rFonts w:ascii="Arial" w:cs="Arial" w:eastAsia="Arial" w:hAnsi="Arial"/>
                <w:sz w:val="18"/>
                <w:szCs w:val="18"/>
                <w:color w:val="0000FF"/>
                <w:w w:val="99"/>
              </w:rPr>
            </w:pPr>
            <w:hyperlink w:anchor="page48">
              <w:r>
                <w:rPr>
                  <w:rFonts w:ascii="Arial" w:cs="Arial" w:eastAsia="Arial" w:hAnsi="Arial"/>
                  <w:sz w:val="18"/>
                  <w:szCs w:val="18"/>
                  <w:color w:val="0000FF"/>
                  <w:w w:val="99"/>
                </w:rPr>
                <w:t>Certification of Chief Executive Officer pursuant to Rules 13(a)-14(a) and 15(d)-14(a) promulgated under the Securities</w:t>
              </w:r>
            </w:hyperlink>
          </w:p>
        </w:tc>
        <w:tc>
          <w:tcPr>
            <w:tcW w:w="540" w:type="dxa"/>
            <w:vAlign w:val="bottom"/>
          </w:tcPr>
          <w:p>
            <w:pPr>
              <w:spacing w:after="0"/>
              <w:rPr>
                <w:sz w:val="17"/>
                <w:szCs w:val="17"/>
                <w:color w:val="auto"/>
              </w:rPr>
            </w:pPr>
          </w:p>
        </w:tc>
      </w:tr>
      <w:tr>
        <w:trPr>
          <w:trHeight w:val="183"/>
        </w:trPr>
        <w:tc>
          <w:tcPr>
            <w:tcW w:w="1260" w:type="dxa"/>
            <w:vAlign w:val="bottom"/>
          </w:tcPr>
          <w:p>
            <w:pPr>
              <w:spacing w:after="0"/>
              <w:rPr>
                <w:sz w:val="15"/>
                <w:szCs w:val="15"/>
                <w:color w:val="auto"/>
              </w:rPr>
            </w:pPr>
          </w:p>
        </w:tc>
        <w:tc>
          <w:tcPr>
            <w:tcW w:w="2900" w:type="dxa"/>
            <w:vAlign w:val="bottom"/>
            <w:tcBorders>
              <w:bottom w:val="single" w:sz="8" w:color="0000FF"/>
            </w:tcBorders>
          </w:tcPr>
          <w:p>
            <w:pPr>
              <w:spacing w:after="0" w:line="182" w:lineRule="exact"/>
              <w:rPr>
                <w:rFonts w:ascii="Arial" w:cs="Arial" w:eastAsia="Arial" w:hAnsi="Arial"/>
                <w:sz w:val="18"/>
                <w:szCs w:val="18"/>
                <w:color w:val="0000FF"/>
                <w:w w:val="99"/>
              </w:rPr>
            </w:pPr>
            <w:hyperlink w:anchor="page48">
              <w:r>
                <w:rPr>
                  <w:rFonts w:ascii="Arial" w:cs="Arial" w:eastAsia="Arial" w:hAnsi="Arial"/>
                  <w:sz w:val="18"/>
                  <w:szCs w:val="18"/>
                  <w:color w:val="0000FF"/>
                  <w:w w:val="99"/>
                </w:rPr>
                <w:t>Exchange Act of 1934, as amended.</w:t>
              </w:r>
            </w:hyperlink>
          </w:p>
        </w:tc>
        <w:tc>
          <w:tcPr>
            <w:tcW w:w="7080" w:type="dxa"/>
            <w:vAlign w:val="bottom"/>
            <w:gridSpan w:val="2"/>
          </w:tcPr>
          <w:p>
            <w:pPr>
              <w:spacing w:after="0"/>
              <w:rPr>
                <w:sz w:val="15"/>
                <w:szCs w:val="15"/>
                <w:color w:val="auto"/>
              </w:rPr>
            </w:pPr>
          </w:p>
        </w:tc>
      </w:tr>
      <w:tr>
        <w:trPr>
          <w:trHeight w:val="237"/>
        </w:trPr>
        <w:tc>
          <w:tcPr>
            <w:tcW w:w="1260" w:type="dxa"/>
            <w:vAlign w:val="bottom"/>
          </w:tcPr>
          <w:p>
            <w:pPr>
              <w:jc w:val="right"/>
              <w:ind w:right="830"/>
              <w:spacing w:after="0"/>
              <w:rPr>
                <w:sz w:val="20"/>
                <w:szCs w:val="20"/>
                <w:color w:val="auto"/>
              </w:rPr>
            </w:pPr>
            <w:r>
              <w:rPr>
                <w:rFonts w:ascii="Arial" w:cs="Arial" w:eastAsia="Arial" w:hAnsi="Arial"/>
                <w:sz w:val="18"/>
                <w:szCs w:val="18"/>
                <w:color w:val="auto"/>
                <w:w w:val="91"/>
              </w:rPr>
              <w:t>31.2</w:t>
            </w:r>
          </w:p>
        </w:tc>
        <w:tc>
          <w:tcPr>
            <w:tcW w:w="9980" w:type="dxa"/>
            <w:vAlign w:val="bottom"/>
            <w:tcBorders>
              <w:bottom w:val="single" w:sz="8" w:color="0000FF"/>
            </w:tcBorders>
            <w:gridSpan w:val="3"/>
          </w:tcPr>
          <w:p>
            <w:pPr>
              <w:spacing w:after="0"/>
              <w:rPr>
                <w:rFonts w:ascii="Arial" w:cs="Arial" w:eastAsia="Arial" w:hAnsi="Arial"/>
                <w:sz w:val="18"/>
                <w:szCs w:val="18"/>
                <w:color w:val="0000FF"/>
                <w:w w:val="99"/>
              </w:rPr>
            </w:pPr>
            <w:hyperlink w:anchor="page49">
              <w:r>
                <w:rPr>
                  <w:rFonts w:ascii="Arial" w:cs="Arial" w:eastAsia="Arial" w:hAnsi="Arial"/>
                  <w:sz w:val="18"/>
                  <w:szCs w:val="18"/>
                  <w:color w:val="0000FF"/>
                  <w:w w:val="99"/>
                </w:rPr>
                <w:t>Certification of Interim Chief Financial Officer pursuant to Rules 13(a)-14(a) and 15(d)-14(a) promulgated under the Securities</w:t>
              </w:r>
            </w:hyperlink>
          </w:p>
        </w:tc>
      </w:tr>
      <w:tr>
        <w:trPr>
          <w:trHeight w:val="183"/>
        </w:trPr>
        <w:tc>
          <w:tcPr>
            <w:tcW w:w="1260" w:type="dxa"/>
            <w:vAlign w:val="bottom"/>
          </w:tcPr>
          <w:p>
            <w:pPr>
              <w:spacing w:after="0"/>
              <w:rPr>
                <w:sz w:val="15"/>
                <w:szCs w:val="15"/>
                <w:color w:val="auto"/>
              </w:rPr>
            </w:pPr>
          </w:p>
        </w:tc>
        <w:tc>
          <w:tcPr>
            <w:tcW w:w="2900" w:type="dxa"/>
            <w:vAlign w:val="bottom"/>
            <w:tcBorders>
              <w:bottom w:val="single" w:sz="8" w:color="0000FF"/>
            </w:tcBorders>
          </w:tcPr>
          <w:p>
            <w:pPr>
              <w:spacing w:after="0" w:line="182" w:lineRule="exact"/>
              <w:rPr>
                <w:rFonts w:ascii="Arial" w:cs="Arial" w:eastAsia="Arial" w:hAnsi="Arial"/>
                <w:sz w:val="18"/>
                <w:szCs w:val="18"/>
                <w:color w:val="0000FF"/>
                <w:w w:val="99"/>
              </w:rPr>
            </w:pPr>
            <w:hyperlink w:anchor="page49">
              <w:r>
                <w:rPr>
                  <w:rFonts w:ascii="Arial" w:cs="Arial" w:eastAsia="Arial" w:hAnsi="Arial"/>
                  <w:sz w:val="18"/>
                  <w:szCs w:val="18"/>
                  <w:color w:val="0000FF"/>
                  <w:w w:val="99"/>
                </w:rPr>
                <w:t>Exchange Act of 1934, as amended.</w:t>
              </w:r>
            </w:hyperlink>
          </w:p>
        </w:tc>
        <w:tc>
          <w:tcPr>
            <w:tcW w:w="7080" w:type="dxa"/>
            <w:vAlign w:val="bottom"/>
            <w:gridSpan w:val="2"/>
          </w:tcPr>
          <w:p>
            <w:pPr>
              <w:spacing w:after="0"/>
              <w:rPr>
                <w:sz w:val="15"/>
                <w:szCs w:val="15"/>
                <w:color w:val="auto"/>
              </w:rPr>
            </w:pPr>
          </w:p>
        </w:tc>
      </w:tr>
    </w:tbl>
    <w:p>
      <w:pPr>
        <w:spacing w:after="0" w:line="67" w:lineRule="exact"/>
        <w:rPr>
          <w:sz w:val="20"/>
          <w:szCs w:val="20"/>
          <w:color w:val="auto"/>
        </w:rPr>
      </w:pPr>
    </w:p>
    <w:p>
      <w:pPr>
        <w:ind w:left="1300" w:hanging="1265"/>
        <w:spacing w:after="0"/>
        <w:tabs>
          <w:tab w:leader="none" w:pos="1300" w:val="left"/>
        </w:tabs>
        <w:numPr>
          <w:ilvl w:val="0"/>
          <w:numId w:val="52"/>
        </w:numPr>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Certification pursuant to 18 U.S.C. Section 1350, as adopted pursuant to Section 906 of the Sarbanes-Oxley Act of 2002.</w:t>
        </w:r>
      </w:hyperlink>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434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4340" w:type="dxa"/>
            <w:vAlign w:val="bottom"/>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434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434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4340" w:type="dxa"/>
            <w:vAlign w:val="bottom"/>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4340" w:type="dxa"/>
            <w:vAlign w:val="bottom"/>
          </w:tcPr>
          <w:p>
            <w:pPr>
              <w:ind w:left="280"/>
              <w:spacing w:after="0"/>
              <w:rPr>
                <w:sz w:val="20"/>
                <w:szCs w:val="20"/>
                <w:color w:val="auto"/>
              </w:rPr>
            </w:pPr>
            <w:r>
              <w:rPr>
                <w:rFonts w:ascii="Arial" w:cs="Arial" w:eastAsia="Arial" w:hAnsi="Arial"/>
                <w:sz w:val="18"/>
                <w:szCs w:val="18"/>
                <w:color w:val="auto"/>
                <w:w w:val="98"/>
              </w:rPr>
              <w:t>XBRL Taxonomy Extension Presentation Linkbase.</w:t>
            </w:r>
          </w:p>
        </w:tc>
      </w:tr>
    </w:tbl>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60"/>
          </w:cols>
          <w:pgMar w:left="240" w:top="140" w:right="29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365"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3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57"/>
        </w:trPr>
        <w:tc>
          <w:tcPr>
            <w:tcW w:w="8320" w:type="dxa"/>
            <w:vAlign w:val="bottom"/>
          </w:tcPr>
          <w:p>
            <w:pPr>
              <w:ind w:left="60"/>
              <w:spacing w:after="0"/>
              <w:rPr>
                <w:sz w:val="20"/>
                <w:szCs w:val="20"/>
                <w:color w:val="auto"/>
              </w:rPr>
            </w:pPr>
            <w:r>
              <w:rPr>
                <w:rFonts w:ascii="Arial" w:cs="Arial" w:eastAsia="Arial" w:hAnsi="Arial"/>
                <w:sz w:val="18"/>
                <w:szCs w:val="18"/>
                <w:b w:val="1"/>
                <w:bCs w:val="1"/>
                <w:color w:val="auto"/>
              </w:rPr>
              <w:t>Earnings available to cover fixed charges:</w:t>
            </w:r>
          </w:p>
        </w:tc>
        <w:tc>
          <w:tcPr>
            <w:tcW w:w="9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320" w:type="dxa"/>
            <w:vAlign w:val="bottom"/>
          </w:tcPr>
          <w:p>
            <w:pPr>
              <w:ind w:left="60"/>
              <w:spacing w:after="0"/>
              <w:rPr>
                <w:sz w:val="20"/>
                <w:szCs w:val="20"/>
                <w:color w:val="auto"/>
              </w:rPr>
            </w:pPr>
            <w:r>
              <w:rPr>
                <w:rFonts w:ascii="Arial" w:cs="Arial" w:eastAsia="Arial" w:hAnsi="Arial"/>
                <w:sz w:val="18"/>
                <w:szCs w:val="18"/>
                <w:color w:val="auto"/>
              </w:rPr>
              <w:t>Loss before income taxes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7"/>
        </w:trPr>
        <w:tc>
          <w:tcPr>
            <w:tcW w:w="8320" w:type="dxa"/>
            <w:vAlign w:val="bottom"/>
          </w:tcPr>
          <w:p>
            <w:pPr>
              <w:ind w:left="60"/>
              <w:spacing w:after="0"/>
              <w:rPr>
                <w:sz w:val="20"/>
                <w:szCs w:val="20"/>
                <w:color w:val="auto"/>
              </w:rPr>
            </w:pPr>
            <w:r>
              <w:rPr>
                <w:rFonts w:ascii="Arial" w:cs="Arial" w:eastAsia="Arial" w:hAnsi="Arial"/>
                <w:sz w:val="18"/>
                <w:szCs w:val="18"/>
                <w:color w:val="auto"/>
              </w:rPr>
              <w:t>Plus: Fixed charges</w:t>
            </w:r>
          </w:p>
        </w:tc>
        <w:tc>
          <w:tcPr>
            <w:tcW w:w="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57"/>
        </w:trPr>
        <w:tc>
          <w:tcPr>
            <w:tcW w:w="8320" w:type="dxa"/>
            <w:vAlign w:val="bottom"/>
          </w:tcPr>
          <w:p>
            <w:pPr>
              <w:ind w:left="60"/>
              <w:spacing w:after="0"/>
              <w:rPr>
                <w:sz w:val="20"/>
                <w:szCs w:val="20"/>
                <w:color w:val="auto"/>
              </w:rPr>
            </w:pPr>
            <w:r>
              <w:rPr>
                <w:rFonts w:ascii="Arial" w:cs="Arial" w:eastAsia="Arial" w:hAnsi="Arial"/>
                <w:sz w:val="18"/>
                <w:szCs w:val="18"/>
                <w:color w:val="auto"/>
              </w:rPr>
              <w:t>Earnings available to cover fixed charges</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1"/>
                <w:szCs w:val="21"/>
                <w:color w:val="auto"/>
                <w:vertAlign w:val="superscript"/>
              </w:rPr>
              <w:t>(a)</w:t>
            </w:r>
            <w:r>
              <w:rPr>
                <w:rFonts w:ascii="Arial" w:cs="Arial" w:eastAsia="Arial" w:hAnsi="Arial"/>
                <w:sz w:val="18"/>
                <w:szCs w:val="18"/>
                <w:b w:val="1"/>
                <w:bCs w:val="1"/>
                <w:color w:val="auto"/>
              </w:rPr>
              <w:t>:</w:t>
            </w: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83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320" w:type="dxa"/>
            <w:vAlign w:val="bottom"/>
          </w:tcPr>
          <w:p>
            <w:pPr>
              <w:ind w:left="60"/>
              <w:spacing w:after="0"/>
              <w:rPr>
                <w:sz w:val="20"/>
                <w:szCs w:val="20"/>
                <w:color w:val="auto"/>
              </w:rPr>
            </w:pPr>
            <w:r>
              <w:rPr>
                <w:rFonts w:ascii="Arial" w:cs="Arial" w:eastAsia="Arial" w:hAnsi="Arial"/>
                <w:sz w:val="18"/>
                <w:szCs w:val="18"/>
                <w:color w:val="auto"/>
              </w:rPr>
              <w:t>Interest, including amortization of deferred financing costs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7"/>
        </w:trPr>
        <w:tc>
          <w:tcPr>
            <w:tcW w:w="8320" w:type="dxa"/>
            <w:vAlign w:val="bottom"/>
          </w:tcPr>
          <w:p>
            <w:pPr>
              <w:ind w:left="60"/>
              <w:spacing w:after="0"/>
              <w:rPr>
                <w:sz w:val="20"/>
                <w:szCs w:val="20"/>
                <w:color w:val="auto"/>
              </w:rPr>
            </w:pPr>
            <w:r>
              <w:rPr>
                <w:rFonts w:ascii="Arial" w:cs="Arial" w:eastAsia="Arial" w:hAnsi="Arial"/>
                <w:sz w:val="18"/>
                <w:szCs w:val="18"/>
                <w:color w:val="auto"/>
              </w:rPr>
              <w:t>Interest portion of rental payment</w:t>
            </w:r>
          </w:p>
        </w:tc>
        <w:tc>
          <w:tcPr>
            <w:tcW w:w="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7"/>
        </w:trPr>
        <w:tc>
          <w:tcPr>
            <w:tcW w:w="8320" w:type="dxa"/>
            <w:vAlign w:val="bottom"/>
          </w:tcPr>
          <w:p>
            <w:pPr>
              <w:ind w:left="60"/>
              <w:spacing w:after="0"/>
              <w:rPr>
                <w:sz w:val="20"/>
                <w:szCs w:val="20"/>
                <w:color w:val="auto"/>
              </w:rPr>
            </w:pPr>
            <w:r>
              <w:rPr>
                <w:rFonts w:ascii="Arial" w:cs="Arial" w:eastAsia="Arial" w:hAnsi="Arial"/>
                <w:sz w:val="18"/>
                <w:szCs w:val="18"/>
                <w:color w:val="auto"/>
              </w:rPr>
              <w:t>Total fixed charges</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2"/>
                <w:szCs w:val="22"/>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 xml:space="preserve">Ratio of earnings to fixed charges </w:t>
            </w:r>
            <w:r>
              <w:rPr>
                <w:rFonts w:ascii="Arial" w:cs="Arial" w:eastAsia="Arial" w:hAnsi="Arial"/>
                <w:sz w:val="21"/>
                <w:szCs w:val="21"/>
                <w:color w:val="auto"/>
                <w:vertAlign w:val="superscript"/>
              </w:rPr>
              <w:t>(b)</w:t>
            </w: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3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2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ind w:left="240" w:right="160" w:hanging="171"/>
        <w:spacing w:after="0" w:line="225" w:lineRule="auto"/>
        <w:tabs>
          <w:tab w:leader="none" w:pos="213" w:val="left"/>
        </w:tabs>
        <w:numPr>
          <w:ilvl w:val="0"/>
          <w:numId w:val="53"/>
        </w:numPr>
        <w:rPr>
          <w:rFonts w:ascii="Arial" w:cs="Arial" w:eastAsia="Arial" w:hAnsi="Arial"/>
          <w:sz w:val="17"/>
          <w:szCs w:val="17"/>
          <w:color w:val="auto"/>
          <w:vertAlign w:val="superscript"/>
        </w:rPr>
      </w:pPr>
      <w:r>
        <w:rPr>
          <w:rFonts w:ascii="Arial" w:cs="Arial" w:eastAsia="Arial" w:hAnsi="Arial"/>
          <w:sz w:val="14"/>
          <w:szCs w:val="14"/>
          <w:color w:val="auto"/>
        </w:rPr>
        <w:t>Consists of interest expense on all indebtedness (including amortization of deferred financing costs) and the portion of operating lease rental expense that is representative of the interest factor. Interest expense on all indebtedness is detailed as follows:</w:t>
      </w:r>
    </w:p>
    <w:p>
      <w:pPr>
        <w:spacing w:after="0" w:line="161" w:lineRule="exact"/>
        <w:rPr>
          <w:sz w:val="20"/>
          <w:szCs w:val="20"/>
          <w:color w:val="auto"/>
        </w:rPr>
      </w:pPr>
    </w:p>
    <w:p>
      <w:pPr>
        <w:ind w:left="914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March 31,</w:t>
            </w:r>
          </w:p>
        </w:tc>
        <w:tc>
          <w:tcPr>
            <w:tcW w:w="1040" w:type="dxa"/>
            <w:vAlign w:val="bottom"/>
            <w:tcBorders>
              <w:bottom w:val="single" w:sz="8" w:color="auto"/>
            </w:tcBorders>
          </w:tcPr>
          <w:p>
            <w:pPr>
              <w:spacing w:after="0"/>
              <w:rPr>
                <w:sz w:val="16"/>
                <w:szCs w:val="16"/>
                <w:color w:val="auto"/>
              </w:rPr>
            </w:pPr>
          </w:p>
        </w:tc>
      </w:tr>
      <w:tr>
        <w:trPr>
          <w:trHeight w:val="258"/>
        </w:trPr>
        <w:tc>
          <w:tcPr>
            <w:tcW w:w="8020" w:type="dxa"/>
            <w:vAlign w:val="bottom"/>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r>
      <w:tr>
        <w:trPr>
          <w:trHeight w:val="244"/>
        </w:trPr>
        <w:tc>
          <w:tcPr>
            <w:tcW w:w="8020" w:type="dxa"/>
            <w:vAlign w:val="bottom"/>
          </w:tcPr>
          <w:p>
            <w:pPr>
              <w:spacing w:after="0"/>
              <w:rPr>
                <w:sz w:val="20"/>
                <w:szCs w:val="20"/>
                <w:color w:val="auto"/>
              </w:rPr>
            </w:pPr>
            <w:r>
              <w:rPr>
                <w:rFonts w:ascii="Arial" w:cs="Arial" w:eastAsia="Arial" w:hAnsi="Arial"/>
                <w:sz w:val="14"/>
                <w:szCs w:val="14"/>
                <w:color w:val="auto"/>
              </w:rPr>
              <w:t>Related to debt under vehicle programs</w:t>
            </w: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68</w:t>
            </w:r>
          </w:p>
        </w:tc>
      </w:tr>
      <w:tr>
        <w:trPr>
          <w:trHeight w:val="276"/>
        </w:trPr>
        <w:tc>
          <w:tcPr>
            <w:tcW w:w="8020" w:type="dxa"/>
            <w:vAlign w:val="bottom"/>
          </w:tcPr>
          <w:p>
            <w:pPr>
              <w:spacing w:after="0"/>
              <w:rPr>
                <w:sz w:val="20"/>
                <w:szCs w:val="20"/>
                <w:color w:val="auto"/>
              </w:rPr>
            </w:pPr>
            <w:r>
              <w:rPr>
                <w:rFonts w:ascii="Arial" w:cs="Arial" w:eastAsia="Arial" w:hAnsi="Arial"/>
                <w:sz w:val="14"/>
                <w:szCs w:val="14"/>
                <w:color w:val="auto"/>
              </w:rPr>
              <w:t>All other</w:t>
            </w:r>
          </w:p>
        </w:tc>
        <w:tc>
          <w:tcPr>
            <w:tcW w:w="10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w:t>
            </w:r>
          </w:p>
        </w:tc>
      </w:tr>
      <w:tr>
        <w:trPr>
          <w:trHeight w:val="237"/>
        </w:trPr>
        <w:tc>
          <w:tcPr>
            <w:tcW w:w="8020" w:type="dxa"/>
            <w:vAlign w:val="bottom"/>
          </w:tcPr>
          <w:p>
            <w:pPr>
              <w:spacing w:after="0"/>
              <w:rPr>
                <w:sz w:val="20"/>
                <w:szCs w:val="20"/>
                <w:color w:val="auto"/>
              </w:rPr>
            </w:pP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0"/>
                <w:szCs w:val="20"/>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w:t>
            </w:r>
          </w:p>
        </w:tc>
      </w:tr>
      <w:tr>
        <w:trPr>
          <w:trHeight w:val="20"/>
        </w:trPr>
        <w:tc>
          <w:tcPr>
            <w:tcW w:w="8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ind w:left="220" w:hanging="151"/>
        <w:spacing w:after="0"/>
        <w:tabs>
          <w:tab w:leader="none" w:pos="220" w:val="left"/>
        </w:tabs>
        <w:numPr>
          <w:ilvl w:val="0"/>
          <w:numId w:val="54"/>
        </w:numPr>
        <w:rPr>
          <w:rFonts w:ascii="Arial" w:cs="Arial" w:eastAsia="Arial" w:hAnsi="Arial"/>
          <w:sz w:val="18"/>
          <w:szCs w:val="18"/>
          <w:color w:val="auto"/>
          <w:vertAlign w:val="superscript"/>
        </w:rPr>
      </w:pPr>
      <w:r>
        <w:rPr>
          <w:rFonts w:ascii="Arial" w:cs="Arial" w:eastAsia="Arial" w:hAnsi="Arial"/>
          <w:sz w:val="14"/>
          <w:szCs w:val="14"/>
          <w:color w:val="auto"/>
        </w:rPr>
        <w:t>Earnings were not sufficient to cover fixed charges for the three months ended March 31, 2018 and 2017 by $129 million and $165 million, respectively.</w:t>
      </w:r>
    </w:p>
    <w:p>
      <w:pPr>
        <w:sectPr>
          <w:pgSz w:w="11900" w:h="16838" w:orient="portrait"/>
          <w:cols w:equalWidth="0" w:num="1">
            <w:col w:w="11420"/>
          </w:cols>
          <w:pgMar w:left="240" w:top="576"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I, Larry D. De Shon, certify that:</w:t>
      </w:r>
    </w:p>
    <w:p>
      <w:pPr>
        <w:spacing w:after="0" w:line="171"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328"/>
        <w:spacing w:after="0" w:line="256"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328"/>
        <w:spacing w:after="0" w:line="256"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Larry D. De 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14605</wp:posOffset>
            </wp:positionV>
            <wp:extent cx="27101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76"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Martyn Smith, certify that:</w:t>
      </w:r>
    </w:p>
    <w:p>
      <w:pPr>
        <w:spacing w:after="0" w:line="171"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328"/>
        <w:spacing w:after="0" w:line="256"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328"/>
        <w:spacing w:after="0" w:line="256"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May 3, 2018</w:t>
      </w:r>
    </w:p>
    <w:p>
      <w:pPr>
        <w:spacing w:after="0" w:line="387" w:lineRule="exact"/>
        <w:rPr>
          <w:sz w:val="20"/>
          <w:szCs w:val="20"/>
          <w:color w:val="auto"/>
        </w:rPr>
      </w:pPr>
    </w:p>
    <w:p>
      <w:pPr>
        <w:jc w:val="center"/>
        <w:ind w:right="-19"/>
        <w:spacing w:after="0"/>
        <w:tabs>
          <w:tab w:leader="none" w:pos="1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Martyn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14605</wp:posOffset>
            </wp:positionV>
            <wp:extent cx="42449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4244975"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Interim Chief Financial Officer</w:t>
      </w:r>
    </w:p>
    <w:p>
      <w:pPr>
        <w:sectPr>
          <w:pgSz w:w="11900" w:h="16838" w:orient="portrait"/>
          <w:cols w:equalWidth="0" w:num="1">
            <w:col w:w="11420"/>
          </w:cols>
          <w:pgMar w:left="240" w:top="576"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March 31, 2018, as filed with the Securities and Exchange Commission on the date hereof (the “Report”), Larry D. De Shon, as Chief Executive Officer of the Company, and Martyn Smith, as Interim Chief Financial Officer of the Company, each hereby certifies, pursuant to 18 U.S.C. Section 1350, as adopted pursuant to Section 906 of the Sarbanes-Oxley Act of 2002, that, to the best of his knowledge:</w:t>
      </w:r>
    </w:p>
    <w:p>
      <w:pPr>
        <w:spacing w:after="0" w:line="150"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LARRY D. DE SHON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Larry D. De Shon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3, 2018</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MARTYN SMITH</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Martyn Smith</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Interim 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May 3, 2018</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1)"/>
      <w:numFmt w:val="decimal"/>
      <w:start w:val="129"/>
    </w:lvl>
  </w:abstractNum>
  <w:abstractNum w:abstractNumId="3">
    <w:nsid w:val="1E7FF521"/>
    <w:multiLevelType w:val="hybridMultilevel"/>
    <w:lvl w:ilvl="0">
      <w:lvlJc w:val="left"/>
      <w:lvlText w:val="(%1)"/>
      <w:numFmt w:val="decimal"/>
      <w:start w:val="42"/>
    </w:lvl>
  </w:abstractNum>
  <w:abstractNum w:abstractNumId="4">
    <w:nsid w:val="7C3DBD3D"/>
    <w:multiLevelType w:val="hybridMultilevel"/>
    <w:lvl w:ilvl="0">
      <w:lvlJc w:val="left"/>
      <w:lvlText w:val="%1."/>
      <w:numFmt w:val="decimal"/>
      <w:start w:val="1"/>
    </w:lvl>
    <w:lvl w:ilvl="1">
      <w:lvlJc w:val="left"/>
      <w:lvlText w:val="•"/>
      <w:numFmt w:val="bullet"/>
      <w:start w:val="1"/>
    </w:lvl>
  </w:abstractNum>
  <w:abstractNum w:abstractNumId="5">
    <w:nsid w:val="737B8DDC"/>
    <w:multiLevelType w:val="hybridMultilevel"/>
    <w:lvl w:ilvl="0">
      <w:lvlJc w:val="left"/>
      <w:lvlText w:val="(%1)"/>
      <w:numFmt w:val="lowerLetter"/>
      <w:start w:val="1"/>
    </w:lvl>
  </w:abstractNum>
  <w:abstractNum w:abstractNumId="6">
    <w:nsid w:val="6CEAF087"/>
    <w:multiLevelType w:val="hybridMultilevel"/>
    <w:lvl w:ilvl="0">
      <w:lvlJc w:val="left"/>
      <w:lvlText w:val="%1."/>
      <w:numFmt w:val="decimal"/>
      <w:start w:val="606"/>
    </w:lvl>
  </w:abstractNum>
  <w:abstractNum w:abstractNumId="7">
    <w:nsid w:val="22221A70"/>
    <w:multiLevelType w:val="hybridMultilevel"/>
    <w:lvl w:ilvl="0">
      <w:lvlJc w:val="left"/>
      <w:lvlText w:val="%1."/>
      <w:numFmt w:val="decimal"/>
      <w:start w:val="2"/>
    </w:lvl>
  </w:abstractNum>
  <w:abstractNum w:abstractNumId="8">
    <w:nsid w:val="4516DDE9"/>
    <w:multiLevelType w:val="hybridMultilevel"/>
    <w:lvl w:ilvl="0">
      <w:lvlJc w:val="left"/>
      <w:lvlText w:val="%1"/>
      <w:numFmt w:val="decimal"/>
      <w:start w:val="1"/>
    </w:lvl>
    <w:lvl w:ilvl="1">
      <w:lvlJc w:val="left"/>
      <w:lvlText w:val="(%2)"/>
      <w:numFmt w:val="lowerLetter"/>
      <w:start w:val="1"/>
    </w:lvl>
  </w:abstractNum>
  <w:abstractNum w:abstractNumId="9">
    <w:nsid w:val="3006C83E"/>
    <w:multiLevelType w:val="hybridMultilevel"/>
    <w:lvl w:ilvl="0">
      <w:lvlJc w:val="left"/>
      <w:lvlText w:val="%1."/>
      <w:numFmt w:val="decimal"/>
      <w:start w:val="3"/>
    </w:lvl>
    <w:lvl w:ilvl="1">
      <w:lvlJc w:val="left"/>
      <w:lvlText w:val="%2"/>
      <w:numFmt w:val="lowerLetter"/>
      <w:start w:val="1"/>
    </w:lvl>
  </w:abstractNum>
  <w:abstractNum w:abstractNumId="10">
    <w:nsid w:val="614FD4A1"/>
    <w:multiLevelType w:val="hybridMultilevel"/>
    <w:lvl w:ilvl="0">
      <w:lvlJc w:val="left"/>
      <w:lvlText w:val="(%1)"/>
      <w:numFmt w:val="lowerLetter"/>
      <w:start w:val="1"/>
    </w:lvl>
  </w:abstractNum>
  <w:abstractNum w:abstractNumId="11">
    <w:nsid w:val="419AC241"/>
    <w:multiLevelType w:val="hybridMultilevel"/>
    <w:lvl w:ilvl="0">
      <w:lvlJc w:val="left"/>
      <w:lvlText w:val="%1."/>
      <w:numFmt w:val="decimal"/>
      <w:start w:val="4"/>
    </w:lvl>
  </w:abstractNum>
  <w:abstractNum w:abstractNumId="12">
    <w:nsid w:val="5577F8E1"/>
    <w:multiLevelType w:val="hybridMultilevel"/>
    <w:lvl w:ilvl="0">
      <w:lvlJc w:val="left"/>
      <w:lvlText w:val="(%1)"/>
      <w:numFmt w:val="lowerLetter"/>
      <w:start w:val="1"/>
    </w:lvl>
  </w:abstractNum>
  <w:abstractNum w:abstractNumId="13">
    <w:nsid w:val="440BADFC"/>
    <w:multiLevelType w:val="hybridMultilevel"/>
    <w:lvl w:ilvl="0">
      <w:lvlJc w:val="left"/>
      <w:lvlText w:val="%1."/>
      <w:numFmt w:val="decimal"/>
      <w:start w:val="5"/>
    </w:lvl>
  </w:abstractNum>
  <w:abstractNum w:abstractNumId="14">
    <w:nsid w:val="5072367"/>
    <w:multiLevelType w:val="hybridMultilevel"/>
    <w:lvl w:ilvl="0">
      <w:lvlJc w:val="left"/>
      <w:lvlText w:val="%1."/>
      <w:numFmt w:val="decimal"/>
      <w:start w:val="7"/>
    </w:lvl>
  </w:abstractNum>
  <w:abstractNum w:abstractNumId="15">
    <w:nsid w:val="3804823E"/>
    <w:multiLevelType w:val="hybridMultilevel"/>
    <w:lvl w:ilvl="0">
      <w:lvlJc w:val="left"/>
      <w:lvlText w:val="(%1)"/>
      <w:numFmt w:val="lowerLetter"/>
      <w:start w:val="1"/>
    </w:lvl>
  </w:abstractNum>
  <w:abstractNum w:abstractNumId="16">
    <w:nsid w:val="77465F01"/>
    <w:multiLevelType w:val="hybridMultilevel"/>
    <w:lvl w:ilvl="0">
      <w:lvlJc w:val="left"/>
      <w:lvlText w:val="%1."/>
      <w:numFmt w:val="decimal"/>
      <w:start w:val="8"/>
    </w:lvl>
  </w:abstractNum>
  <w:abstractNum w:abstractNumId="17">
    <w:nsid w:val="7724C67E"/>
    <w:multiLevelType w:val="hybridMultilevel"/>
    <w:lvl w:ilvl="0">
      <w:lvlJc w:val="left"/>
      <w:lvlText w:val="%1."/>
      <w:numFmt w:val="decimal"/>
      <w:start w:val="9"/>
    </w:lvl>
  </w:abstractNum>
  <w:abstractNum w:abstractNumId="18">
    <w:nsid w:val="5C482A97"/>
    <w:multiLevelType w:val="hybridMultilevel"/>
    <w:lvl w:ilvl="0">
      <w:lvlJc w:val="left"/>
      <w:lvlText w:val="%1."/>
      <w:numFmt w:val="decimal"/>
      <w:start w:val="11"/>
    </w:lvl>
  </w:abstractNum>
  <w:abstractNum w:abstractNumId="19">
    <w:nsid w:val="2463B9EA"/>
    <w:multiLevelType w:val="hybridMultilevel"/>
    <w:lvl w:ilvl="0">
      <w:lvlJc w:val="left"/>
      <w:lvlText w:val="(%1)"/>
      <w:numFmt w:val="lowerLetter"/>
      <w:start w:val="1"/>
    </w:lvl>
  </w:abstractNum>
  <w:abstractNum w:abstractNumId="20">
    <w:nsid w:val="5E884ADC"/>
    <w:multiLevelType w:val="hybridMultilevel"/>
    <w:lvl w:ilvl="0">
      <w:lvlJc w:val="left"/>
      <w:lvlText w:val="(%1)"/>
      <w:numFmt w:val="lowerLetter"/>
      <w:start w:val="1"/>
    </w:lvl>
  </w:abstractNum>
  <w:abstractNum w:abstractNumId="21">
    <w:nsid w:val="51EAD36B"/>
    <w:multiLevelType w:val="hybridMultilevel"/>
    <w:lvl w:ilvl="0">
      <w:lvlJc w:val="left"/>
      <w:lvlText w:val="%1."/>
      <w:numFmt w:val="decimal"/>
      <w:start w:val="12"/>
    </w:lvl>
  </w:abstractNum>
  <w:abstractNum w:abstractNumId="22">
    <w:nsid w:val="2D517796"/>
    <w:multiLevelType w:val="hybridMultilevel"/>
    <w:lvl w:ilvl="0">
      <w:lvlJc w:val="left"/>
      <w:lvlText w:val="(%1)"/>
      <w:numFmt w:val="lowerLetter"/>
      <w:start w:val="1"/>
    </w:lvl>
  </w:abstractNum>
  <w:abstractNum w:abstractNumId="23">
    <w:nsid w:val="580BD78F"/>
    <w:multiLevelType w:val="hybridMultilevel"/>
    <w:lvl w:ilvl="0">
      <w:lvlJc w:val="left"/>
      <w:lvlText w:val="(%1)"/>
      <w:numFmt w:val="lowerLetter"/>
      <w:start w:val="1"/>
    </w:lvl>
  </w:abstractNum>
  <w:abstractNum w:abstractNumId="24">
    <w:nsid w:val="153EA438"/>
    <w:multiLevelType w:val="hybridMultilevel"/>
    <w:lvl w:ilvl="0">
      <w:lvlJc w:val="left"/>
      <w:lvlText w:val="%1."/>
      <w:numFmt w:val="decimal"/>
      <w:start w:val="13"/>
    </w:lvl>
  </w:abstractNum>
  <w:abstractNum w:abstractNumId="25">
    <w:nsid w:val="3855585C"/>
    <w:multiLevelType w:val="hybridMultilevel"/>
    <w:lvl w:ilvl="0">
      <w:lvlJc w:val="left"/>
      <w:lvlText w:val="%1."/>
      <w:numFmt w:val="decimal"/>
      <w:start w:val="14"/>
    </w:lvl>
  </w:abstractNum>
  <w:abstractNum w:abstractNumId="26">
    <w:nsid w:val="70A64E2A"/>
    <w:multiLevelType w:val="hybridMultilevel"/>
    <w:lvl w:ilvl="0">
      <w:lvlJc w:val="left"/>
      <w:lvlText w:val="%1"/>
      <w:numFmt w:val="decimal"/>
      <w:start w:val="1"/>
    </w:lvl>
    <w:lvl w:ilvl="1">
      <w:lvlJc w:val="left"/>
      <w:lvlText w:val="(%2)"/>
      <w:numFmt w:val="lowerLetter"/>
      <w:start w:val="1"/>
    </w:lvl>
  </w:abstractNum>
  <w:abstractNum w:abstractNumId="27">
    <w:nsid w:val="6A2342EC"/>
    <w:multiLevelType w:val="hybridMultilevel"/>
    <w:lvl w:ilvl="0">
      <w:lvlJc w:val="left"/>
      <w:lvlText w:val="%1."/>
      <w:numFmt w:val="decimal"/>
      <w:start w:val="15"/>
    </w:lvl>
    <w:lvl w:ilvl="1">
      <w:lvlJc w:val="left"/>
      <w:lvlText w:val="%2"/>
      <w:numFmt w:val="lowerLetter"/>
      <w:start w:val="1"/>
    </w:lvl>
  </w:abstractNum>
  <w:abstractNum w:abstractNumId="28">
    <w:nsid w:val="2A487CB0"/>
    <w:multiLevelType w:val="hybridMultilevel"/>
    <w:lvl w:ilvl="0">
      <w:lvlJc w:val="left"/>
      <w:lvlText w:val="%1"/>
      <w:numFmt w:val="decimal"/>
      <w:start w:val="349"/>
    </w:lvl>
  </w:abstractNum>
  <w:abstractNum w:abstractNumId="29">
    <w:nsid w:val="1D4ED43B"/>
    <w:multiLevelType w:val="hybridMultilevel"/>
    <w:lvl w:ilvl="0">
      <w:lvlJc w:val="left"/>
      <w:lvlText w:val="(%1)"/>
      <w:numFmt w:val="decimal"/>
      <w:start w:val="138"/>
    </w:lvl>
  </w:abstractNum>
  <w:abstractNum w:abstractNumId="30">
    <w:nsid w:val="725A06FB"/>
    <w:multiLevelType w:val="hybridMultilevel"/>
    <w:lvl w:ilvl="0">
      <w:lvlJc w:val="left"/>
      <w:lvlText w:val="(%1)"/>
      <w:numFmt w:val="lowerLetter"/>
      <w:start w:val="1"/>
    </w:lvl>
  </w:abstractNum>
  <w:abstractNum w:abstractNumId="31">
    <w:nsid w:val="2CD89A32"/>
    <w:multiLevelType w:val="hybridMultilevel"/>
    <w:lvl w:ilvl="0">
      <w:lvlJc w:val="left"/>
      <w:lvlText w:val="%1."/>
      <w:numFmt w:val="decimal"/>
      <w:start w:val="16"/>
    </w:lvl>
  </w:abstractNum>
  <w:abstractNum w:abstractNumId="32">
    <w:nsid w:val="57E4CCAF"/>
    <w:multiLevelType w:val="hybridMultilevel"/>
    <w:lvl w:ilvl="0">
      <w:lvlJc w:val="left"/>
      <w:lvlText w:val="(%1)"/>
      <w:numFmt w:val="lowerLetter"/>
      <w:start w:val="1"/>
    </w:lvl>
  </w:abstractNum>
  <w:abstractNum w:abstractNumId="33">
    <w:nsid w:val="7A6D8D3C"/>
    <w:multiLevelType w:val="hybridMultilevel"/>
    <w:lvl w:ilvl="0">
      <w:lvlJc w:val="left"/>
      <w:lvlText w:val="(%1)"/>
      <w:numFmt w:val="lowerLetter"/>
      <w:start w:val="1"/>
    </w:lvl>
  </w:abstractNum>
  <w:abstractNum w:abstractNumId="34">
    <w:nsid w:val="4B588F54"/>
    <w:multiLevelType w:val="hybridMultilevel"/>
    <w:lvl w:ilvl="0">
      <w:lvlJc w:val="left"/>
      <w:lvlText w:val="(%1)"/>
      <w:numFmt w:val="lowerLetter"/>
      <w:start w:val="1"/>
    </w:lvl>
  </w:abstractNum>
  <w:abstractNum w:abstractNumId="35">
    <w:nsid w:val="542289EC"/>
    <w:multiLevelType w:val="hybridMultilevel"/>
    <w:lvl w:ilvl="0">
      <w:lvlJc w:val="left"/>
      <w:lvlText w:val="%1"/>
      <w:numFmt w:val="decimal"/>
      <w:start w:val="1"/>
    </w:lvl>
    <w:lvl w:ilvl="1">
      <w:lvlJc w:val="left"/>
      <w:lvlText w:val="(%2)"/>
      <w:numFmt w:val="lowerLetter"/>
      <w:start w:val="1"/>
    </w:lvl>
  </w:abstractNum>
  <w:abstractNum w:abstractNumId="36">
    <w:nsid w:val="6DE91B18"/>
    <w:multiLevelType w:val="hybridMultilevel"/>
    <w:lvl w:ilvl="0">
      <w:lvlJc w:val="left"/>
      <w:lvlText w:val="%1."/>
      <w:numFmt w:val="decimal"/>
      <w:start w:val="17"/>
    </w:lvl>
    <w:lvl w:ilvl="1">
      <w:lvlJc w:val="left"/>
      <w:lvlText w:val="%2"/>
      <w:numFmt w:val="lowerLetter"/>
      <w:start w:val="1"/>
    </w:lvl>
  </w:abstractNum>
  <w:abstractNum w:abstractNumId="37">
    <w:nsid w:val="38437FDB"/>
    <w:multiLevelType w:val="hybridMultilevel"/>
    <w:lvl w:ilvl="0">
      <w:lvlJc w:val="left"/>
      <w:lvlText w:val="(%1)"/>
      <w:numFmt w:val="lowerLetter"/>
      <w:start w:val="1"/>
    </w:lvl>
  </w:abstractNum>
  <w:abstractNum w:abstractNumId="38">
    <w:nsid w:val="7644A45C"/>
    <w:multiLevelType w:val="hybridMultilevel"/>
    <w:lvl w:ilvl="0">
      <w:lvlJc w:val="left"/>
      <w:lvlText w:val="%1."/>
      <w:numFmt w:val="decimal"/>
      <w:start w:val="18"/>
    </w:lvl>
  </w:abstractNum>
  <w:abstractNum w:abstractNumId="39">
    <w:nsid w:val="32FFF902"/>
    <w:multiLevelType w:val="hybridMultilevel"/>
    <w:lvl w:ilvl="0">
      <w:lvlJc w:val="left"/>
      <w:lvlText w:val="(%1)"/>
      <w:numFmt w:val="lowerLetter"/>
      <w:start w:val="1"/>
    </w:lvl>
  </w:abstractNum>
  <w:abstractNum w:abstractNumId="40">
    <w:nsid w:val="684A481A"/>
    <w:multiLevelType w:val="hybridMultilevel"/>
    <w:lvl w:ilvl="0">
      <w:lvlJc w:val="left"/>
      <w:lvlText w:val="%1."/>
      <w:numFmt w:val="decimal"/>
      <w:start w:val="19"/>
    </w:lvl>
    <w:lvl w:ilvl="1">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1)"/>
      <w:numFmt w:val="lowerLetter"/>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1)"/>
      <w:numFmt w:val="lowerRoman"/>
      <w:start w:val="1"/>
    </w:lvl>
  </w:abstractNum>
  <w:abstractNum w:abstractNumId="48">
    <w:nsid w:val="70C6A529"/>
    <w:multiLevelType w:val="hybridMultilevel"/>
    <w:lvl w:ilvl="0">
      <w:lvlJc w:val="left"/>
      <w:lvlText w:val="(%1)"/>
      <w:numFmt w:val="lowerLetter"/>
      <w:start w:val="1"/>
    </w:lvl>
  </w:abstractNum>
  <w:abstractNum w:abstractNumId="49">
    <w:nsid w:val="520EEDD1"/>
    <w:multiLevelType w:val="hybridMultilevel"/>
    <w:lvl w:ilvl="0">
      <w:lvlJc w:val="left"/>
      <w:lvlText w:val="(%1)"/>
      <w:numFmt w:val="lowerLetter"/>
      <w:start w:val="1"/>
    </w:lvl>
  </w:abstractNum>
  <w:abstractNum w:abstractNumId="50">
    <w:nsid w:val="374A3FE6"/>
    <w:multiLevelType w:val="hybridMultilevel"/>
    <w:lvl w:ilvl="0">
      <w:lvlJc w:val="left"/>
      <w:lvlText w:val="%1"/>
      <w:numFmt w:val="decimal"/>
      <w:start w:val="12"/>
    </w:lvl>
  </w:abstractNum>
  <w:abstractNum w:abstractNumId="51">
    <w:nsid w:val="4F4EF005"/>
    <w:multiLevelType w:val="hybridMultilevel"/>
    <w:lvl w:ilvl="0">
      <w:lvlJc w:val="left"/>
      <w:lvlText w:val="%1"/>
      <w:numFmt w:val="decimal"/>
      <w:start w:val="32"/>
    </w:lvl>
  </w:abstractNum>
  <w:abstractNum w:abstractNumId="52">
    <w:nsid w:val="23F9C13C"/>
    <w:multiLevelType w:val="hybridMultilevel"/>
    <w:lvl w:ilvl="0">
      <w:lvlJc w:val="left"/>
      <w:lvlText w:val="(%1)"/>
      <w:numFmt w:val="lowerLetter"/>
      <w:start w:val="1"/>
    </w:lvl>
  </w:abstractNum>
  <w:abstractNum w:abstractNumId="53">
    <w:nsid w:val="649BB77C"/>
    <w:multiLevelType w:val="hybridMultilevel"/>
    <w:lvl w:ilvl="0">
      <w:lvlJc w:val="left"/>
      <w:lvlText w:val="(%1)"/>
      <w:numFmt w:val="lowerLetter"/>
      <w:start w:val="2"/>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0" Type="http://schemas.openxmlformats.org/officeDocument/2006/relationships/hyperlink" Target="http://www.sec.gov/Archives/edgar/data/723612/000119312518010516/d655514dex31.htm" TargetMode="External"/><Relationship Id="rId41" Type="http://schemas.openxmlformats.org/officeDocument/2006/relationships/hyperlink" Target="http://www.sec.gov/Archives/edgar/data/723612/000119312518117867/d565219dex31.htm" TargetMode="External"/><Relationship Id="rId42" Type="http://schemas.openxmlformats.org/officeDocument/2006/relationships/hyperlink" Target="http://www.sec.gov/Archives/edgar/data/723612/000119312518010516/d655514dex41.htm" TargetMode="External"/><Relationship Id="rId43" Type="http://schemas.openxmlformats.org/officeDocument/2006/relationships/hyperlink" Target="http://www.sec.gov/Archives/edgar/data/723612/000119312518117867/d565219dex41.htm" TargetMode="External"/><Relationship Id="rId44" Type="http://schemas.openxmlformats.org/officeDocument/2006/relationships/hyperlink" Target="http://www.sec.gov/Archives/edgar/data/723612/000072361218000015/exhibit10_1.htm" TargetMode="External"/><Relationship Id="rId45" Type="http://schemas.openxmlformats.org/officeDocument/2006/relationships/hyperlink" Target="http://www.sec.gov/Archives/edgar/data/723612/000119312518117867/d56521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2019-12-28T23:02:07Z</dcterms:created>
  <dcterms:modified xsi:type="dcterms:W3CDTF">2019-12-28T23:02:07Z</dcterms:modified>
</cp:coreProperties>
</file>