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425450</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450850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tbl>
      <w:tblPr>
        <w:tblLayout w:type="fixed"/>
        <w:tblInd w:w="460" w:type="dxa"/>
        <w:tblCellMar>
          <w:top w:w="0" w:type="dxa"/>
          <w:left w:w="0" w:type="dxa"/>
          <w:bottom w:w="0" w:type="dxa"/>
          <w:right w:w="0" w:type="dxa"/>
        </w:tblCellMar>
      </w:tblPr>
      <w:tr>
        <w:trPr>
          <w:trHeight w:val="200"/>
        </w:trPr>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16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WASHINGTON, D.C. 20549</w:t>
            </w:r>
          </w:p>
        </w:tc>
        <w:tc>
          <w:tcPr>
            <w:tcW w:w="3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6"/>
        </w:trPr>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160" w:type="dxa"/>
            <w:vAlign w:val="bottom"/>
            <w:gridSpan w:val="2"/>
          </w:tcPr>
          <w:p>
            <w:pPr>
              <w:jc w:val="center"/>
              <w:ind w:right="860"/>
              <w:spacing w:after="0"/>
              <w:rPr>
                <w:sz w:val="20"/>
                <w:szCs w:val="20"/>
                <w:color w:val="auto"/>
              </w:rPr>
            </w:pPr>
            <w:r>
              <w:rPr>
                <w:rFonts w:ascii="Arial" w:cs="Arial" w:eastAsia="Arial" w:hAnsi="Arial"/>
                <w:sz w:val="32"/>
                <w:szCs w:val="32"/>
                <w:b w:val="1"/>
                <w:bCs w:val="1"/>
                <w:color w:val="auto"/>
              </w:rPr>
              <w:t>Form 10-Q</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660" w:type="dxa"/>
            <w:vAlign w:val="bottom"/>
            <w:vMerge w:val="restart"/>
          </w:tcPr>
          <w:p>
            <w:pPr>
              <w:spacing w:after="0" w:line="201" w:lineRule="exact"/>
              <w:rPr>
                <w:sz w:val="20"/>
                <w:szCs w:val="20"/>
                <w:color w:val="auto"/>
              </w:rPr>
            </w:pPr>
            <w:r>
              <w:rPr>
                <w:rFonts w:ascii="MS PGothic" w:cs="MS PGothic" w:eastAsia="MS PGothic" w:hAnsi="MS PGothic"/>
                <w:sz w:val="20"/>
                <w:szCs w:val="20"/>
                <w:color w:val="auto"/>
              </w:rPr>
              <w:t>☒</w:t>
            </w:r>
          </w:p>
        </w:tc>
        <w:tc>
          <w:tcPr>
            <w:tcW w:w="2360" w:type="dxa"/>
            <w:vAlign w:val="bottom"/>
            <w:gridSpan w:val="2"/>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623"/>
        </w:trPr>
        <w:tc>
          <w:tcPr>
            <w:tcW w:w="1660" w:type="dxa"/>
            <w:vAlign w:val="bottom"/>
            <w:vMerge w:val="continue"/>
          </w:tcPr>
          <w:p>
            <w:pPr>
              <w:spacing w:after="0"/>
              <w:rPr>
                <w:sz w:val="24"/>
                <w:szCs w:val="24"/>
                <w:color w:val="auto"/>
              </w:rPr>
            </w:pPr>
          </w:p>
        </w:tc>
        <w:tc>
          <w:tcPr>
            <w:tcW w:w="8760" w:type="dxa"/>
            <w:vAlign w:val="bottom"/>
            <w:gridSpan w:val="5"/>
          </w:tcPr>
          <w:p>
            <w:pPr>
              <w:ind w:left="14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259"/>
        </w:trPr>
        <w:tc>
          <w:tcPr>
            <w:tcW w:w="16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240" w:type="dxa"/>
            <w:vAlign w:val="bottom"/>
            <w:gridSpan w:val="3"/>
          </w:tcPr>
          <w:p>
            <w:pPr>
              <w:jc w:val="center"/>
              <w:ind w:left="120"/>
              <w:spacing w:after="0"/>
              <w:rPr>
                <w:sz w:val="20"/>
                <w:szCs w:val="20"/>
                <w:color w:val="auto"/>
              </w:rPr>
            </w:pPr>
            <w:r>
              <w:rPr>
                <w:rFonts w:ascii="Arial" w:cs="Arial" w:eastAsia="Arial" w:hAnsi="Arial"/>
                <w:sz w:val="14"/>
                <w:szCs w:val="14"/>
                <w:b w:val="1"/>
                <w:bCs w:val="1"/>
                <w:color w:val="auto"/>
              </w:rPr>
              <w:t>For the quarterly period ended September 30, 2023</w:t>
            </w:r>
          </w:p>
        </w:tc>
        <w:tc>
          <w:tcPr>
            <w:tcW w:w="3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1660" w:type="dxa"/>
            <w:vAlign w:val="bottom"/>
            <w:vMerge w:val="restart"/>
          </w:tcPr>
          <w:p>
            <w:pPr>
              <w:spacing w:after="0" w:line="221" w:lineRule="exact"/>
              <w:rPr>
                <w:sz w:val="20"/>
                <w:szCs w:val="20"/>
                <w:color w:val="auto"/>
              </w:rPr>
            </w:pPr>
            <w:r>
              <w:rPr>
                <w:rFonts w:ascii="MS PGothic" w:cs="MS PGothic" w:eastAsia="MS PGothic" w:hAnsi="MS PGothic"/>
                <w:sz w:val="22"/>
                <w:szCs w:val="22"/>
                <w:color w:val="auto"/>
              </w:rPr>
              <w:t>☐</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1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OR</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660" w:type="dxa"/>
            <w:vAlign w:val="bottom"/>
            <w:vMerge w:val="continue"/>
          </w:tcPr>
          <w:p>
            <w:pPr>
              <w:spacing w:after="0"/>
              <w:rPr>
                <w:sz w:val="24"/>
                <w:szCs w:val="24"/>
                <w:color w:val="auto"/>
              </w:rPr>
            </w:pPr>
          </w:p>
        </w:tc>
        <w:tc>
          <w:tcPr>
            <w:tcW w:w="8760" w:type="dxa"/>
            <w:vAlign w:val="bottom"/>
            <w:gridSpan w:val="5"/>
          </w:tcPr>
          <w:p>
            <w:pPr>
              <w:ind w:left="14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64"/>
        </w:trPr>
        <w:tc>
          <w:tcPr>
            <w:tcW w:w="16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240" w:type="dxa"/>
            <w:vAlign w:val="bottom"/>
            <w:gridSpan w:val="3"/>
          </w:tcPr>
          <w:p>
            <w:pPr>
              <w:jc w:val="center"/>
              <w:ind w:left="120"/>
              <w:spacing w:after="0"/>
              <w:rPr>
                <w:sz w:val="20"/>
                <w:szCs w:val="20"/>
                <w:color w:val="auto"/>
              </w:rPr>
            </w:pPr>
            <w:r>
              <w:rPr>
                <w:rFonts w:ascii="Arial" w:cs="Arial" w:eastAsia="Arial" w:hAnsi="Arial"/>
                <w:sz w:val="14"/>
                <w:szCs w:val="14"/>
                <w:b w:val="1"/>
                <w:bCs w:val="1"/>
                <w:color w:val="auto"/>
              </w:rPr>
              <w:t>For the transition period from _____ to _____</w:t>
            </w:r>
          </w:p>
        </w:tc>
        <w:tc>
          <w:tcPr>
            <w:tcW w:w="3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16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Commission File No. 001-10308</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4"/>
        </w:trPr>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40" w:type="dxa"/>
            <w:vAlign w:val="bottom"/>
            <w:gridSpan w:val="3"/>
          </w:tcPr>
          <w:p>
            <w:pPr>
              <w:jc w:val="center"/>
              <w:ind w:left="140"/>
              <w:spacing w:after="0"/>
              <w:rPr>
                <w:sz w:val="20"/>
                <w:szCs w:val="20"/>
                <w:color w:val="auto"/>
              </w:rPr>
            </w:pPr>
            <w:r>
              <w:rPr>
                <w:rFonts w:ascii="Arial" w:cs="Arial" w:eastAsia="Arial" w:hAnsi="Arial"/>
                <w:sz w:val="25"/>
                <w:szCs w:val="25"/>
                <w:b w:val="1"/>
                <w:bCs w:val="1"/>
                <w:color w:val="auto"/>
              </w:rPr>
              <w:t>Avis Budget Group, Inc.</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40" w:type="dxa"/>
            <w:vAlign w:val="bottom"/>
            <w:gridSpan w:val="3"/>
          </w:tcPr>
          <w:p>
            <w:pPr>
              <w:jc w:val="center"/>
              <w:ind w:left="100"/>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660" w:type="dxa"/>
            <w:vAlign w:val="bottom"/>
          </w:tcPr>
          <w:p>
            <w:pPr>
              <w:jc w:val="center"/>
              <w:ind w:left="642"/>
              <w:spacing w:after="0"/>
              <w:rPr>
                <w:sz w:val="20"/>
                <w:szCs w:val="20"/>
                <w:color w:val="auto"/>
              </w:rPr>
            </w:pPr>
            <w:r>
              <w:rPr>
                <w:rFonts w:ascii="Arial" w:cs="Arial" w:eastAsia="Arial" w:hAnsi="Arial"/>
                <w:sz w:val="14"/>
                <w:szCs w:val="14"/>
                <w:b w:val="1"/>
                <w:bCs w:val="1"/>
                <w:color w:val="auto"/>
              </w:rPr>
              <w:t>Delaware</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40" w:type="dxa"/>
            <w:vAlign w:val="bottom"/>
          </w:tcPr>
          <w:p>
            <w:pPr>
              <w:jc w:val="right"/>
              <w:ind w:right="868"/>
              <w:spacing w:after="0"/>
              <w:rPr>
                <w:sz w:val="20"/>
                <w:szCs w:val="20"/>
                <w:color w:val="auto"/>
              </w:rPr>
            </w:pPr>
            <w:r>
              <w:rPr>
                <w:rFonts w:ascii="Arial" w:cs="Arial" w:eastAsia="Arial" w:hAnsi="Arial"/>
                <w:sz w:val="14"/>
                <w:szCs w:val="14"/>
                <w:b w:val="1"/>
                <w:bCs w:val="1"/>
                <w:color w:val="auto"/>
              </w:rPr>
              <w:t>06-0918165</w:t>
            </w:r>
          </w:p>
        </w:tc>
        <w:tc>
          <w:tcPr>
            <w:tcW w:w="0" w:type="dxa"/>
            <w:vAlign w:val="bottom"/>
          </w:tcPr>
          <w:p>
            <w:pPr>
              <w:spacing w:after="0"/>
              <w:rPr>
                <w:sz w:val="1"/>
                <w:szCs w:val="1"/>
                <w:color w:val="auto"/>
              </w:rPr>
            </w:pPr>
          </w:p>
        </w:tc>
      </w:tr>
      <w:tr>
        <w:trPr>
          <w:trHeight w:val="155"/>
        </w:trPr>
        <w:tc>
          <w:tcPr>
            <w:tcW w:w="2940" w:type="dxa"/>
            <w:vAlign w:val="bottom"/>
            <w:gridSpan w:val="2"/>
          </w:tcPr>
          <w:p>
            <w:pPr>
              <w:jc w:val="center"/>
              <w:ind w:right="268"/>
              <w:spacing w:after="0" w:line="155" w:lineRule="exact"/>
              <w:rPr>
                <w:sz w:val="20"/>
                <w:szCs w:val="20"/>
                <w:color w:val="auto"/>
              </w:rPr>
            </w:pPr>
            <w:r>
              <w:rPr>
                <w:rFonts w:ascii="Arial" w:cs="Arial" w:eastAsia="Arial" w:hAnsi="Arial"/>
                <w:sz w:val="14"/>
                <w:szCs w:val="14"/>
                <w:i w:val="1"/>
                <w:iCs w:val="1"/>
                <w:color w:val="auto"/>
              </w:rPr>
              <w:t>(State or other jurisdiction of</w:t>
            </w:r>
          </w:p>
        </w:tc>
        <w:tc>
          <w:tcPr>
            <w:tcW w:w="10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40" w:type="dxa"/>
            <w:vAlign w:val="bottom"/>
          </w:tcPr>
          <w:p>
            <w:pPr>
              <w:jc w:val="center"/>
              <w:ind w:left="528"/>
              <w:spacing w:after="0" w:line="155" w:lineRule="exact"/>
              <w:rPr>
                <w:sz w:val="20"/>
                <w:szCs w:val="20"/>
                <w:color w:val="auto"/>
              </w:rPr>
            </w:pPr>
            <w:r>
              <w:rPr>
                <w:rFonts w:ascii="Arial" w:cs="Arial" w:eastAsia="Arial" w:hAnsi="Arial"/>
                <w:sz w:val="14"/>
                <w:szCs w:val="14"/>
                <w:i w:val="1"/>
                <w:iCs w:val="1"/>
                <w:color w:val="auto"/>
              </w:rPr>
              <w:t>(I.R.S. Employer</w:t>
            </w:r>
          </w:p>
        </w:tc>
        <w:tc>
          <w:tcPr>
            <w:tcW w:w="0" w:type="dxa"/>
            <w:vAlign w:val="bottom"/>
          </w:tcPr>
          <w:p>
            <w:pPr>
              <w:spacing w:after="0"/>
              <w:rPr>
                <w:sz w:val="1"/>
                <w:szCs w:val="1"/>
                <w:color w:val="auto"/>
              </w:rPr>
            </w:pPr>
          </w:p>
        </w:tc>
      </w:tr>
      <w:tr>
        <w:trPr>
          <w:trHeight w:val="185"/>
        </w:trPr>
        <w:tc>
          <w:tcPr>
            <w:tcW w:w="2940" w:type="dxa"/>
            <w:vAlign w:val="bottom"/>
            <w:gridSpan w:val="2"/>
          </w:tcPr>
          <w:p>
            <w:pPr>
              <w:jc w:val="center"/>
              <w:ind w:right="268"/>
              <w:spacing w:after="0"/>
              <w:rPr>
                <w:sz w:val="20"/>
                <w:szCs w:val="20"/>
                <w:color w:val="auto"/>
              </w:rPr>
            </w:pPr>
            <w:r>
              <w:rPr>
                <w:rFonts w:ascii="Arial" w:cs="Arial" w:eastAsia="Arial" w:hAnsi="Arial"/>
                <w:sz w:val="14"/>
                <w:szCs w:val="14"/>
                <w:i w:val="1"/>
                <w:iCs w:val="1"/>
                <w:color w:val="auto"/>
              </w:rPr>
              <w:t>incorporation or organization)</w:t>
            </w:r>
          </w:p>
        </w:tc>
        <w:tc>
          <w:tcPr>
            <w:tcW w:w="10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40" w:type="dxa"/>
            <w:vAlign w:val="bottom"/>
          </w:tcPr>
          <w:p>
            <w:pPr>
              <w:jc w:val="center"/>
              <w:ind w:left="528"/>
              <w:spacing w:after="0"/>
              <w:rPr>
                <w:sz w:val="20"/>
                <w:szCs w:val="20"/>
                <w:color w:val="auto"/>
              </w:rPr>
            </w:pPr>
            <w:r>
              <w:rPr>
                <w:rFonts w:ascii="Arial" w:cs="Arial" w:eastAsia="Arial" w:hAnsi="Arial"/>
                <w:sz w:val="14"/>
                <w:szCs w:val="14"/>
                <w:i w:val="1"/>
                <w:iCs w:val="1"/>
                <w:color w:val="auto"/>
              </w:rPr>
              <w:t>Identification Number)</w:t>
            </w:r>
          </w:p>
        </w:tc>
        <w:tc>
          <w:tcPr>
            <w:tcW w:w="0" w:type="dxa"/>
            <w:vAlign w:val="bottom"/>
          </w:tcPr>
          <w:p>
            <w:pPr>
              <w:spacing w:after="0"/>
              <w:rPr>
                <w:sz w:val="1"/>
                <w:szCs w:val="1"/>
                <w:color w:val="auto"/>
              </w:rPr>
            </w:pPr>
          </w:p>
        </w:tc>
      </w:tr>
      <w:tr>
        <w:trPr>
          <w:trHeight w:val="200"/>
        </w:trPr>
        <w:tc>
          <w:tcPr>
            <w:tcW w:w="1660" w:type="dxa"/>
            <w:vAlign w:val="bottom"/>
          </w:tcPr>
          <w:p>
            <w:pPr>
              <w:jc w:val="center"/>
              <w:ind w:left="642"/>
              <w:spacing w:after="0"/>
              <w:rPr>
                <w:sz w:val="20"/>
                <w:szCs w:val="20"/>
                <w:color w:val="auto"/>
              </w:rPr>
            </w:pPr>
            <w:r>
              <w:rPr>
                <w:rFonts w:ascii="Arial" w:cs="Arial" w:eastAsia="Arial" w:hAnsi="Arial"/>
                <w:sz w:val="14"/>
                <w:szCs w:val="14"/>
                <w:b w:val="1"/>
                <w:bCs w:val="1"/>
                <w:color w:val="auto"/>
              </w:rPr>
              <w:t>6 Sylvan Way</w:t>
            </w: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tcPr>
          <w:p>
            <w:pPr>
              <w:ind w:left="600"/>
              <w:spacing w:after="0"/>
              <w:rPr>
                <w:sz w:val="20"/>
                <w:szCs w:val="20"/>
                <w:color w:val="auto"/>
              </w:rPr>
            </w:pPr>
            <w:r>
              <w:rPr>
                <w:rFonts w:ascii="Arial" w:cs="Arial" w:eastAsia="Arial" w:hAnsi="Arial"/>
                <w:sz w:val="14"/>
                <w:szCs w:val="14"/>
                <w:b w:val="1"/>
                <w:bCs w:val="1"/>
                <w:color w:val="auto"/>
              </w:rPr>
              <w:t>Parsippany,</w:t>
            </w:r>
          </w:p>
        </w:tc>
        <w:tc>
          <w:tcPr>
            <w:tcW w:w="1280" w:type="dxa"/>
            <w:vAlign w:val="bottom"/>
          </w:tcPr>
          <w:p>
            <w:pPr>
              <w:spacing w:after="0"/>
              <w:rPr>
                <w:sz w:val="20"/>
                <w:szCs w:val="20"/>
                <w:color w:val="auto"/>
              </w:rPr>
            </w:pPr>
            <w:r>
              <w:rPr>
                <w:rFonts w:ascii="Arial" w:cs="Arial" w:eastAsia="Arial" w:hAnsi="Arial"/>
                <w:sz w:val="14"/>
                <w:szCs w:val="14"/>
                <w:b w:val="1"/>
                <w:bCs w:val="1"/>
                <w:color w:val="auto"/>
              </w:rPr>
              <w:t>NJ</w:t>
            </w:r>
          </w:p>
        </w:tc>
        <w:tc>
          <w:tcPr>
            <w:tcW w:w="10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40" w:type="dxa"/>
            <w:vAlign w:val="bottom"/>
          </w:tcPr>
          <w:p>
            <w:pPr>
              <w:jc w:val="right"/>
              <w:ind w:right="1048"/>
              <w:spacing w:after="0"/>
              <w:rPr>
                <w:sz w:val="20"/>
                <w:szCs w:val="20"/>
                <w:color w:val="auto"/>
              </w:rPr>
            </w:pPr>
            <w:r>
              <w:rPr>
                <w:rFonts w:ascii="Arial" w:cs="Arial" w:eastAsia="Arial" w:hAnsi="Arial"/>
                <w:sz w:val="14"/>
                <w:szCs w:val="14"/>
                <w:b w:val="1"/>
                <w:bCs w:val="1"/>
                <w:color w:val="auto"/>
              </w:rPr>
              <w:t>07054</w:t>
            </w:r>
          </w:p>
        </w:tc>
        <w:tc>
          <w:tcPr>
            <w:tcW w:w="0" w:type="dxa"/>
            <w:vAlign w:val="bottom"/>
          </w:tcPr>
          <w:p>
            <w:pPr>
              <w:spacing w:after="0"/>
              <w:rPr>
                <w:sz w:val="1"/>
                <w:szCs w:val="1"/>
                <w:color w:val="auto"/>
              </w:rPr>
            </w:pPr>
          </w:p>
        </w:tc>
      </w:tr>
      <w:tr>
        <w:trPr>
          <w:trHeight w:val="193"/>
        </w:trPr>
        <w:tc>
          <w:tcPr>
            <w:tcW w:w="2940" w:type="dxa"/>
            <w:vAlign w:val="bottom"/>
            <w:gridSpan w:val="2"/>
          </w:tcPr>
          <w:p>
            <w:pPr>
              <w:jc w:val="center"/>
              <w:ind w:right="288"/>
              <w:spacing w:after="0"/>
              <w:rPr>
                <w:sz w:val="20"/>
                <w:szCs w:val="20"/>
                <w:color w:val="auto"/>
              </w:rPr>
            </w:pPr>
            <w:r>
              <w:rPr>
                <w:rFonts w:ascii="Arial" w:cs="Arial" w:eastAsia="Arial" w:hAnsi="Arial"/>
                <w:sz w:val="14"/>
                <w:szCs w:val="14"/>
                <w:i w:val="1"/>
                <w:iCs w:val="1"/>
                <w:color w:val="auto"/>
              </w:rPr>
              <w:t>(Address of principal executive offices)</w:t>
            </w:r>
          </w:p>
        </w:tc>
        <w:tc>
          <w:tcPr>
            <w:tcW w:w="10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40" w:type="dxa"/>
            <w:vAlign w:val="bottom"/>
          </w:tcPr>
          <w:p>
            <w:pPr>
              <w:jc w:val="center"/>
              <w:ind w:left="528"/>
              <w:spacing w:after="0"/>
              <w:rPr>
                <w:sz w:val="20"/>
                <w:szCs w:val="20"/>
                <w:color w:val="auto"/>
              </w:rPr>
            </w:pPr>
            <w:r>
              <w:rPr>
                <w:rFonts w:ascii="Arial" w:cs="Arial" w:eastAsia="Arial" w:hAnsi="Arial"/>
                <w:sz w:val="14"/>
                <w:szCs w:val="14"/>
                <w:i w:val="1"/>
                <w:iCs w:val="1"/>
                <w:color w:val="auto"/>
              </w:rPr>
              <w:t>(Zip Code)</w:t>
            </w:r>
          </w:p>
        </w:tc>
        <w:tc>
          <w:tcPr>
            <w:tcW w:w="0" w:type="dxa"/>
            <w:vAlign w:val="bottom"/>
          </w:tcPr>
          <w:p>
            <w:pPr>
              <w:spacing w:after="0"/>
              <w:rPr>
                <w:sz w:val="1"/>
                <w:szCs w:val="1"/>
                <w:color w:val="auto"/>
              </w:rPr>
            </w:pPr>
          </w:p>
        </w:tc>
      </w:tr>
      <w:tr>
        <w:trPr>
          <w:trHeight w:val="213"/>
        </w:trPr>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380" w:type="dxa"/>
            <w:vAlign w:val="bottom"/>
            <w:gridSpan w:val="2"/>
          </w:tcPr>
          <w:p>
            <w:pPr>
              <w:jc w:val="right"/>
              <w:ind w:right="453"/>
              <w:spacing w:after="0"/>
              <w:rPr>
                <w:sz w:val="20"/>
                <w:szCs w:val="20"/>
                <w:color w:val="auto"/>
              </w:rPr>
            </w:pPr>
            <w:r>
              <w:rPr>
                <w:rFonts w:ascii="Arial" w:cs="Arial" w:eastAsia="Arial" w:hAnsi="Arial"/>
                <w:sz w:val="14"/>
                <w:szCs w:val="14"/>
                <w:b w:val="1"/>
                <w:bCs w:val="1"/>
                <w:color w:val="auto"/>
              </w:rPr>
              <w:t>(973)   496-4700</w:t>
            </w:r>
          </w:p>
        </w:tc>
        <w:tc>
          <w:tcPr>
            <w:tcW w:w="8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240" w:type="dxa"/>
            <w:vAlign w:val="bottom"/>
            <w:gridSpan w:val="3"/>
          </w:tcPr>
          <w:p>
            <w:pPr>
              <w:ind w:left="600"/>
              <w:spacing w:after="0"/>
              <w:rPr>
                <w:sz w:val="20"/>
                <w:szCs w:val="20"/>
                <w:color w:val="auto"/>
              </w:rPr>
            </w:pPr>
            <w:r>
              <w:rPr>
                <w:rFonts w:ascii="Arial" w:cs="Arial" w:eastAsia="Arial" w:hAnsi="Arial"/>
                <w:sz w:val="14"/>
                <w:szCs w:val="14"/>
                <w:color w:val="auto"/>
              </w:rPr>
              <w:t>(Registrant’s telephone number, including area code)</w:t>
            </w: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8"/>
        </w:trPr>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40" w:type="dxa"/>
            <w:vAlign w:val="bottom"/>
            <w:gridSpan w:val="3"/>
          </w:tcPr>
          <w:p>
            <w:pPr>
              <w:jc w:val="center"/>
              <w:ind w:left="140"/>
              <w:spacing w:after="0"/>
              <w:rPr>
                <w:sz w:val="20"/>
                <w:szCs w:val="20"/>
                <w:color w:val="auto"/>
              </w:rPr>
            </w:pPr>
            <w:r>
              <w:rPr>
                <w:rFonts w:ascii="Arial" w:cs="Arial" w:eastAsia="Arial" w:hAnsi="Arial"/>
                <w:sz w:val="14"/>
                <w:szCs w:val="14"/>
                <w:color w:val="auto"/>
              </w:rPr>
              <w:t>Securities registered pursuant to Section 12(b) of the Act:</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94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rPr>
              <w:t>Title of each class</w:t>
            </w:r>
          </w:p>
        </w:tc>
        <w:tc>
          <w:tcPr>
            <w:tcW w:w="1080" w:type="dxa"/>
            <w:vAlign w:val="bottom"/>
          </w:tcPr>
          <w:p>
            <w:pPr>
              <w:spacing w:after="0"/>
              <w:rPr>
                <w:sz w:val="19"/>
                <w:szCs w:val="19"/>
                <w:color w:val="auto"/>
              </w:rPr>
            </w:pPr>
          </w:p>
        </w:tc>
        <w:tc>
          <w:tcPr>
            <w:tcW w:w="31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rPr>
              <w:t>Trading Symbol(s)</w:t>
            </w:r>
          </w:p>
        </w:tc>
        <w:tc>
          <w:tcPr>
            <w:tcW w:w="3240" w:type="dxa"/>
            <w:vAlign w:val="bottom"/>
          </w:tcPr>
          <w:p>
            <w:pPr>
              <w:jc w:val="center"/>
              <w:ind w:left="12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3"/>
        </w:trPr>
        <w:tc>
          <w:tcPr>
            <w:tcW w:w="2940" w:type="dxa"/>
            <w:vAlign w:val="bottom"/>
            <w:gridSpan w:val="2"/>
          </w:tcPr>
          <w:p>
            <w:pPr>
              <w:jc w:val="center"/>
              <w:ind w:right="48"/>
              <w:spacing w:after="0"/>
              <w:rPr>
                <w:sz w:val="20"/>
                <w:szCs w:val="20"/>
                <w:color w:val="auto"/>
              </w:rPr>
            </w:pPr>
            <w:r>
              <w:rPr>
                <w:rFonts w:ascii="Arial" w:cs="Arial" w:eastAsia="Arial" w:hAnsi="Arial"/>
                <w:sz w:val="14"/>
                <w:szCs w:val="14"/>
                <w:color w:val="auto"/>
              </w:rPr>
              <w:t>Common Stock, Par Value $0.01</w:t>
            </w:r>
          </w:p>
        </w:tc>
        <w:tc>
          <w:tcPr>
            <w:tcW w:w="1080" w:type="dxa"/>
            <w:vAlign w:val="bottom"/>
          </w:tcPr>
          <w:p>
            <w:pPr>
              <w:spacing w:after="0"/>
              <w:rPr>
                <w:sz w:val="16"/>
                <w:szCs w:val="16"/>
                <w:color w:val="auto"/>
              </w:rPr>
            </w:pPr>
          </w:p>
        </w:tc>
        <w:tc>
          <w:tcPr>
            <w:tcW w:w="3160" w:type="dxa"/>
            <w:vAlign w:val="bottom"/>
            <w:gridSpan w:val="2"/>
          </w:tcPr>
          <w:p>
            <w:pPr>
              <w:jc w:val="center"/>
              <w:ind w:right="900"/>
              <w:spacing w:after="0"/>
              <w:rPr>
                <w:sz w:val="20"/>
                <w:szCs w:val="20"/>
                <w:color w:val="auto"/>
              </w:rPr>
            </w:pPr>
            <w:r>
              <w:rPr>
                <w:rFonts w:ascii="Arial" w:cs="Arial" w:eastAsia="Arial" w:hAnsi="Arial"/>
                <w:sz w:val="14"/>
                <w:szCs w:val="14"/>
                <w:color w:val="auto"/>
              </w:rPr>
              <w:t>CAR</w:t>
            </w:r>
          </w:p>
        </w:tc>
        <w:tc>
          <w:tcPr>
            <w:tcW w:w="3240" w:type="dxa"/>
            <w:vAlign w:val="bottom"/>
          </w:tcPr>
          <w:p>
            <w:pPr>
              <w:jc w:val="center"/>
              <w:ind w:left="128"/>
              <w:spacing w:after="0"/>
              <w:rPr>
                <w:sz w:val="20"/>
                <w:szCs w:val="20"/>
                <w:color w:val="auto"/>
              </w:rPr>
            </w:pPr>
            <w:r>
              <w:rPr>
                <w:rFonts w:ascii="Arial" w:cs="Arial" w:eastAsia="Arial" w:hAnsi="Arial"/>
                <w:sz w:val="14"/>
                <w:szCs w:val="14"/>
                <w:color w:val="auto"/>
              </w:rPr>
              <w:t>The 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39" w:lineRule="exact"/>
        <w:rPr>
          <w:sz w:val="24"/>
          <w:szCs w:val="24"/>
          <w:color w:val="auto"/>
        </w:rPr>
      </w:pPr>
    </w:p>
    <w:p>
      <w:pPr>
        <w:ind w:right="80"/>
        <w:spacing w:after="0" w:line="25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500" w:val="left"/>
          <w:tab w:leader="none" w:pos="112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177" w:lineRule="exact"/>
        <w:rPr>
          <w:sz w:val="24"/>
          <w:szCs w:val="24"/>
          <w:color w:val="auto"/>
        </w:rPr>
      </w:pPr>
    </w:p>
    <w:p>
      <w:pPr>
        <w:ind w:right="660"/>
        <w:spacing w:after="0" w:line="195"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37"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w:t>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220"/>
          </w:cols>
          <w:pgMar w:left="320" w:top="235" w:right="359" w:bottom="1440" w:gutter="0" w:footer="0" w:header="0"/>
        </w:sectPr>
      </w:pPr>
    </w:p>
    <w:p>
      <w:pPr>
        <w:spacing w:after="0" w:line="89" w:lineRule="exact"/>
        <w:rPr>
          <w:sz w:val="24"/>
          <w:szCs w:val="24"/>
          <w:color w:val="auto"/>
        </w:rPr>
      </w:pPr>
    </w:p>
    <w:p>
      <w:pPr>
        <w:ind w:left="100" w:right="880"/>
        <w:spacing w:after="0" w:line="412"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ind w:right="920"/>
        <w:spacing w:after="0" w:line="412" w:lineRule="auto"/>
        <w:rPr>
          <w:sz w:val="20"/>
          <w:szCs w:val="20"/>
          <w:color w:val="auto"/>
        </w:rPr>
      </w:pPr>
      <w:r>
        <w:rPr>
          <w:rFonts w:ascii="Arial" w:cs="Arial" w:eastAsia="Arial" w:hAnsi="Arial"/>
          <w:sz w:val="14"/>
          <w:szCs w:val="14"/>
          <w:color w:val="auto"/>
        </w:rPr>
        <w:t>Accelerated Filer Emerging Growth Company</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392" w:lineRule="exact"/>
        <w:rPr>
          <w:sz w:val="24"/>
          <w:szCs w:val="24"/>
          <w:color w:val="auto"/>
        </w:rPr>
      </w:pPr>
    </w:p>
    <w:p>
      <w:pPr>
        <w:sectPr>
          <w:pgSz w:w="11900" w:h="16838" w:orient="portrait"/>
          <w:cols w:equalWidth="0" w:num="5">
            <w:col w:w="2780" w:space="720"/>
            <w:col w:w="180" w:space="100"/>
            <w:col w:w="2700" w:space="720"/>
            <w:col w:w="180" w:space="100"/>
            <w:col w:w="3740"/>
          </w:cols>
          <w:pgMar w:left="320" w:top="235" w:right="359" w:bottom="1440" w:gutter="0" w:footer="0" w:header="0"/>
          <w:type w:val="continuous"/>
        </w:sectPr>
      </w:pPr>
    </w:p>
    <w:p>
      <w:pPr>
        <w:ind w:right="280"/>
        <w:spacing w:after="0" w:line="20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4" w:lineRule="exact"/>
        <w:rPr>
          <w:sz w:val="24"/>
          <w:szCs w:val="24"/>
          <w:color w:val="auto"/>
        </w:rPr>
      </w:pPr>
    </w:p>
    <w:p>
      <w:pPr>
        <w:spacing w:after="0" w:line="184" w:lineRule="exact"/>
        <w:tabs>
          <w:tab w:leader="none" w:pos="79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293"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issuer’s common stock was 36,221,336 shares as of October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235"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10"/>
        </w:trPr>
        <w:tc>
          <w:tcPr>
            <w:tcW w:w="1020" w:type="dxa"/>
            <w:vAlign w:val="bottom"/>
            <w:vMerge w:val="continue"/>
          </w:tcPr>
          <w:p>
            <w:pPr>
              <w:spacing w:after="0"/>
              <w:rPr>
                <w:sz w:val="18"/>
                <w:szCs w:val="18"/>
                <w:color w:val="auto"/>
              </w:rPr>
            </w:pPr>
          </w:p>
        </w:tc>
        <w:tc>
          <w:tcPr>
            <w:tcW w:w="16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Financial Information</w:t>
            </w:r>
          </w:p>
        </w:tc>
        <w:tc>
          <w:tcPr>
            <w:tcW w:w="8140" w:type="dxa"/>
            <w:vAlign w:val="bottom"/>
            <w:gridSpan w:val="12"/>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1.</w:t>
            </w:r>
          </w:p>
        </w:tc>
        <w:tc>
          <w:tcPr>
            <w:tcW w:w="9820" w:type="dxa"/>
            <w:vAlign w:val="bottom"/>
            <w:gridSpan w:val="20"/>
          </w:tcPr>
          <w:p>
            <w:pPr>
              <w:spacing w:after="0"/>
              <w:rPr>
                <w:sz w:val="20"/>
                <w:szCs w:val="20"/>
                <w:color w:val="auto"/>
              </w:rPr>
            </w:pPr>
            <w:r>
              <w:rPr>
                <w:rFonts w:ascii="Arial" w:cs="Arial" w:eastAsia="Arial" w:hAnsi="Arial"/>
                <w:sz w:val="18"/>
                <w:szCs w:val="18"/>
                <w:color w:val="0000FF"/>
              </w:rPr>
              <w:t>Financial Statements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gridSpan w:val="2"/>
            <w:vMerge w:val="restart"/>
          </w:tcPr>
          <w:p>
            <w:pPr>
              <w:spacing w:after="0" w:line="20" w:lineRule="exact"/>
              <w:rPr>
                <w:sz w:val="1"/>
                <w:szCs w:val="1"/>
                <w:color w:val="auto"/>
              </w:rPr>
            </w:pPr>
          </w:p>
        </w:tc>
        <w:tc>
          <w:tcPr>
            <w:tcW w:w="1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0000FF"/>
                <w:w w:val="79"/>
              </w:rPr>
              <w:t>4</w:t>
            </w:r>
          </w:p>
        </w:tc>
        <w:tc>
          <w:tcPr>
            <w:tcW w:w="0" w:type="dxa"/>
            <w:vAlign w:val="bottom"/>
          </w:tcPr>
          <w:p>
            <w:pPr>
              <w:spacing w:after="0" w:line="20" w:lineRule="exact"/>
              <w:rPr>
                <w:sz w:val="1"/>
                <w:szCs w:val="1"/>
                <w:color w:val="auto"/>
              </w:rPr>
            </w:pPr>
          </w:p>
        </w:tc>
      </w:tr>
      <w:tr>
        <w:trPr>
          <w:trHeight w:val="217"/>
        </w:trPr>
        <w:tc>
          <w:tcPr>
            <w:tcW w:w="1020" w:type="dxa"/>
            <w:vAlign w:val="bottom"/>
          </w:tcPr>
          <w:p>
            <w:pPr>
              <w:spacing w:after="0"/>
              <w:rPr>
                <w:sz w:val="18"/>
                <w:szCs w:val="18"/>
                <w:color w:val="auto"/>
              </w:rPr>
            </w:pPr>
          </w:p>
        </w:tc>
        <w:tc>
          <w:tcPr>
            <w:tcW w:w="8200" w:type="dxa"/>
            <w:vAlign w:val="bottom"/>
            <w:gridSpan w:val="16"/>
          </w:tcPr>
          <w:p>
            <w:pPr>
              <w:spacing w:after="0" w:line="196" w:lineRule="exact"/>
              <w:rPr>
                <w:sz w:val="20"/>
                <w:szCs w:val="20"/>
                <w:color w:val="auto"/>
              </w:rPr>
            </w:pPr>
            <w:r>
              <w:rPr>
                <w:rFonts w:ascii="Arial" w:cs="Arial" w:eastAsia="Arial" w:hAnsi="Arial"/>
                <w:sz w:val="18"/>
                <w:szCs w:val="18"/>
                <w:color w:val="0000FF"/>
                <w:w w:val="99"/>
              </w:rPr>
              <w:t>Consolidated Condensed Statements of Comprehensive Income for the Three and Nine Months Ended</w:t>
            </w:r>
          </w:p>
        </w:tc>
        <w:tc>
          <w:tcPr>
            <w:tcW w:w="1620" w:type="dxa"/>
            <w:vAlign w:val="bottom"/>
            <w:gridSpan w:val="4"/>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8200" w:type="dxa"/>
            <w:vAlign w:val="bottom"/>
            <w:tcBorders>
              <w:top w:val="single" w:sz="8" w:color="0000FF"/>
            </w:tcBorders>
            <w:gridSpan w:val="16"/>
          </w:tcPr>
          <w:p>
            <w:pPr>
              <w:spacing w:after="0" w:line="202" w:lineRule="exact"/>
              <w:rPr>
                <w:sz w:val="20"/>
                <w:szCs w:val="20"/>
                <w:color w:val="auto"/>
              </w:rPr>
            </w:pPr>
            <w:r>
              <w:rPr>
                <w:rFonts w:ascii="Arial" w:cs="Arial" w:eastAsia="Arial" w:hAnsi="Arial"/>
                <w:sz w:val="18"/>
                <w:szCs w:val="18"/>
                <w:color w:val="0000FF"/>
              </w:rPr>
              <w:t>September 30, 2023 and 2022 (Unaudited)</w:t>
            </w:r>
          </w:p>
        </w:tc>
        <w:tc>
          <w:tcPr>
            <w:tcW w:w="1620" w:type="dxa"/>
            <w:vAlign w:val="bottom"/>
            <w:gridSpan w:val="4"/>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gridSpan w:val="4"/>
            <w:vMerge w:val="restart"/>
          </w:tcPr>
          <w:p>
            <w:pPr>
              <w:jc w:val="right"/>
              <w:ind w:right="6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820" w:type="dxa"/>
            <w:vAlign w:val="bottom"/>
            <w:gridSpan w:val="20"/>
          </w:tcPr>
          <w:p>
            <w:pPr>
              <w:spacing w:after="0"/>
              <w:rPr>
                <w:sz w:val="20"/>
                <w:szCs w:val="20"/>
                <w:color w:val="auto"/>
              </w:rPr>
            </w:pPr>
            <w:r>
              <w:rPr>
                <w:rFonts w:ascii="Arial" w:cs="Arial" w:eastAsia="Arial" w:hAnsi="Arial"/>
                <w:sz w:val="18"/>
                <w:szCs w:val="18"/>
                <w:color w:val="0000FF"/>
              </w:rPr>
              <w:t>Consolidated Condensed Balance Sheets as of September 30, 2023 and December 31, 2022 (Unaudited)</w:t>
            </w:r>
          </w:p>
        </w:tc>
        <w:tc>
          <w:tcPr>
            <w:tcW w:w="40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500" w:type="dxa"/>
            <w:vAlign w:val="bottom"/>
            <w:tcBorders>
              <w:bottom w:val="single" w:sz="8" w:color="0000FF"/>
            </w:tcBorders>
            <w:gridSpan w:val="2"/>
            <w:shd w:val="clear" w:color="auto" w:fill="0000FF"/>
          </w:tcPr>
          <w:p>
            <w:pPr>
              <w:spacing w:after="0" w:line="20" w:lineRule="exact"/>
              <w:rPr>
                <w:sz w:val="1"/>
                <w:szCs w:val="1"/>
                <w:color w:val="auto"/>
              </w:rPr>
            </w:pPr>
          </w:p>
        </w:tc>
        <w:tc>
          <w:tcPr>
            <w:tcW w:w="500" w:type="dxa"/>
            <w:vAlign w:val="bottom"/>
            <w:tcBorders>
              <w:bottom w:val="single" w:sz="8" w:color="0000FF"/>
            </w:tcBorders>
            <w:shd w:val="clear" w:color="auto" w:fill="0000FF"/>
          </w:tcPr>
          <w:p>
            <w:pPr>
              <w:spacing w:after="0" w:line="20" w:lineRule="exact"/>
              <w:rPr>
                <w:sz w:val="1"/>
                <w:szCs w:val="1"/>
                <w:color w:val="auto"/>
              </w:rPr>
            </w:pPr>
          </w:p>
        </w:tc>
        <w:tc>
          <w:tcPr>
            <w:tcW w:w="2200" w:type="dxa"/>
            <w:vAlign w:val="bottom"/>
            <w:tcBorders>
              <w:bottom w:val="single" w:sz="8" w:color="0000FF"/>
            </w:tcBorders>
            <w:gridSpan w:val="2"/>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600" w:type="dxa"/>
            <w:vAlign w:val="bottom"/>
            <w:tcBorders>
              <w:bottom w:val="single" w:sz="8" w:color="0000FF"/>
            </w:tcBorders>
            <w:shd w:val="clear" w:color="auto" w:fill="0000FF"/>
          </w:tcPr>
          <w:p>
            <w:pPr>
              <w:spacing w:after="0" w:line="20" w:lineRule="exact"/>
              <w:rPr>
                <w:sz w:val="1"/>
                <w:szCs w:val="1"/>
                <w:color w:val="auto"/>
              </w:rPr>
            </w:pPr>
          </w:p>
        </w:tc>
        <w:tc>
          <w:tcPr>
            <w:tcW w:w="1620" w:type="dxa"/>
            <w:vAlign w:val="bottom"/>
            <w:tcBorders>
              <w:bottom w:val="single" w:sz="8" w:color="0000FF"/>
            </w:tcBorders>
            <w:shd w:val="clear" w:color="auto" w:fill="0000FF"/>
          </w:tcPr>
          <w:p>
            <w:pPr>
              <w:spacing w:after="0" w:line="20" w:lineRule="exact"/>
              <w:rPr>
                <w:sz w:val="1"/>
                <w:szCs w:val="1"/>
                <w:color w:val="auto"/>
              </w:rPr>
            </w:pPr>
          </w:p>
        </w:tc>
        <w:tc>
          <w:tcPr>
            <w:tcW w:w="1340" w:type="dxa"/>
            <w:vAlign w:val="bottom"/>
            <w:tcBorders>
              <w:bottom w:val="single" w:sz="8" w:color="0000FF"/>
            </w:tcBorders>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820" w:type="dxa"/>
            <w:vAlign w:val="bottom"/>
            <w:gridSpan w:val="20"/>
          </w:tcPr>
          <w:p>
            <w:pPr>
              <w:spacing w:after="0"/>
              <w:rPr>
                <w:sz w:val="20"/>
                <w:szCs w:val="20"/>
                <w:color w:val="auto"/>
              </w:rPr>
            </w:pPr>
            <w:r>
              <w:rPr>
                <w:rFonts w:ascii="Arial" w:cs="Arial" w:eastAsia="Arial" w:hAnsi="Arial"/>
                <w:sz w:val="18"/>
                <w:szCs w:val="18"/>
                <w:color w:val="0000FF"/>
              </w:rPr>
              <w:t>Consolidated Condensed Statements of Cash Flows for the Nine Months Ended September 30, 2023 and 2022</w:t>
            </w:r>
          </w:p>
        </w:tc>
        <w:tc>
          <w:tcPr>
            <w:tcW w:w="240" w:type="dxa"/>
            <w:vAlign w:val="bottom"/>
            <w:gridSpan w:val="2"/>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0000FF"/>
                <w:w w:val="79"/>
              </w:rPr>
              <w:t>6</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8840" w:type="dxa"/>
            <w:vAlign w:val="bottom"/>
            <w:tcBorders>
              <w:top w:val="single" w:sz="8" w:color="0000FF"/>
            </w:tcBorders>
            <w:gridSpan w:val="18"/>
          </w:tcPr>
          <w:p>
            <w:pPr>
              <w:spacing w:after="0" w:line="202" w:lineRule="exact"/>
              <w:rPr>
                <w:sz w:val="20"/>
                <w:szCs w:val="20"/>
                <w:color w:val="auto"/>
              </w:rPr>
            </w:pPr>
            <w:r>
              <w:rPr>
                <w:rFonts w:ascii="Arial" w:cs="Arial" w:eastAsia="Arial" w:hAnsi="Arial"/>
                <w:sz w:val="18"/>
                <w:szCs w:val="18"/>
                <w:color w:val="0000FF"/>
              </w:rPr>
              <w:t>(Unaudited)</w:t>
            </w:r>
          </w:p>
        </w:tc>
        <w:tc>
          <w:tcPr>
            <w:tcW w:w="9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gridSpan w:val="2"/>
            <w:vMerge w:val="restart"/>
          </w:tcPr>
          <w:p>
            <w:pPr>
              <w:spacing w:after="0" w:line="20" w:lineRule="exact"/>
              <w:rPr>
                <w:sz w:val="1"/>
                <w:szCs w:val="1"/>
                <w:color w:val="auto"/>
              </w:rPr>
            </w:pPr>
          </w:p>
        </w:tc>
        <w:tc>
          <w:tcPr>
            <w:tcW w:w="1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0000FF"/>
                <w:w w:val="79"/>
              </w:rPr>
              <w:t>8</w:t>
            </w:r>
          </w:p>
        </w:tc>
        <w:tc>
          <w:tcPr>
            <w:tcW w:w="0" w:type="dxa"/>
            <w:vAlign w:val="bottom"/>
          </w:tcPr>
          <w:p>
            <w:pPr>
              <w:spacing w:after="0" w:line="20" w:lineRule="exact"/>
              <w:rPr>
                <w:sz w:val="1"/>
                <w:szCs w:val="1"/>
                <w:color w:val="auto"/>
              </w:rPr>
            </w:pPr>
          </w:p>
        </w:tc>
      </w:tr>
      <w:tr>
        <w:trPr>
          <w:trHeight w:val="244"/>
        </w:trPr>
        <w:tc>
          <w:tcPr>
            <w:tcW w:w="1020" w:type="dxa"/>
            <w:vAlign w:val="bottom"/>
          </w:tcPr>
          <w:p>
            <w:pPr>
              <w:spacing w:after="0"/>
              <w:rPr>
                <w:sz w:val="21"/>
                <w:szCs w:val="21"/>
                <w:color w:val="auto"/>
              </w:rPr>
            </w:pPr>
          </w:p>
        </w:tc>
        <w:tc>
          <w:tcPr>
            <w:tcW w:w="8860" w:type="dxa"/>
            <w:vAlign w:val="bottom"/>
            <w:gridSpan w:val="19"/>
          </w:tcPr>
          <w:p>
            <w:pPr>
              <w:spacing w:after="0"/>
              <w:rPr>
                <w:sz w:val="20"/>
                <w:szCs w:val="20"/>
                <w:color w:val="auto"/>
              </w:rPr>
            </w:pPr>
            <w:r>
              <w:rPr>
                <w:rFonts w:ascii="Arial" w:cs="Arial" w:eastAsia="Arial" w:hAnsi="Arial"/>
                <w:sz w:val="18"/>
                <w:szCs w:val="18"/>
                <w:color w:val="0000FF"/>
                <w:w w:val="99"/>
              </w:rPr>
              <w:t>Consolidated Condensed Statements of Stockholders’ Equity for the Three and Nine Months Ended September</w:t>
            </w:r>
          </w:p>
        </w:tc>
        <w:tc>
          <w:tcPr>
            <w:tcW w:w="960" w:type="dxa"/>
            <w:vAlign w:val="bottom"/>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2500" w:type="dxa"/>
            <w:vAlign w:val="bottom"/>
            <w:tcBorders>
              <w:top w:val="single" w:sz="8" w:color="0000FF"/>
              <w:bottom w:val="single" w:sz="8" w:color="0000FF"/>
            </w:tcBorders>
            <w:gridSpan w:val="10"/>
          </w:tcPr>
          <w:p>
            <w:pPr>
              <w:spacing w:after="0" w:line="202" w:lineRule="exact"/>
              <w:rPr>
                <w:sz w:val="20"/>
                <w:szCs w:val="20"/>
                <w:color w:val="auto"/>
              </w:rPr>
            </w:pPr>
            <w:r>
              <w:rPr>
                <w:rFonts w:ascii="Arial" w:cs="Arial" w:eastAsia="Arial" w:hAnsi="Arial"/>
                <w:sz w:val="18"/>
                <w:szCs w:val="18"/>
                <w:color w:val="0000FF"/>
                <w:w w:val="99"/>
              </w:rPr>
              <w:t>30, 2023 and 2022 (Unaudited)</w:t>
            </w:r>
          </w:p>
        </w:tc>
        <w:tc>
          <w:tcPr>
            <w:tcW w:w="6360" w:type="dxa"/>
            <w:vAlign w:val="bottom"/>
            <w:tcBorders>
              <w:top w:val="single" w:sz="8" w:color="0000FF"/>
            </w:tcBorders>
            <w:gridSpan w:val="9"/>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9820" w:type="dxa"/>
            <w:vAlign w:val="bottom"/>
            <w:gridSpan w:val="20"/>
          </w:tcPr>
          <w:p>
            <w:pPr>
              <w:spacing w:after="0"/>
              <w:rPr>
                <w:sz w:val="20"/>
                <w:szCs w:val="20"/>
                <w:color w:val="auto"/>
              </w:rPr>
            </w:pPr>
            <w:r>
              <w:rPr>
                <w:rFonts w:ascii="Arial" w:cs="Arial" w:eastAsia="Arial" w:hAnsi="Arial"/>
                <w:sz w:val="18"/>
                <w:szCs w:val="18"/>
                <w:color w:val="0000FF"/>
              </w:rPr>
              <w:t>Notes to Consolidated Condensed Financial Statements (Unaudited)</w:t>
            </w:r>
          </w:p>
        </w:tc>
        <w:tc>
          <w:tcPr>
            <w:tcW w:w="400" w:type="dxa"/>
            <w:vAlign w:val="bottom"/>
            <w:gridSpan w:val="4"/>
          </w:tcPr>
          <w:p>
            <w:pPr>
              <w:jc w:val="right"/>
              <w:ind w:right="60"/>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2.</w:t>
            </w:r>
          </w:p>
        </w:tc>
        <w:tc>
          <w:tcPr>
            <w:tcW w:w="982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400" w:type="dxa"/>
            <w:vAlign w:val="bottom"/>
            <w:gridSpan w:val="4"/>
          </w:tcPr>
          <w:p>
            <w:pPr>
              <w:jc w:val="right"/>
              <w:ind w:right="60"/>
              <w:spacing w:after="0"/>
              <w:rPr>
                <w:sz w:val="20"/>
                <w:szCs w:val="20"/>
                <w:color w:val="auto"/>
              </w:rPr>
            </w:pPr>
            <w:r>
              <w:rPr>
                <w:rFonts w:ascii="Arial" w:cs="Arial" w:eastAsia="Arial" w:hAnsi="Arial"/>
                <w:sz w:val="18"/>
                <w:szCs w:val="18"/>
                <w:color w:val="0000FF"/>
              </w:rPr>
              <w:t>28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3.</w:t>
            </w:r>
          </w:p>
        </w:tc>
        <w:tc>
          <w:tcPr>
            <w:tcW w:w="4700" w:type="dxa"/>
            <w:vAlign w:val="bottom"/>
            <w:gridSpan w:val="12"/>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80" w:type="dxa"/>
            <w:vAlign w:val="bottom"/>
            <w:gridSpan w:val="3"/>
          </w:tcPr>
          <w:p>
            <w:pPr>
              <w:spacing w:after="0"/>
              <w:rPr>
                <w:sz w:val="18"/>
                <w:szCs w:val="18"/>
                <w:color w:val="auto"/>
              </w:rPr>
            </w:pPr>
          </w:p>
        </w:tc>
        <w:tc>
          <w:tcPr>
            <w:tcW w:w="2740" w:type="dxa"/>
            <w:vAlign w:val="bottom"/>
            <w:gridSpan w:val="5"/>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38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4.</w:t>
            </w:r>
          </w:p>
        </w:tc>
        <w:tc>
          <w:tcPr>
            <w:tcW w:w="2000" w:type="dxa"/>
            <w:vAlign w:val="bottom"/>
            <w:gridSpan w:val="9"/>
          </w:tcPr>
          <w:p>
            <w:pPr>
              <w:spacing w:after="0"/>
              <w:rPr>
                <w:sz w:val="20"/>
                <w:szCs w:val="20"/>
                <w:color w:val="auto"/>
              </w:rPr>
            </w:pPr>
            <w:r>
              <w:rPr>
                <w:rFonts w:ascii="Arial" w:cs="Arial" w:eastAsia="Arial" w:hAnsi="Arial"/>
                <w:sz w:val="18"/>
                <w:szCs w:val="18"/>
                <w:color w:val="0000FF"/>
                <w:w w:val="99"/>
              </w:rPr>
              <w:t>Controls and Procedures</w:t>
            </w:r>
          </w:p>
        </w:tc>
        <w:tc>
          <w:tcPr>
            <w:tcW w:w="2700" w:type="dxa"/>
            <w:vAlign w:val="bottom"/>
            <w:gridSpan w:val="3"/>
          </w:tcPr>
          <w:p>
            <w:pPr>
              <w:spacing w:after="0"/>
              <w:rPr>
                <w:sz w:val="18"/>
                <w:szCs w:val="18"/>
                <w:color w:val="auto"/>
              </w:rPr>
            </w:pPr>
          </w:p>
        </w:tc>
        <w:tc>
          <w:tcPr>
            <w:tcW w:w="5120" w:type="dxa"/>
            <w:vAlign w:val="bottom"/>
            <w:gridSpan w:val="8"/>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39</w:t>
            </w: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42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9"/>
              </w:rPr>
              <w:t>Other Information</w:t>
            </w:r>
          </w:p>
        </w:tc>
        <w:tc>
          <w:tcPr>
            <w:tcW w:w="580" w:type="dxa"/>
            <w:vAlign w:val="bottom"/>
            <w:tcBorders>
              <w:top w:val="single" w:sz="8" w:color="0000FF"/>
            </w:tcBorders>
            <w:gridSpan w:val="3"/>
          </w:tcPr>
          <w:p>
            <w:pPr>
              <w:spacing w:after="0"/>
              <w:rPr>
                <w:sz w:val="18"/>
                <w:szCs w:val="18"/>
                <w:color w:val="auto"/>
              </w:rPr>
            </w:pPr>
          </w:p>
        </w:tc>
        <w:tc>
          <w:tcPr>
            <w:tcW w:w="7820" w:type="dxa"/>
            <w:vAlign w:val="bottom"/>
            <w:gridSpan w:val="11"/>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1.</w:t>
            </w:r>
          </w:p>
        </w:tc>
        <w:tc>
          <w:tcPr>
            <w:tcW w:w="1500" w:type="dxa"/>
            <w:vAlign w:val="bottom"/>
            <w:gridSpan w:val="7"/>
          </w:tcPr>
          <w:p>
            <w:pPr>
              <w:spacing w:after="0"/>
              <w:rPr>
                <w:sz w:val="20"/>
                <w:szCs w:val="20"/>
                <w:color w:val="auto"/>
              </w:rPr>
            </w:pPr>
            <w:r>
              <w:rPr>
                <w:rFonts w:ascii="Arial" w:cs="Arial" w:eastAsia="Arial" w:hAnsi="Arial"/>
                <w:sz w:val="18"/>
                <w:szCs w:val="18"/>
                <w:color w:val="0000FF"/>
                <w:w w:val="99"/>
              </w:rPr>
              <w:t>Legal Proceedings</w:t>
            </w:r>
          </w:p>
        </w:tc>
        <w:tc>
          <w:tcPr>
            <w:tcW w:w="8320" w:type="dxa"/>
            <w:vAlign w:val="bottom"/>
            <w:gridSpan w:val="13"/>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1A.</w:t>
            </w:r>
          </w:p>
        </w:tc>
        <w:tc>
          <w:tcPr>
            <w:tcW w:w="1500" w:type="dxa"/>
            <w:vAlign w:val="bottom"/>
            <w:gridSpan w:val="7"/>
          </w:tcPr>
          <w:p>
            <w:pPr>
              <w:spacing w:after="0"/>
              <w:rPr>
                <w:sz w:val="20"/>
                <w:szCs w:val="20"/>
                <w:color w:val="auto"/>
              </w:rPr>
            </w:pPr>
            <w:r>
              <w:rPr>
                <w:rFonts w:ascii="Arial" w:cs="Arial" w:eastAsia="Arial" w:hAnsi="Arial"/>
                <w:sz w:val="18"/>
                <w:szCs w:val="18"/>
                <w:color w:val="0000FF"/>
              </w:rPr>
              <w:t>Risk Factors</w:t>
            </w:r>
          </w:p>
        </w:tc>
        <w:tc>
          <w:tcPr>
            <w:tcW w:w="8320" w:type="dxa"/>
            <w:vAlign w:val="bottom"/>
            <w:gridSpan w:val="13"/>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2.</w:t>
            </w:r>
          </w:p>
        </w:tc>
        <w:tc>
          <w:tcPr>
            <w:tcW w:w="4860" w:type="dxa"/>
            <w:vAlign w:val="bottom"/>
            <w:gridSpan w:val="13"/>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960" w:type="dxa"/>
            <w:vAlign w:val="bottom"/>
            <w:gridSpan w:val="7"/>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5.</w:t>
            </w:r>
          </w:p>
        </w:tc>
        <w:tc>
          <w:tcPr>
            <w:tcW w:w="4860" w:type="dxa"/>
            <w:vAlign w:val="bottom"/>
            <w:gridSpan w:val="13"/>
          </w:tcPr>
          <w:p>
            <w:pPr>
              <w:spacing w:after="0"/>
              <w:rPr>
                <w:sz w:val="20"/>
                <w:szCs w:val="20"/>
                <w:color w:val="auto"/>
              </w:rPr>
            </w:pPr>
            <w:r>
              <w:rPr>
                <w:rFonts w:ascii="Arial" w:cs="Arial" w:eastAsia="Arial" w:hAnsi="Arial"/>
                <w:sz w:val="18"/>
                <w:szCs w:val="18"/>
                <w:color w:val="0000FF"/>
              </w:rPr>
              <w:t>Other Information</w:t>
            </w:r>
          </w:p>
        </w:tc>
        <w:tc>
          <w:tcPr>
            <w:tcW w:w="4960" w:type="dxa"/>
            <w:vAlign w:val="bottom"/>
            <w:gridSpan w:val="7"/>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420" w:type="dxa"/>
            <w:vAlign w:val="bottom"/>
            <w:gridSpan w:val="1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4"/>
          </w:tcPr>
          <w:p>
            <w:pPr>
              <w:spacing w:after="0"/>
              <w:rPr>
                <w:sz w:val="18"/>
                <w:szCs w:val="18"/>
                <w:color w:val="auto"/>
              </w:rPr>
            </w:pPr>
          </w:p>
        </w:tc>
        <w:tc>
          <w:tcPr>
            <w:tcW w:w="8420" w:type="dxa"/>
            <w:vAlign w:val="bottom"/>
            <w:gridSpan w:val="15"/>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960" w:type="dxa"/>
            <w:vAlign w:val="bottom"/>
            <w:gridSpan w:val="1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9820" w:type="dxa"/>
            <w:vAlign w:val="bottom"/>
            <w:gridSpan w:val="20"/>
          </w:tcPr>
          <w:p>
            <w:pPr>
              <w:spacing w:after="0"/>
              <w:rPr>
                <w:sz w:val="20"/>
                <w:szCs w:val="20"/>
                <w:color w:val="auto"/>
              </w:rPr>
            </w:pPr>
            <w:r>
              <w:rPr>
                <w:rFonts w:ascii="Arial" w:cs="Arial" w:eastAsia="Arial" w:hAnsi="Arial"/>
                <w:sz w:val="18"/>
                <w:szCs w:val="18"/>
                <w:color w:val="0000FF"/>
              </w:rPr>
              <w:t>Signatures</w:t>
            </w:r>
          </w:p>
        </w:tc>
        <w:tc>
          <w:tcPr>
            <w:tcW w:w="400" w:type="dxa"/>
            <w:vAlign w:val="bottom"/>
            <w:gridSpan w:val="4"/>
          </w:tcPr>
          <w:p>
            <w:pPr>
              <w:jc w:val="right"/>
              <w:ind w:right="60"/>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1053"/>
        </w:trPr>
        <w:tc>
          <w:tcPr>
            <w:tcW w:w="102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“intends,” “projects,” “estimates,” “plans,” “forecasts,” “guidance,” and similar words, expressions or phrases. The following important factors and assumptions could affect our future results and could cause actual results to differ materially from those expressed in such forward-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looking statements. These factors include, but are not limited to:</w:t>
      </w:r>
    </w:p>
    <w:p>
      <w:pPr>
        <w:spacing w:after="0" w:line="240" w:lineRule="exact"/>
        <w:rPr>
          <w:sz w:val="20"/>
          <w:szCs w:val="20"/>
          <w:color w:val="auto"/>
        </w:rPr>
      </w:pPr>
    </w:p>
    <w:p>
      <w:pPr>
        <w:ind w:left="660" w:hanging="328"/>
        <w:spacing w:after="0" w:line="275"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high level of competition in the mobility industry, including from new companies or technology, and the impact such competition may have on pricing and rental volume;</w:t>
      </w:r>
    </w:p>
    <w:p>
      <w:pPr>
        <w:spacing w:after="0" w:line="200"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our fleet costs, including as a result of a change in the cost of new vehicles, resulting from inflation or otherwise, manufacturer recalls, disruption in the supply of new vehicles, including due to labor actions by the United Auto Workers or otherwise, shortages in semiconductors used in new vehicle production, and/or a change in the price at which we dispose of used vehicles either in the used vehicle market or under repurchase or guaranteed depreciation programs;</w:t>
      </w:r>
    </w:p>
    <w:p>
      <w:pPr>
        <w:spacing w:after="0" w:line="216"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vehicles, which could impact their ability to perform their payment obligations under our agreements with them, including repurchase and/or guaranteed depreciation arrangements, and/or their willingness or ability to make vehicles available to us or the mobility industry as a whole on commercially reasonable terms or at all;</w:t>
      </w:r>
    </w:p>
    <w:p>
      <w:pPr>
        <w:spacing w:after="0" w:line="21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levels of and volatility in travel demand, including future volatility in airline passenger traffic;</w:t>
      </w:r>
    </w:p>
    <w:p>
      <w:pPr>
        <w:spacing w:after="0" w:line="252" w:lineRule="exact"/>
        <w:rPr>
          <w:rFonts w:ascii="Arial" w:cs="Arial" w:eastAsia="Arial" w:hAnsi="Arial"/>
          <w:sz w:val="18"/>
          <w:szCs w:val="18"/>
          <w:color w:val="auto"/>
        </w:rPr>
      </w:pPr>
    </w:p>
    <w:p>
      <w:pPr>
        <w:ind w:left="660" w:hanging="328"/>
        <w:spacing w:after="0" w:line="275"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a deterioration in economic conditions, resulting in a recession or otherwise, particularly during our peak season or in key market segments;</w:t>
      </w:r>
    </w:p>
    <w:p>
      <w:pPr>
        <w:spacing w:after="0" w:line="20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occurrence or threat of terrorism, the current and any future pandemic diseases, natural disasters, military conflict, including the ongoing military conflict between Russia and Ukraine, or civil unrest in the locations in which we operate, and the potential effects of sanctions on the world economy and markets and/or international trade;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 including as a result of COVID-19, inflation, the ongoing military conflicts in the Middle East and Eastern Europe, and any embargoes on oil sales imposed on or by the Russian government;</w:t>
      </w:r>
    </w:p>
    <w:p>
      <w:pPr>
        <w:spacing w:after="0" w:line="210" w:lineRule="exact"/>
        <w:rPr>
          <w:rFonts w:ascii="Arial" w:cs="Arial" w:eastAsia="Arial" w:hAnsi="Arial"/>
          <w:sz w:val="18"/>
          <w:szCs w:val="18"/>
          <w:color w:val="auto"/>
        </w:rPr>
      </w:pPr>
    </w:p>
    <w:p>
      <w:pPr>
        <w:ind w:left="660" w:right="20" w:hanging="328"/>
        <w:spacing w:after="0" w:line="275"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continue to successfully implement or achieve our business plans and strategies, achieve and maintain cost savings and adapt our business to changes in mobility;</w:t>
      </w:r>
    </w:p>
    <w:p>
      <w:pPr>
        <w:spacing w:after="0" w:line="200" w:lineRule="exact"/>
        <w:rPr>
          <w:rFonts w:ascii="Arial" w:cs="Arial" w:eastAsia="Arial" w:hAnsi="Arial"/>
          <w:sz w:val="18"/>
          <w:szCs w:val="18"/>
          <w:color w:val="auto"/>
        </w:rPr>
      </w:pPr>
    </w:p>
    <w:p>
      <w:pPr>
        <w:ind w:left="660" w:hanging="328"/>
        <w:spacing w:after="0" w:line="275"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political, economic or commercial instability in the countries in which we operate, and our ability to conform to multiple and conflicting laws or regulations in those countries;</w:t>
      </w:r>
    </w:p>
    <w:p>
      <w:pPr>
        <w:spacing w:after="0" w:line="200" w:lineRule="exact"/>
        <w:rPr>
          <w:rFonts w:ascii="Arial" w:cs="Arial" w:eastAsia="Arial" w:hAnsi="Arial"/>
          <w:sz w:val="18"/>
          <w:szCs w:val="18"/>
          <w:color w:val="auto"/>
        </w:rPr>
      </w:pPr>
    </w:p>
    <w:p>
      <w:pPr>
        <w:ind w:left="660" w:hanging="328"/>
        <w:spacing w:after="0" w:line="275"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performance of the used-vehicle market from time to time, including our ability to dispose of vehicles in the used-vehicle market on attractive terms;</w:t>
      </w:r>
    </w:p>
    <w:p>
      <w:pPr>
        <w:spacing w:after="0" w:line="200" w:lineRule="exact"/>
        <w:rPr>
          <w:rFonts w:ascii="Arial" w:cs="Arial" w:eastAsia="Arial" w:hAnsi="Arial"/>
          <w:sz w:val="18"/>
          <w:szCs w:val="18"/>
          <w:color w:val="auto"/>
        </w:rPr>
      </w:pPr>
    </w:p>
    <w:p>
      <w:pPr>
        <w:ind w:left="660" w:hanging="328"/>
        <w:spacing w:after="0" w:line="275"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200" w:lineRule="exact"/>
        <w:rPr>
          <w:rFonts w:ascii="Arial" w:cs="Arial" w:eastAsia="Arial" w:hAnsi="Arial"/>
          <w:sz w:val="18"/>
          <w:szCs w:val="18"/>
          <w:color w:val="auto"/>
        </w:rPr>
      </w:pPr>
    </w:p>
    <w:p>
      <w:pPr>
        <w:ind w:left="660" w:right="20" w:hanging="328"/>
        <w:spacing w:after="0" w:line="275"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completed or future acquisitions or investments that we may pursue, including the incurrence of incremental indebtedness to help fund such transactions and our ability to promptly and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effectively integrate any acquired businesses or capitalize on joint ventures, partnerships and other investments;</w:t>
      </w:r>
    </w:p>
    <w:p>
      <w:pPr>
        <w:spacing w:after="0" w:line="252" w:lineRule="exact"/>
        <w:rPr>
          <w:sz w:val="20"/>
          <w:szCs w:val="20"/>
          <w:color w:val="auto"/>
        </w:rPr>
      </w:pPr>
    </w:p>
    <w:p>
      <w:pPr>
        <w:ind w:left="660" w:right="20" w:hanging="328"/>
        <w:spacing w:after="0" w:line="27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200" w:lineRule="exact"/>
        <w:rPr>
          <w:rFonts w:ascii="Arial" w:cs="Arial" w:eastAsia="Arial" w:hAnsi="Arial"/>
          <w:sz w:val="18"/>
          <w:szCs w:val="18"/>
          <w:color w:val="auto"/>
        </w:rPr>
      </w:pPr>
    </w:p>
    <w:p>
      <w:pPr>
        <w:ind w:left="660" w:hanging="328"/>
        <w:spacing w:after="0" w:line="27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 and our ability to obtain insurance at desired levels and the cost of that insurance;</w:t>
      </w:r>
    </w:p>
    <w:p>
      <w:pPr>
        <w:spacing w:after="0" w:line="20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litigation or governmental or regulatory inquiries,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spacing w:after="0" w:line="210"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protecting the integrity of, and preventing unauthorized access to, our information technology systems or those of our third-party vendors, licensees, dealers, independent operators and independent contractors, and protecting the confidential information of our employees and customers against security breaches, including physical or cybersecurity breaches, attacks, or other disruptions, compliance with privacy and data protection regulation, and the effects of any potential increase in cyberattacks on the world economy and markets and/or international trade;</w:t>
      </w:r>
    </w:p>
    <w:p>
      <w:pPr>
        <w:spacing w:after="0" w:line="219" w:lineRule="exact"/>
        <w:rPr>
          <w:rFonts w:ascii="Arial" w:cs="Arial" w:eastAsia="Arial" w:hAnsi="Arial"/>
          <w:sz w:val="18"/>
          <w:szCs w:val="18"/>
          <w:color w:val="auto"/>
        </w:rPr>
      </w:pPr>
    </w:p>
    <w:p>
      <w:pPr>
        <w:ind w:left="660" w:right="20" w:hanging="328"/>
        <w:spacing w:after="0" w:line="27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impact on us from the actions of our third-party vendors, licensees, dealers, independent operators and independent contractors and/or disputes that may arise out of our agreements with such parties;</w:t>
      </w:r>
    </w:p>
    <w:p>
      <w:pPr>
        <w:spacing w:after="0" w:line="20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tax laws and accounting standards;</w:t>
      </w:r>
    </w:p>
    <w:p>
      <w:pPr>
        <w:spacing w:after="0" w:line="252" w:lineRule="exact"/>
        <w:rPr>
          <w:rFonts w:ascii="Arial" w:cs="Arial" w:eastAsia="Arial" w:hAnsi="Arial"/>
          <w:sz w:val="18"/>
          <w:szCs w:val="18"/>
          <w:color w:val="auto"/>
        </w:rPr>
      </w:pPr>
    </w:p>
    <w:p>
      <w:pPr>
        <w:ind w:left="660" w:right="20" w:hanging="328"/>
        <w:spacing w:after="0" w:line="27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recent and future interest rate increases, which increase our financing costs, downgrades by rating agencies and our ability to incur substantially more debt;</w:t>
      </w:r>
    </w:p>
    <w:p>
      <w:pPr>
        <w:spacing w:after="0" w:line="200" w:lineRule="exact"/>
        <w:rPr>
          <w:rFonts w:ascii="Arial" w:cs="Arial" w:eastAsia="Arial" w:hAnsi="Arial"/>
          <w:sz w:val="18"/>
          <w:szCs w:val="18"/>
          <w:color w:val="auto"/>
        </w:rPr>
      </w:pPr>
    </w:p>
    <w:p>
      <w:pPr>
        <w:ind w:left="660" w:hanging="328"/>
        <w:spacing w:after="0" w:line="27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200" w:lineRule="exact"/>
        <w:rPr>
          <w:rFonts w:ascii="Arial" w:cs="Arial" w:eastAsia="Arial" w:hAnsi="Arial"/>
          <w:sz w:val="18"/>
          <w:szCs w:val="18"/>
          <w:color w:val="auto"/>
        </w:rPr>
      </w:pPr>
    </w:p>
    <w:p>
      <w:pPr>
        <w:ind w:left="660" w:hanging="328"/>
        <w:spacing w:after="0" w:line="27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 or to obtain a waiver or amendment of such covenants should we be unable to meet such covenants;</w:t>
      </w:r>
    </w:p>
    <w:p>
      <w:pPr>
        <w:spacing w:after="0" w:line="200" w:lineRule="exact"/>
        <w:rPr>
          <w:rFonts w:ascii="Arial" w:cs="Arial" w:eastAsia="Arial" w:hAnsi="Arial"/>
          <w:sz w:val="18"/>
          <w:szCs w:val="18"/>
          <w:color w:val="auto"/>
        </w:rPr>
      </w:pPr>
    </w:p>
    <w:p>
      <w:pPr>
        <w:ind w:left="660" w:hanging="328"/>
        <w:spacing w:after="0" w:line="27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changes in the assumptions and estimates that are used in our impairment testing for goodwill or intangible assets, which could result in a significant impairment of our goodwill or intangible assets; and</w:t>
      </w:r>
    </w:p>
    <w:p>
      <w:pPr>
        <w:spacing w:after="0" w:line="200" w:lineRule="exact"/>
        <w:rPr>
          <w:rFonts w:ascii="Arial" w:cs="Arial" w:eastAsia="Arial" w:hAnsi="Arial"/>
          <w:sz w:val="18"/>
          <w:szCs w:val="18"/>
          <w:color w:val="auto"/>
        </w:rPr>
      </w:pPr>
    </w:p>
    <w:p>
      <w:pPr>
        <w:ind w:left="660" w:right="20" w:hanging="328"/>
        <w:spacing w:after="0" w:line="27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if future results are materially different from those forecasted or anticipated. Other factors and assumptions not identified above, including those discussed in “Management’s Discussion and Analysis of Financial Condition and Results of Operations,” in Item 2 and “Risk Factors” in Item 1A in this quarterly report and in similarly titled sections set forth in Item 7 and in Item 1A and in other portions of our 2022 Annual Report on Form 10-K filed with the Securities and Exchange Commission (the “SEC”) on February 16, 2023 (the “2022 Form 10-K”), may cause actual results to differ materially from those projected in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0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0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9"/>
              </w:rPr>
              <w:t>Three Months Ended</w:t>
            </w:r>
          </w:p>
        </w:tc>
        <w:tc>
          <w:tcPr>
            <w:tcW w:w="300" w:type="dxa"/>
            <w:vAlign w:val="bottom"/>
          </w:tcPr>
          <w:p>
            <w:pPr>
              <w:spacing w:after="0"/>
              <w:rPr>
                <w:sz w:val="17"/>
                <w:szCs w:val="17"/>
                <w:color w:val="auto"/>
              </w:rPr>
            </w:pPr>
          </w:p>
        </w:tc>
        <w:tc>
          <w:tcPr>
            <w:tcW w:w="25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0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1"/>
                <w:szCs w:val="21"/>
                <w:color w:val="auto"/>
              </w:rPr>
            </w:pPr>
          </w:p>
        </w:tc>
        <w:tc>
          <w:tcPr>
            <w:tcW w:w="25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5340" w:type="dxa"/>
            <w:vAlign w:val="bottom"/>
            <w:vMerge w:val="continue"/>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9,223</w:t>
            </w:r>
          </w:p>
        </w:tc>
        <w:tc>
          <w:tcPr>
            <w:tcW w:w="0" w:type="dxa"/>
            <w:vAlign w:val="bottom"/>
          </w:tcPr>
          <w:p>
            <w:pPr>
              <w:spacing w:after="0"/>
              <w:rPr>
                <w:sz w:val="1"/>
                <w:szCs w:val="1"/>
                <w:color w:val="auto"/>
              </w:rPr>
            </w:pPr>
          </w:p>
        </w:tc>
      </w:tr>
      <w:tr>
        <w:trPr>
          <w:trHeight w:val="480"/>
        </w:trPr>
        <w:tc>
          <w:tcPr>
            <w:tcW w:w="53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3,960</w:t>
            </w:r>
          </w:p>
        </w:tc>
        <w:tc>
          <w:tcPr>
            <w:tcW w:w="0" w:type="dxa"/>
            <w:vAlign w:val="bottom"/>
          </w:tcPr>
          <w:p>
            <w:pPr>
              <w:spacing w:after="0"/>
              <w:rPr>
                <w:sz w:val="1"/>
                <w:szCs w:val="1"/>
                <w:color w:val="auto"/>
              </w:rPr>
            </w:pPr>
          </w:p>
        </w:tc>
      </w:tr>
      <w:tr>
        <w:trPr>
          <w:trHeight w:val="230"/>
        </w:trPr>
        <w:tc>
          <w:tcPr>
            <w:tcW w:w="5340" w:type="dxa"/>
            <w:vAlign w:val="bottom"/>
          </w:tcPr>
          <w:p>
            <w:pPr>
              <w:ind w:left="120"/>
              <w:spacing w:after="0"/>
              <w:rPr>
                <w:sz w:val="20"/>
                <w:szCs w:val="20"/>
                <w:color w:val="auto"/>
              </w:rPr>
            </w:pPr>
            <w:r>
              <w:rPr>
                <w:rFonts w:ascii="Arial" w:cs="Arial" w:eastAsia="Arial" w:hAnsi="Arial"/>
                <w:sz w:val="18"/>
                <w:szCs w:val="18"/>
                <w:color w:val="auto"/>
              </w:rPr>
              <w:t>Vehicle depreciation and lease charges, net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30"/>
        </w:trPr>
        <w:tc>
          <w:tcPr>
            <w:tcW w:w="5340" w:type="dxa"/>
            <w:vAlign w:val="bottom"/>
          </w:tcPr>
          <w:p>
            <w:pPr>
              <w:ind w:left="120"/>
              <w:spacing w:after="0"/>
              <w:rPr>
                <w:sz w:val="20"/>
                <w:szCs w:val="20"/>
                <w:color w:val="auto"/>
              </w:rPr>
            </w:pPr>
            <w:r>
              <w:rPr>
                <w:rFonts w:ascii="Arial" w:cs="Arial" w:eastAsia="Arial" w:hAnsi="Arial"/>
                <w:sz w:val="18"/>
                <w:szCs w:val="18"/>
                <w:color w:val="auto"/>
              </w:rPr>
              <w:t>Vehicle interest, net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Non-vehicle related depreciation and amortization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Interest expense related to corporate debt, net:</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9"/>
        </w:trPr>
        <w:tc>
          <w:tcPr>
            <w:tcW w:w="5340" w:type="dxa"/>
            <w:vAlign w:val="bottom"/>
          </w:tcPr>
          <w:p>
            <w:pPr>
              <w:ind w:left="340"/>
              <w:spacing w:after="0"/>
              <w:rPr>
                <w:sz w:val="20"/>
                <w:szCs w:val="20"/>
                <w:color w:val="auto"/>
              </w:rPr>
            </w:pPr>
            <w:r>
              <w:rPr>
                <w:rFonts w:ascii="Arial" w:cs="Arial" w:eastAsia="Arial" w:hAnsi="Arial"/>
                <w:sz w:val="18"/>
                <w:szCs w:val="18"/>
                <w:color w:val="auto"/>
              </w:rPr>
              <w:t>Early extinguishment of debt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Restructuring and other related charges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5340" w:type="dxa"/>
            <w:vAlign w:val="bottom"/>
          </w:tcPr>
          <w:p>
            <w:pPr>
              <w:ind w:left="120"/>
              <w:spacing w:after="0"/>
              <w:rPr>
                <w:sz w:val="20"/>
                <w:szCs w:val="20"/>
                <w:color w:val="auto"/>
              </w:rPr>
            </w:pPr>
            <w:r>
              <w:rPr>
                <w:rFonts w:ascii="Arial" w:cs="Arial" w:eastAsia="Arial" w:hAnsi="Arial"/>
                <w:sz w:val="18"/>
                <w:szCs w:val="18"/>
                <w:color w:val="auto"/>
              </w:rPr>
              <w:t>Transaction-related costs, net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Total expenses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6,103</w:t>
            </w:r>
          </w:p>
        </w:tc>
        <w:tc>
          <w:tcPr>
            <w:tcW w:w="0" w:type="dxa"/>
            <w:vAlign w:val="bottom"/>
          </w:tcPr>
          <w:p>
            <w:pPr>
              <w:spacing w:after="0"/>
              <w:rPr>
                <w:sz w:val="1"/>
                <w:szCs w:val="1"/>
                <w:color w:val="auto"/>
              </w:rPr>
            </w:pPr>
          </w:p>
        </w:tc>
      </w:tr>
      <w:tr>
        <w:trPr>
          <w:trHeight w:val="500"/>
        </w:trPr>
        <w:tc>
          <w:tcPr>
            <w:tcW w:w="534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23"/>
        </w:trPr>
        <w:tc>
          <w:tcPr>
            <w:tcW w:w="5340" w:type="dxa"/>
            <w:vAlign w:val="bottom"/>
          </w:tcPr>
          <w:p>
            <w:pPr>
              <w:ind w:left="120"/>
              <w:spacing w:after="0"/>
              <w:rPr>
                <w:sz w:val="20"/>
                <w:szCs w:val="20"/>
                <w:color w:val="auto"/>
              </w:rPr>
            </w:pPr>
            <w:r>
              <w:rPr>
                <w:rFonts w:ascii="Arial" w:cs="Arial" w:eastAsia="Arial" w:hAnsi="Arial"/>
                <w:sz w:val="18"/>
                <w:szCs w:val="18"/>
                <w:color w:val="auto"/>
              </w:rPr>
              <w:t>Less: net income (loss) attributable to non-controlling interests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b w:val="1"/>
                <w:bCs w:val="1"/>
                <w:color w:val="auto"/>
              </w:rPr>
              <w:t>Net income attributable to Avis Budget Group, Inc.</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 attributable to Avis Budget Group,</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160"/>
              <w:spacing w:after="0"/>
              <w:rPr>
                <w:sz w:val="20"/>
                <w:szCs w:val="20"/>
                <w:color w:val="auto"/>
              </w:rPr>
            </w:pPr>
            <w:r>
              <w:rPr>
                <w:rFonts w:ascii="Arial" w:cs="Arial" w:eastAsia="Arial" w:hAnsi="Arial"/>
                <w:sz w:val="18"/>
                <w:szCs w:val="18"/>
                <w:b w:val="1"/>
                <w:bCs w:val="1"/>
                <w:color w:val="auto"/>
              </w:rPr>
              <w:t>Inc.</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480"/>
        </w:trPr>
        <w:tc>
          <w:tcPr>
            <w:tcW w:w="534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16.96</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22.08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35.11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47.34</w:t>
            </w:r>
          </w:p>
        </w:tc>
        <w:tc>
          <w:tcPr>
            <w:tcW w:w="0" w:type="dxa"/>
            <w:vAlign w:val="bottom"/>
          </w:tcPr>
          <w:p>
            <w:pPr>
              <w:spacing w:after="0"/>
              <w:rPr>
                <w:sz w:val="1"/>
                <w:szCs w:val="1"/>
                <w:color w:val="auto"/>
              </w:rPr>
            </w:pPr>
          </w:p>
        </w:tc>
      </w:tr>
      <w:tr>
        <w:trPr>
          <w:trHeight w:val="230"/>
        </w:trPr>
        <w:tc>
          <w:tcPr>
            <w:tcW w:w="5340" w:type="dxa"/>
            <w:vAlign w:val="bottom"/>
          </w:tcPr>
          <w:p>
            <w:pPr>
              <w:ind w:left="12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16.78</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21.67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34.71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5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89"/>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7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760" w:type="dxa"/>
            <w:vAlign w:val="bottom"/>
          </w:tcPr>
          <w:p>
            <w:pPr>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572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Receivables, net</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810</w:t>
            </w:r>
          </w:p>
        </w:tc>
        <w:tc>
          <w:tcPr>
            <w:tcW w:w="0" w:type="dxa"/>
            <w:vAlign w:val="bottom"/>
          </w:tcPr>
          <w:p>
            <w:pPr>
              <w:spacing w:after="0"/>
              <w:rPr>
                <w:sz w:val="1"/>
                <w:szCs w:val="1"/>
                <w:color w:val="auto"/>
              </w:rPr>
            </w:pPr>
          </w:p>
        </w:tc>
      </w:tr>
      <w:tr>
        <w:trPr>
          <w:trHeight w:val="208"/>
        </w:trPr>
        <w:tc>
          <w:tcPr>
            <w:tcW w:w="7760" w:type="dxa"/>
            <w:vAlign w:val="bottom"/>
          </w:tcPr>
          <w:p>
            <w:pPr>
              <w:ind w:left="220"/>
              <w:spacing w:after="0"/>
              <w:rPr>
                <w:sz w:val="20"/>
                <w:szCs w:val="20"/>
                <w:color w:val="auto"/>
              </w:rPr>
            </w:pPr>
            <w:r>
              <w:rPr>
                <w:rFonts w:ascii="Arial" w:cs="Arial" w:eastAsia="Arial" w:hAnsi="Arial"/>
                <w:sz w:val="14"/>
                <w:szCs w:val="14"/>
                <w:color w:val="auto"/>
              </w:rPr>
              <w:t>Other current assets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190"/>
        </w:trPr>
        <w:tc>
          <w:tcPr>
            <w:tcW w:w="7760" w:type="dxa"/>
            <w:vAlign w:val="bottom"/>
          </w:tcPr>
          <w:p>
            <w:pPr>
              <w:spacing w:after="0"/>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2,226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1,886</w:t>
            </w:r>
          </w:p>
        </w:tc>
        <w:tc>
          <w:tcPr>
            <w:tcW w:w="0" w:type="dxa"/>
            <w:vAlign w:val="bottom"/>
          </w:tcPr>
          <w:p>
            <w:pPr>
              <w:spacing w:after="0"/>
              <w:rPr>
                <w:sz w:val="1"/>
                <w:szCs w:val="1"/>
                <w:color w:val="auto"/>
              </w:rPr>
            </w:pPr>
          </w:p>
        </w:tc>
      </w:tr>
      <w:tr>
        <w:trPr>
          <w:trHeight w:val="351"/>
        </w:trPr>
        <w:tc>
          <w:tcPr>
            <w:tcW w:w="77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647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2,661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2,405</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1,472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1,379</w:t>
            </w:r>
          </w:p>
        </w:tc>
        <w:tc>
          <w:tcPr>
            <w:tcW w:w="0" w:type="dxa"/>
            <w:vAlign w:val="bottom"/>
          </w:tcPr>
          <w:p>
            <w:pPr>
              <w:spacing w:after="0"/>
              <w:rPr>
                <w:sz w:val="1"/>
                <w:szCs w:val="1"/>
                <w:color w:val="auto"/>
              </w:rPr>
            </w:pPr>
          </w:p>
        </w:tc>
      </w:tr>
      <w:tr>
        <w:trPr>
          <w:trHeight w:val="202"/>
        </w:trPr>
        <w:tc>
          <w:tcPr>
            <w:tcW w:w="7760" w:type="dxa"/>
            <w:vAlign w:val="bottom"/>
          </w:tcPr>
          <w:p>
            <w:pPr>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1,070</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Other intangibles, net</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208"/>
        </w:trPr>
        <w:tc>
          <w:tcPr>
            <w:tcW w:w="776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color w:val="auto"/>
              </w:rPr>
              <w:t>Total assets exclusive of assets under vehicle programs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8,499</w:t>
            </w:r>
          </w:p>
        </w:tc>
        <w:tc>
          <w:tcPr>
            <w:tcW w:w="0" w:type="dxa"/>
            <w:vAlign w:val="bottom"/>
          </w:tcPr>
          <w:p>
            <w:pPr>
              <w:spacing w:after="0"/>
              <w:rPr>
                <w:sz w:val="1"/>
                <w:szCs w:val="1"/>
                <w:color w:val="auto"/>
              </w:rPr>
            </w:pPr>
          </w:p>
        </w:tc>
      </w:tr>
      <w:tr>
        <w:trPr>
          <w:trHeight w:val="325"/>
        </w:trPr>
        <w:tc>
          <w:tcPr>
            <w:tcW w:w="776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Program cash</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Vehicles, net</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21,247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15,961</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Receivables from vehicle manufacturers and other</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208"/>
        </w:trPr>
        <w:tc>
          <w:tcPr>
            <w:tcW w:w="7760" w:type="dxa"/>
            <w:vAlign w:val="bottom"/>
          </w:tcPr>
          <w:p>
            <w:pPr>
              <w:ind w:left="220"/>
              <w:spacing w:after="0"/>
              <w:rPr>
                <w:sz w:val="20"/>
                <w:szCs w:val="20"/>
                <w:color w:val="auto"/>
              </w:rPr>
            </w:pPr>
            <w:r>
              <w:rPr>
                <w:rFonts w:ascii="Arial" w:cs="Arial" w:eastAsia="Arial" w:hAnsi="Arial"/>
                <w:sz w:val="14"/>
                <w:szCs w:val="14"/>
                <w:color w:val="auto"/>
              </w:rPr>
              <w:t>Investment in Avis Budget Rental Car Funding (AESOP) LLC—related party</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976</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23,084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17,428</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32,304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25,927</w:t>
            </w:r>
          </w:p>
        </w:tc>
        <w:tc>
          <w:tcPr>
            <w:tcW w:w="0" w:type="dxa"/>
            <w:vAlign w:val="bottom"/>
          </w:tcPr>
          <w:p>
            <w:pPr>
              <w:spacing w:after="0"/>
              <w:rPr>
                <w:sz w:val="1"/>
                <w:szCs w:val="1"/>
                <w:color w:val="auto"/>
              </w:rPr>
            </w:pPr>
          </w:p>
        </w:tc>
      </w:tr>
      <w:tr>
        <w:trPr>
          <w:trHeight w:val="27"/>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5"/>
        </w:trPr>
        <w:tc>
          <w:tcPr>
            <w:tcW w:w="7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7760" w:type="dxa"/>
            <w:vAlign w:val="bottom"/>
          </w:tcPr>
          <w:p>
            <w:pPr>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Accounts payable and other current liabilities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2,733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2,547</w:t>
            </w:r>
          </w:p>
        </w:tc>
        <w:tc>
          <w:tcPr>
            <w:tcW w:w="0" w:type="dxa"/>
            <w:vAlign w:val="bottom"/>
          </w:tcPr>
          <w:p>
            <w:pPr>
              <w:spacing w:after="0"/>
              <w:rPr>
                <w:sz w:val="1"/>
                <w:szCs w:val="1"/>
                <w:color w:val="auto"/>
              </w:rPr>
            </w:pPr>
          </w:p>
        </w:tc>
      </w:tr>
      <w:tr>
        <w:trPr>
          <w:trHeight w:val="208"/>
        </w:trPr>
        <w:tc>
          <w:tcPr>
            <w:tcW w:w="7760" w:type="dxa"/>
            <w:vAlign w:val="bottom"/>
          </w:tcPr>
          <w:p>
            <w:pPr>
              <w:ind w:left="220"/>
              <w:spacing w:after="0"/>
              <w:rPr>
                <w:sz w:val="20"/>
                <w:szCs w:val="20"/>
                <w:color w:val="auto"/>
              </w:rPr>
            </w:pPr>
            <w:r>
              <w:rPr>
                <w:rFonts w:ascii="Arial" w:cs="Arial" w:eastAsia="Arial" w:hAnsi="Arial"/>
                <w:sz w:val="14"/>
                <w:szCs w:val="14"/>
                <w:color w:val="auto"/>
              </w:rPr>
              <w:t>Short-term debt and current portion of long-term debt</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1"/>
        </w:trPr>
        <w:tc>
          <w:tcPr>
            <w:tcW w:w="776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2,763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2,574</w:t>
            </w:r>
          </w:p>
        </w:tc>
        <w:tc>
          <w:tcPr>
            <w:tcW w:w="0" w:type="dxa"/>
            <w:vAlign w:val="bottom"/>
          </w:tcPr>
          <w:p>
            <w:pPr>
              <w:spacing w:after="0"/>
              <w:rPr>
                <w:sz w:val="1"/>
                <w:szCs w:val="1"/>
                <w:color w:val="auto"/>
              </w:rPr>
            </w:pPr>
          </w:p>
        </w:tc>
      </w:tr>
      <w:tr>
        <w:trPr>
          <w:trHeight w:val="351"/>
        </w:trPr>
        <w:tc>
          <w:tcPr>
            <w:tcW w:w="7760" w:type="dxa"/>
            <w:vAlign w:val="bottom"/>
          </w:tcPr>
          <w:p>
            <w:pPr>
              <w:spacing w:after="0"/>
              <w:rPr>
                <w:sz w:val="20"/>
                <w:szCs w:val="20"/>
                <w:color w:val="auto"/>
              </w:rPr>
            </w:pPr>
            <w:r>
              <w:rPr>
                <w:rFonts w:ascii="Arial" w:cs="Arial" w:eastAsia="Arial" w:hAnsi="Arial"/>
                <w:sz w:val="14"/>
                <w:szCs w:val="14"/>
                <w:color w:val="auto"/>
              </w:rPr>
              <w:t>Long-term debt</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4,736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4,644</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Long-term operating lease liabilities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2,178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1,884</w:t>
            </w:r>
          </w:p>
        </w:tc>
        <w:tc>
          <w:tcPr>
            <w:tcW w:w="0" w:type="dxa"/>
            <w:vAlign w:val="bottom"/>
          </w:tcPr>
          <w:p>
            <w:pPr>
              <w:spacing w:after="0"/>
              <w:rPr>
                <w:sz w:val="1"/>
                <w:szCs w:val="1"/>
                <w:color w:val="auto"/>
              </w:rPr>
            </w:pPr>
          </w:p>
        </w:tc>
      </w:tr>
      <w:tr>
        <w:trPr>
          <w:trHeight w:val="208"/>
        </w:trPr>
        <w:tc>
          <w:tcPr>
            <w:tcW w:w="776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 programs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10,197</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9,656</w:t>
            </w:r>
          </w:p>
        </w:tc>
        <w:tc>
          <w:tcPr>
            <w:tcW w:w="0" w:type="dxa"/>
            <w:vAlign w:val="bottom"/>
          </w:tcPr>
          <w:p>
            <w:pPr>
              <w:spacing w:after="0"/>
              <w:rPr>
                <w:sz w:val="1"/>
                <w:szCs w:val="1"/>
                <w:color w:val="auto"/>
              </w:rPr>
            </w:pPr>
          </w:p>
        </w:tc>
      </w:tr>
      <w:tr>
        <w:trPr>
          <w:trHeight w:val="325"/>
        </w:trPr>
        <w:tc>
          <w:tcPr>
            <w:tcW w:w="776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Debt</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3,538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2,534</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Debt due to Avis Budget Rental Car Funding (AESOP) LLC—related party</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15,115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11,275</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3,092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2,754</w:t>
            </w:r>
          </w:p>
        </w:tc>
        <w:tc>
          <w:tcPr>
            <w:tcW w:w="0" w:type="dxa"/>
            <w:vAlign w:val="bottom"/>
          </w:tcPr>
          <w:p>
            <w:pPr>
              <w:spacing w:after="0"/>
              <w:rPr>
                <w:sz w:val="1"/>
                <w:szCs w:val="1"/>
                <w:color w:val="auto"/>
              </w:rPr>
            </w:pPr>
          </w:p>
        </w:tc>
      </w:tr>
      <w:tr>
        <w:trPr>
          <w:trHeight w:val="209"/>
        </w:trPr>
        <w:tc>
          <w:tcPr>
            <w:tcW w:w="7760" w:type="dxa"/>
            <w:vAlign w:val="bottom"/>
          </w:tcPr>
          <w:p>
            <w:pPr>
              <w:ind w:left="22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195"/>
        </w:trPr>
        <w:tc>
          <w:tcPr>
            <w:tcW w:w="77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22,135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16,971</w:t>
            </w: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4"/>
                <w:szCs w:val="14"/>
                <w:color w:val="auto"/>
              </w:rPr>
              <w:t>Commitments and contingencies (Note 13)</w:t>
            </w: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7760" w:type="dxa"/>
            <w:vAlign w:val="bottom"/>
          </w:tcPr>
          <w:p>
            <w:pPr>
              <w:spacing w:after="0"/>
              <w:rPr>
                <w:sz w:val="20"/>
                <w:szCs w:val="20"/>
                <w:color w:val="auto"/>
              </w:rPr>
            </w:pPr>
            <w:r>
              <w:rPr>
                <w:rFonts w:ascii="Arial" w:cs="Arial" w:eastAsia="Arial" w:hAnsi="Arial"/>
                <w:sz w:val="14"/>
                <w:szCs w:val="14"/>
                <w:color w:val="auto"/>
              </w:rPr>
              <w:t>Stockholders’ equity:</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Preferred stock, $0.01 par value—authorized 10 shares; none issued and outstanding, respectively</w:t>
            </w:r>
          </w:p>
        </w:tc>
        <w:tc>
          <w:tcPr>
            <w:tcW w:w="22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Common stock, $0.01 par value—authorized 250 shares; issued 137 shares, respectively</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6,626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6,666</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Retained earnings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3,952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2,579</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08"/>
        </w:trPr>
        <w:tc>
          <w:tcPr>
            <w:tcW w:w="7760" w:type="dxa"/>
            <w:vAlign w:val="bottom"/>
          </w:tcPr>
          <w:p>
            <w:pPr>
              <w:ind w:left="220"/>
              <w:spacing w:after="0"/>
              <w:rPr>
                <w:sz w:val="20"/>
                <w:szCs w:val="20"/>
                <w:color w:val="auto"/>
              </w:rPr>
            </w:pPr>
            <w:r>
              <w:rPr>
                <w:rFonts w:ascii="Arial" w:cs="Arial" w:eastAsia="Arial" w:hAnsi="Arial"/>
                <w:sz w:val="14"/>
                <w:szCs w:val="14"/>
                <w:color w:val="auto"/>
              </w:rPr>
              <w:t>Treasury stock, at cost—100 and 98 shares, respectively</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(10,482)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(9,848)</w:t>
            </w:r>
          </w:p>
        </w:tc>
        <w:tc>
          <w:tcPr>
            <w:tcW w:w="0" w:type="dxa"/>
            <w:vAlign w:val="bottom"/>
          </w:tcPr>
          <w:p>
            <w:pPr>
              <w:spacing w:after="0"/>
              <w:rPr>
                <w:sz w:val="1"/>
                <w:szCs w:val="1"/>
                <w:color w:val="auto"/>
              </w:rPr>
            </w:pPr>
          </w:p>
        </w:tc>
      </w:tr>
      <w:tr>
        <w:trPr>
          <w:trHeight w:val="190"/>
        </w:trPr>
        <w:tc>
          <w:tcPr>
            <w:tcW w:w="7760" w:type="dxa"/>
            <w:vAlign w:val="bottom"/>
          </w:tcPr>
          <w:p>
            <w:pPr>
              <w:spacing w:after="0"/>
              <w:rPr>
                <w:sz w:val="20"/>
                <w:szCs w:val="20"/>
                <w:color w:val="auto"/>
              </w:rPr>
            </w:pPr>
            <w:r>
              <w:rPr>
                <w:rFonts w:ascii="Arial" w:cs="Arial" w:eastAsia="Arial" w:hAnsi="Arial"/>
                <w:sz w:val="14"/>
                <w:szCs w:val="14"/>
                <w:color w:val="auto"/>
              </w:rPr>
              <w:t>Stockholders’ equity attributable to Avis Budget Group, Inc.</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208"/>
        </w:trPr>
        <w:tc>
          <w:tcPr>
            <w:tcW w:w="7760" w:type="dxa"/>
            <w:vAlign w:val="bottom"/>
          </w:tcPr>
          <w:p>
            <w:pPr>
              <w:ind w:left="220"/>
              <w:spacing w:after="0"/>
              <w:rPr>
                <w:sz w:val="20"/>
                <w:szCs w:val="20"/>
                <w:color w:val="auto"/>
              </w:rPr>
            </w:pPr>
            <w:r>
              <w:rPr>
                <w:rFonts w:ascii="Arial" w:cs="Arial" w:eastAsia="Arial" w:hAnsi="Arial"/>
                <w:sz w:val="14"/>
                <w:szCs w:val="14"/>
                <w:color w:val="auto"/>
              </w:rPr>
              <w:t>Non-controlling interests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32,304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25,927</w:t>
            </w:r>
          </w:p>
        </w:tc>
        <w:tc>
          <w:tcPr>
            <w:tcW w:w="0" w:type="dxa"/>
            <w:vAlign w:val="bottom"/>
          </w:tcPr>
          <w:p>
            <w:pPr>
              <w:spacing w:after="0"/>
              <w:rPr>
                <w:sz w:val="1"/>
                <w:szCs w:val="1"/>
                <w:color w:val="auto"/>
              </w:rPr>
            </w:pPr>
          </w:p>
        </w:tc>
      </w:tr>
      <w:tr>
        <w:trPr>
          <w:trHeight w:val="26"/>
        </w:trPr>
        <w:tc>
          <w:tcPr>
            <w:tcW w:w="7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4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1400" w:type="dxa"/>
            <w:vAlign w:val="bottom"/>
            <w:tcBorders>
              <w:top w:val="single" w:sz="8" w:color="0000FF"/>
            </w:tcBorders>
          </w:tcPr>
          <w:p>
            <w:pPr>
              <w:spacing w:after="0"/>
              <w:rPr>
                <w:sz w:val="24"/>
                <w:szCs w:val="24"/>
                <w:color w:val="auto"/>
              </w:rPr>
            </w:pPr>
          </w:p>
        </w:tc>
        <w:tc>
          <w:tcPr>
            <w:tcW w:w="7040" w:type="dxa"/>
            <w:vAlign w:val="bottom"/>
          </w:tcPr>
          <w:p>
            <w:pPr>
              <w:ind w:left="3520"/>
              <w:spacing w:after="0"/>
              <w:rPr>
                <w:sz w:val="20"/>
                <w:szCs w:val="20"/>
                <w:color w:val="auto"/>
              </w:rPr>
            </w:pPr>
            <w:r>
              <w:rPr>
                <w:rFonts w:ascii="Arial" w:cs="Arial" w:eastAsia="Arial" w:hAnsi="Arial"/>
                <w:sz w:val="18"/>
                <w:szCs w:val="18"/>
                <w:b w:val="1"/>
                <w:bCs w:val="1"/>
                <w:color w:val="auto"/>
              </w:rPr>
              <w:t>Avis Budget Group, Inc.</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040" w:type="dxa"/>
            <w:vAlign w:val="bottom"/>
          </w:tcPr>
          <w:p>
            <w:pPr>
              <w:jc w:val="center"/>
              <w:ind w:left="1330"/>
              <w:spacing w:after="0"/>
              <w:rPr>
                <w:sz w:val="20"/>
                <w:szCs w:val="20"/>
                <w:color w:val="auto"/>
              </w:rPr>
            </w:pPr>
            <w:r>
              <w:rPr>
                <w:rFonts w:ascii="Arial" w:cs="Arial" w:eastAsia="Arial" w:hAnsi="Arial"/>
                <w:sz w:val="18"/>
                <w:szCs w:val="18"/>
                <w:b w:val="1"/>
                <w:bCs w:val="1"/>
                <w:color w:val="auto"/>
                <w:w w:val="99"/>
              </w:rPr>
              <w:t>CONSOLIDATED CONDENSED STATEMENTS OF CASH FLOWS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8"/>
              </w:rPr>
              <w:t>(In millions)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400" w:type="dxa"/>
            <w:vAlign w:val="bottom"/>
          </w:tcPr>
          <w:p>
            <w:pPr>
              <w:spacing w:after="0"/>
              <w:rPr>
                <w:sz w:val="21"/>
                <w:szCs w:val="21"/>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9"/>
              </w:rPr>
              <w:t>(Unaudited)</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4"/>
        </w:trPr>
        <w:tc>
          <w:tcPr>
            <w:tcW w:w="140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8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0"/>
        </w:trPr>
        <w:tc>
          <w:tcPr>
            <w:tcW w:w="84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Vehicle depreciation</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Amortization of right-of-use assets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(Gain) loss on sale of vehicles, net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Non-vehicle related depreciation and amortization</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Amortization of debt financing fees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Early extinguishment of debt costs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Net change in assets and liabilities: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340"/>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9"/>
        </w:trPr>
        <w:tc>
          <w:tcPr>
            <w:tcW w:w="8440" w:type="dxa"/>
            <w:vAlign w:val="bottom"/>
            <w:gridSpan w:val="2"/>
          </w:tcPr>
          <w:p>
            <w:pPr>
              <w:ind w:left="340"/>
              <w:spacing w:after="0"/>
              <w:rPr>
                <w:sz w:val="20"/>
                <w:szCs w:val="20"/>
                <w:color w:val="auto"/>
              </w:rPr>
            </w:pPr>
            <w:r>
              <w:rPr>
                <w:rFonts w:ascii="Arial" w:cs="Arial" w:eastAsia="Arial" w:hAnsi="Arial"/>
                <w:sz w:val="18"/>
                <w:szCs w:val="18"/>
                <w:color w:val="auto"/>
              </w:rPr>
              <w:t>Income taxes and deferred income taxes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29"/>
        </w:trPr>
        <w:tc>
          <w:tcPr>
            <w:tcW w:w="8440" w:type="dxa"/>
            <w:vAlign w:val="bottom"/>
            <w:gridSpan w:val="2"/>
          </w:tcPr>
          <w:p>
            <w:pPr>
              <w:ind w:left="340"/>
              <w:spacing w:after="0"/>
              <w:rPr>
                <w:sz w:val="20"/>
                <w:szCs w:val="20"/>
                <w:color w:val="auto"/>
              </w:rPr>
            </w:pPr>
            <w:r>
              <w:rPr>
                <w:rFonts w:ascii="Arial" w:cs="Arial" w:eastAsia="Arial" w:hAnsi="Arial"/>
                <w:sz w:val="18"/>
                <w:szCs w:val="18"/>
                <w:color w:val="auto"/>
              </w:rPr>
              <w:t>Accounts payable and other current liabilities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liabilities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3,862</w:t>
            </w:r>
          </w:p>
        </w:tc>
        <w:tc>
          <w:tcPr>
            <w:tcW w:w="0" w:type="dxa"/>
            <w:vAlign w:val="bottom"/>
          </w:tcPr>
          <w:p>
            <w:pPr>
              <w:spacing w:after="0"/>
              <w:rPr>
                <w:sz w:val="1"/>
                <w:szCs w:val="1"/>
                <w:color w:val="auto"/>
              </w:rPr>
            </w:pPr>
          </w:p>
        </w:tc>
      </w:tr>
      <w:tr>
        <w:trPr>
          <w:trHeight w:val="467"/>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Property and equipment additions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Proceeds received on asset sales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assets acquired (net of cash acquired)</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Cash disposed upon deconsolidation of subsidiary</w:t>
            </w: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466"/>
        </w:trPr>
        <w:tc>
          <w:tcPr>
            <w:tcW w:w="8440" w:type="dxa"/>
            <w:vAlign w:val="bottom"/>
            <w:gridSpan w:val="2"/>
          </w:tcPr>
          <w:p>
            <w:pPr>
              <w:ind w:left="20"/>
              <w:spacing w:after="0"/>
              <w:rPr>
                <w:sz w:val="20"/>
                <w:szCs w:val="20"/>
                <w:color w:val="auto"/>
              </w:rPr>
            </w:pPr>
            <w:r>
              <w:rPr>
                <w:rFonts w:ascii="Arial" w:cs="Arial" w:eastAsia="Arial" w:hAnsi="Arial"/>
                <w:sz w:val="18"/>
                <w:szCs w:val="18"/>
                <w:i w:val="1"/>
                <w:iCs w:val="1"/>
                <w:color w:val="auto"/>
              </w:rPr>
              <w:t>Vehicle programs: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Investment in vehicles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(7,946)</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Proceeds received on disposition of vehicles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4,608</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Investment in debt securities of Avis Budget Rental Car Funding (AESOP) LLC—related party</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Proceeds from debt securities of Avis Budget Rental Car Funding (AESOP) LLC—related party</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8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r>
        <w:trPr>
          <w:trHeight w:val="223"/>
        </w:trPr>
        <w:tc>
          <w:tcPr>
            <w:tcW w:w="8440" w:type="dxa"/>
            <w:vAlign w:val="bottom"/>
            <w:gridSpan w:val="2"/>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4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1400" w:type="dxa"/>
            <w:vAlign w:val="bottom"/>
            <w:tcBorders>
              <w:top w:val="single" w:sz="8" w:color="0000FF"/>
            </w:tcBorders>
          </w:tcPr>
          <w:p>
            <w:pPr>
              <w:spacing w:after="0"/>
              <w:rPr>
                <w:sz w:val="24"/>
                <w:szCs w:val="24"/>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9"/>
              </w:rPr>
              <w:t>Avis Budget Group, Inc.</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480" w:type="dxa"/>
            <w:vAlign w:val="bottom"/>
            <w:gridSpan w:val="2"/>
          </w:tcPr>
          <w:p>
            <w:pPr>
              <w:jc w:val="center"/>
              <w:ind w:left="870"/>
              <w:spacing w:after="0"/>
              <w:rPr>
                <w:sz w:val="20"/>
                <w:szCs w:val="20"/>
                <w:color w:val="auto"/>
              </w:rPr>
            </w:pPr>
            <w:r>
              <w:rPr>
                <w:rFonts w:ascii="Arial" w:cs="Arial" w:eastAsia="Arial" w:hAnsi="Arial"/>
                <w:sz w:val="18"/>
                <w:szCs w:val="18"/>
                <w:b w:val="1"/>
                <w:bCs w:val="1"/>
                <w:color w:val="auto"/>
                <w:w w:val="99"/>
              </w:rPr>
              <w:t>CONSOLIDATED CONDENSED STATEMENTS OF CASH FLOWS (Continued)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8"/>
              </w:rPr>
              <w:t>(In millions)</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400" w:type="dxa"/>
            <w:vAlign w:val="bottom"/>
          </w:tcPr>
          <w:p>
            <w:pPr>
              <w:spacing w:after="0"/>
              <w:rPr>
                <w:sz w:val="21"/>
                <w:szCs w:val="21"/>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9"/>
              </w:rPr>
              <w:t>(Unaudited)</w:t>
            </w: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4"/>
        </w:trPr>
        <w:tc>
          <w:tcPr>
            <w:tcW w:w="140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8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2023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0"/>
        </w:trPr>
        <w:tc>
          <w:tcPr>
            <w:tcW w:w="844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Proceeds from long-term borrowings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Payments on long-term borrowings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change in short-term borrowings</w:t>
            </w:r>
          </w:p>
        </w:tc>
        <w:tc>
          <w:tcPr>
            <w:tcW w:w="4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Repurchases of common stock</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Debt financing fees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Contributions from non-controlling interests</w:t>
            </w:r>
          </w:p>
        </w:tc>
        <w:tc>
          <w:tcPr>
            <w:tcW w:w="4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used in financing activities exclusive of vehicle programs</w:t>
            </w:r>
          </w:p>
        </w:tc>
        <w:tc>
          <w:tcPr>
            <w:tcW w:w="4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466"/>
        </w:trPr>
        <w:tc>
          <w:tcPr>
            <w:tcW w:w="8440" w:type="dxa"/>
            <w:vAlign w:val="bottom"/>
            <w:gridSpan w:val="2"/>
          </w:tcPr>
          <w:p>
            <w:pPr>
              <w:ind w:left="20"/>
              <w:spacing w:after="0"/>
              <w:rPr>
                <w:sz w:val="20"/>
                <w:szCs w:val="20"/>
                <w:color w:val="auto"/>
              </w:rPr>
            </w:pPr>
            <w:r>
              <w:rPr>
                <w:rFonts w:ascii="Arial" w:cs="Arial" w:eastAsia="Arial" w:hAnsi="Arial"/>
                <w:sz w:val="18"/>
                <w:szCs w:val="18"/>
                <w:i w:val="1"/>
                <w:iCs w:val="1"/>
                <w:color w:val="auto"/>
              </w:rPr>
              <w:t>Vehicle programs:</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Proceeds from borrowings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13,075</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Payments on borrowings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(11,360)</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Debt financing fees</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8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23"/>
        </w:trPr>
        <w:tc>
          <w:tcPr>
            <w:tcW w:w="8440" w:type="dxa"/>
            <w:vAlign w:val="bottom"/>
            <w:gridSpan w:val="2"/>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466"/>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Effect of changes in exchange rates on cash and cash equivalents, program and restricted cash</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66"/>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increase in cash and cash equivalents, program and restricted cash</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and cash equivalents, program and restricted cash, end of period</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6"/>
            <w:vMerge w:val="restart"/>
          </w:tcPr>
          <w:p>
            <w:pPr>
              <w:jc w:val="right"/>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Retained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20" w:type="dxa"/>
            <w:vAlign w:val="bottom"/>
            <w:gridSpan w:val="7"/>
            <w:vMerge w:val="restart"/>
          </w:tcPr>
          <w:p>
            <w:pPr>
              <w:jc w:val="right"/>
              <w:ind w:right="280"/>
              <w:spacing w:after="0"/>
              <w:rPr>
                <w:sz w:val="20"/>
                <w:szCs w:val="20"/>
                <w:color w:val="auto"/>
              </w:rPr>
            </w:pPr>
            <w:r>
              <w:rPr>
                <w:rFonts w:ascii="Arial" w:cs="Arial" w:eastAsia="Arial" w:hAnsi="Arial"/>
                <w:sz w:val="11"/>
                <w:szCs w:val="11"/>
                <w:b w:val="1"/>
                <w:bCs w:val="1"/>
                <w:color w:val="auto"/>
              </w:rPr>
              <w:t>Treasury Stock</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8"/>
              </w:rPr>
              <w:t>Stockholders’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Borders>
              <w:bottom w:val="single" w:sz="8" w:color="auto"/>
            </w:tcBorders>
            <w:gridSpan w:val="6"/>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right"/>
              <w:ind w:right="120"/>
              <w:spacing w:after="0" w:line="88" w:lineRule="exact"/>
              <w:rPr>
                <w:sz w:val="20"/>
                <w:szCs w:val="20"/>
                <w:color w:val="auto"/>
              </w:rPr>
            </w:pPr>
            <w:r>
              <w:rPr>
                <w:rFonts w:ascii="Arial" w:cs="Arial" w:eastAsia="Arial" w:hAnsi="Arial"/>
                <w:sz w:val="10"/>
                <w:szCs w:val="10"/>
                <w:b w:val="1"/>
                <w:bCs w:val="1"/>
                <w:color w:val="auto"/>
              </w:rPr>
              <w:t>Additional</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100"/>
              <w:spacing w:after="0" w:line="88" w:lineRule="exact"/>
              <w:rPr>
                <w:sz w:val="20"/>
                <w:szCs w:val="20"/>
                <w:color w:val="auto"/>
              </w:rPr>
            </w:pPr>
            <w:r>
              <w:rPr>
                <w:rFonts w:ascii="Arial" w:cs="Arial" w:eastAsia="Arial" w:hAnsi="Arial"/>
                <w:sz w:val="10"/>
                <w:szCs w:val="10"/>
                <w:b w:val="1"/>
                <w:bCs w:val="1"/>
                <w:color w:val="auto"/>
              </w:rPr>
              <w:t>Earnings</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5"/>
          </w:tcPr>
          <w:p>
            <w:pPr>
              <w:ind w:left="20"/>
              <w:spacing w:after="0" w:line="88" w:lineRule="exact"/>
              <w:rPr>
                <w:sz w:val="20"/>
                <w:szCs w:val="20"/>
                <w:color w:val="auto"/>
              </w:rPr>
            </w:pPr>
            <w:r>
              <w:rPr>
                <w:rFonts w:ascii="Arial" w:cs="Arial" w:eastAsia="Arial" w:hAnsi="Arial"/>
                <w:sz w:val="10"/>
                <w:szCs w:val="10"/>
                <w:b w:val="1"/>
                <w:bCs w:val="1"/>
                <w:color w:val="auto"/>
              </w:rPr>
              <w:t>Accumulated Other</w:t>
            </w:r>
          </w:p>
        </w:tc>
        <w:tc>
          <w:tcPr>
            <w:tcW w:w="1320" w:type="dxa"/>
            <w:vAlign w:val="bottom"/>
            <w:tcBorders>
              <w:bottom w:val="single" w:sz="8" w:color="auto"/>
            </w:tcBorders>
            <w:gridSpan w:val="7"/>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gridSpan w:val="3"/>
          </w:tcPr>
          <w:p>
            <w:pPr>
              <w:jc w:val="center"/>
              <w:spacing w:after="0" w:line="88" w:lineRule="exact"/>
              <w:rPr>
                <w:sz w:val="20"/>
                <w:szCs w:val="20"/>
                <w:color w:val="auto"/>
              </w:rPr>
            </w:pPr>
            <w:r>
              <w:rPr>
                <w:rFonts w:ascii="Arial" w:cs="Arial" w:eastAsia="Arial" w:hAnsi="Arial"/>
                <w:sz w:val="10"/>
                <w:szCs w:val="10"/>
                <w:b w:val="1"/>
                <w:bCs w:val="1"/>
                <w:color w:val="auto"/>
              </w:rPr>
              <w:t>Equity Attributable</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jc w:val="center"/>
              <w:ind w:left="67"/>
              <w:spacing w:after="0" w:line="88" w:lineRule="exact"/>
              <w:rPr>
                <w:sz w:val="20"/>
                <w:szCs w:val="20"/>
                <w:color w:val="auto"/>
              </w:rPr>
            </w:pPr>
            <w:r>
              <w:rPr>
                <w:rFonts w:ascii="Arial" w:cs="Arial" w:eastAsia="Arial" w:hAnsi="Arial"/>
                <w:sz w:val="10"/>
                <w:szCs w:val="10"/>
                <w:b w:val="1"/>
                <w:bCs w:val="1"/>
                <w:color w:val="auto"/>
              </w:rPr>
              <w:t>Non-</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center"/>
              <w:ind w:right="100"/>
              <w:spacing w:after="0" w:line="8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88"/>
        </w:trPr>
        <w:tc>
          <w:tcPr>
            <w:tcW w:w="22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tcPr>
          <w:p>
            <w:pPr>
              <w:jc w:val="right"/>
              <w:ind w:right="200"/>
              <w:spacing w:after="0" w:line="88" w:lineRule="exact"/>
              <w:rPr>
                <w:sz w:val="20"/>
                <w:szCs w:val="20"/>
                <w:color w:val="auto"/>
              </w:rPr>
            </w:pPr>
            <w:r>
              <w:rPr>
                <w:rFonts w:ascii="Arial" w:cs="Arial" w:eastAsia="Arial" w:hAnsi="Arial"/>
                <w:sz w:val="10"/>
                <w:szCs w:val="10"/>
                <w:b w:val="1"/>
                <w:bCs w:val="1"/>
                <w:color w:val="auto"/>
              </w:rPr>
              <w:t>Paid-in</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tcPr>
          <w:p>
            <w:pPr>
              <w:jc w:val="center"/>
              <w:ind w:right="80"/>
              <w:spacing w:after="0" w:line="88" w:lineRule="exact"/>
              <w:rPr>
                <w:sz w:val="20"/>
                <w:szCs w:val="20"/>
                <w:color w:val="auto"/>
              </w:rPr>
            </w:pPr>
            <w:r>
              <w:rPr>
                <w:rFonts w:ascii="Arial" w:cs="Arial" w:eastAsia="Arial" w:hAnsi="Arial"/>
                <w:sz w:val="10"/>
                <w:szCs w:val="10"/>
                <w:b w:val="1"/>
                <w:bCs w:val="1"/>
                <w:color w:val="auto"/>
              </w:rPr>
              <w:t>(Accumulated</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4"/>
          </w:tcPr>
          <w:p>
            <w:pPr>
              <w:ind w:left="20"/>
              <w:spacing w:after="0" w:line="88" w:lineRule="exact"/>
              <w:rPr>
                <w:sz w:val="20"/>
                <w:szCs w:val="20"/>
                <w:color w:val="auto"/>
              </w:rPr>
            </w:pPr>
            <w:r>
              <w:rPr>
                <w:rFonts w:ascii="Arial" w:cs="Arial" w:eastAsia="Arial" w:hAnsi="Arial"/>
                <w:sz w:val="10"/>
                <w:szCs w:val="10"/>
                <w:b w:val="1"/>
                <w:bCs w:val="1"/>
                <w:color w:val="auto"/>
              </w:rPr>
              <w:t>Comprehensive</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w w:val="96"/>
              </w:rPr>
              <w:t>Amount</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2"/>
          </w:tcPr>
          <w:p>
            <w:pPr>
              <w:jc w:val="center"/>
              <w:ind w:right="80"/>
              <w:spacing w:after="0" w:line="88" w:lineRule="exact"/>
              <w:rPr>
                <w:sz w:val="20"/>
                <w:szCs w:val="20"/>
                <w:color w:val="auto"/>
              </w:rPr>
            </w:pPr>
            <w:r>
              <w:rPr>
                <w:rFonts w:ascii="Arial" w:cs="Arial" w:eastAsia="Arial" w:hAnsi="Arial"/>
                <w:sz w:val="10"/>
                <w:szCs w:val="10"/>
                <w:b w:val="1"/>
                <w:bCs w:val="1"/>
                <w:color w:val="auto"/>
              </w:rPr>
              <w:t>to Avis Budget</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5"/>
          </w:tcPr>
          <w:p>
            <w:pPr>
              <w:jc w:val="center"/>
              <w:ind w:right="100"/>
              <w:spacing w:after="0" w:line="88" w:lineRule="exact"/>
              <w:rPr>
                <w:sz w:val="20"/>
                <w:szCs w:val="20"/>
                <w:color w:val="auto"/>
              </w:rPr>
            </w:pPr>
            <w:r>
              <w:rPr>
                <w:rFonts w:ascii="Arial" w:cs="Arial" w:eastAsia="Arial" w:hAnsi="Arial"/>
                <w:sz w:val="10"/>
                <w:szCs w:val="10"/>
                <w:b w:val="1"/>
                <w:bCs w:val="1"/>
                <w:color w:val="auto"/>
              </w:rPr>
              <w:t>controlling</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2"/>
          </w:tcPr>
          <w:p>
            <w:pPr>
              <w:jc w:val="center"/>
              <w:ind w:right="100"/>
              <w:spacing w:after="0" w:line="88"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55"/>
        </w:trPr>
        <w:tc>
          <w:tcPr>
            <w:tcW w:w="2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bottom w:val="single" w:sz="8" w:color="auto"/>
            </w:tcBorders>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Capital</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w w:val="96"/>
              </w:rPr>
              <w:t>Deficit)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1"/>
                <w:szCs w:val="11"/>
                <w:b w:val="1"/>
                <w:bCs w:val="1"/>
                <w:color w:val="auto"/>
              </w:rPr>
              <w:t>Income (Loss)</w:t>
            </w:r>
          </w:p>
        </w:tc>
        <w:tc>
          <w:tcPr>
            <w:tcW w:w="100" w:type="dxa"/>
            <w:vAlign w:val="bottom"/>
            <w:gridSpan w:val="2"/>
          </w:tcPr>
          <w:p>
            <w:pPr>
              <w:spacing w:after="0"/>
              <w:rPr>
                <w:sz w:val="13"/>
                <w:szCs w:val="13"/>
                <w:color w:val="auto"/>
              </w:rPr>
            </w:pPr>
          </w:p>
        </w:tc>
        <w:tc>
          <w:tcPr>
            <w:tcW w:w="600" w:type="dxa"/>
            <w:vAlign w:val="bottom"/>
            <w:tcBorders>
              <w:bottom w:val="single" w:sz="8" w:color="auto"/>
            </w:tcBorders>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w w:val="96"/>
              </w:rPr>
              <w:t>Group, Inc.</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auto"/>
            </w:tcBorders>
          </w:tcPr>
          <w:p>
            <w:pPr>
              <w:jc w:val="center"/>
              <w:ind w:left="67"/>
              <w:spacing w:after="0"/>
              <w:rPr>
                <w:sz w:val="20"/>
                <w:szCs w:val="20"/>
                <w:color w:val="auto"/>
              </w:rPr>
            </w:pPr>
            <w:r>
              <w:rPr>
                <w:rFonts w:ascii="Arial" w:cs="Arial" w:eastAsia="Arial" w:hAnsi="Arial"/>
                <w:sz w:val="11"/>
                <w:szCs w:val="11"/>
                <w:b w:val="1"/>
                <w:bCs w:val="1"/>
                <w:color w:val="auto"/>
                <w:w w:val="95"/>
              </w:rPr>
              <w:t>Interests</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48"/>
        </w:trPr>
        <w:tc>
          <w:tcPr>
            <w:tcW w:w="2320" w:type="dxa"/>
            <w:vAlign w:val="bottom"/>
            <w:gridSpan w:val="2"/>
          </w:tcPr>
          <w:p>
            <w:pPr>
              <w:ind w:left="40"/>
              <w:spacing w:after="0"/>
              <w:rPr>
                <w:sz w:val="20"/>
                <w:szCs w:val="20"/>
                <w:color w:val="auto"/>
              </w:rPr>
            </w:pPr>
            <w:r>
              <w:rPr>
                <w:rFonts w:ascii="Arial" w:cs="Arial" w:eastAsia="Arial" w:hAnsi="Arial"/>
                <w:sz w:val="11"/>
                <w:szCs w:val="11"/>
                <w:b w:val="1"/>
                <w:bCs w:val="1"/>
                <w:color w:val="auto"/>
              </w:rPr>
              <w:t>Balance at June 30, 2023</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137.1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6,625</w:t>
            </w:r>
          </w:p>
        </w:tc>
        <w:tc>
          <w:tcPr>
            <w:tcW w:w="60" w:type="dxa"/>
            <w:vAlign w:val="bottom"/>
          </w:tcPr>
          <w:p>
            <w:pPr>
              <w:spacing w:after="0"/>
              <w:rPr>
                <w:sz w:val="12"/>
                <w:szCs w:val="12"/>
                <w:color w:val="auto"/>
              </w:rPr>
            </w:pPr>
          </w:p>
        </w:tc>
        <w:tc>
          <w:tcPr>
            <w:tcW w:w="1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3,326</w:t>
            </w:r>
          </w:p>
        </w:tc>
        <w:tc>
          <w:tcPr>
            <w:tcW w:w="40" w:type="dxa"/>
            <w:vAlign w:val="bottom"/>
          </w:tcPr>
          <w:p>
            <w:pPr>
              <w:spacing w:after="0"/>
              <w:rPr>
                <w:sz w:val="12"/>
                <w:szCs w:val="12"/>
                <w:color w:val="auto"/>
              </w:rPr>
            </w:pPr>
          </w:p>
        </w:tc>
        <w:tc>
          <w:tcPr>
            <w:tcW w:w="200" w:type="dxa"/>
            <w:vAlign w:val="bottom"/>
            <w:gridSpan w:val="3"/>
          </w:tcPr>
          <w:p>
            <w:pPr>
              <w:ind w:left="120"/>
              <w:spacing w:after="0"/>
              <w:rPr>
                <w:sz w:val="20"/>
                <w:szCs w:val="20"/>
                <w:color w:val="auto"/>
              </w:rPr>
            </w:pPr>
            <w:r>
              <w:rPr>
                <w:rFonts w:ascii="Arial" w:cs="Arial" w:eastAsia="Arial" w:hAnsi="Arial"/>
                <w:sz w:val="11"/>
                <w:szCs w:val="11"/>
                <w:color w:val="auto"/>
                <w:w w:val="97"/>
              </w:rPr>
              <w:t>$</w:t>
            </w: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(90)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(98.0)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(9,991)</w:t>
            </w:r>
          </w:p>
        </w:tc>
        <w:tc>
          <w:tcPr>
            <w:tcW w:w="1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(129)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527"/>
              <w:spacing w:after="0"/>
              <w:rPr>
                <w:sz w:val="20"/>
                <w:szCs w:val="20"/>
                <w:color w:val="auto"/>
              </w:rPr>
            </w:pPr>
            <w:r>
              <w:rPr>
                <w:rFonts w:ascii="Arial" w:cs="Arial" w:eastAsia="Arial" w:hAnsi="Arial"/>
                <w:sz w:val="10"/>
                <w:szCs w:val="10"/>
                <w:color w:val="auto"/>
                <w:w w:val="71"/>
              </w:rPr>
              <w:t>$</w:t>
            </w:r>
          </w:p>
        </w:tc>
        <w:tc>
          <w:tcPr>
            <w:tcW w:w="120" w:type="dxa"/>
            <w:vAlign w:val="bottom"/>
            <w:gridSpan w:val="2"/>
          </w:tcPr>
          <w:p>
            <w:pPr>
              <w:jc w:val="right"/>
              <w:ind w:right="60"/>
              <w:spacing w:after="0"/>
              <w:rPr>
                <w:sz w:val="20"/>
                <w:szCs w:val="20"/>
                <w:color w:val="auto"/>
              </w:rPr>
            </w:pPr>
            <w:r>
              <w:rPr>
                <w:rFonts w:ascii="Arial" w:cs="Arial" w:eastAsia="Arial" w:hAnsi="Arial"/>
                <w:sz w:val="10"/>
                <w:szCs w:val="10"/>
                <w:color w:val="auto"/>
                <w:w w:val="71"/>
              </w:rPr>
              <w:t>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(125)</w:t>
            </w:r>
          </w:p>
        </w:tc>
        <w:tc>
          <w:tcPr>
            <w:tcW w:w="0" w:type="dxa"/>
            <w:vAlign w:val="bottom"/>
          </w:tcPr>
          <w:p>
            <w:pPr>
              <w:spacing w:after="0"/>
              <w:rPr>
                <w:sz w:val="1"/>
                <w:szCs w:val="1"/>
                <w:color w:val="auto"/>
              </w:rPr>
            </w:pPr>
          </w:p>
        </w:tc>
      </w:tr>
      <w:tr>
        <w:trPr>
          <w:trHeight w:val="270"/>
        </w:trPr>
        <w:tc>
          <w:tcPr>
            <w:tcW w:w="2320" w:type="dxa"/>
            <w:vAlign w:val="bottom"/>
            <w:gridSpan w:val="2"/>
          </w:tcPr>
          <w:p>
            <w:pPr>
              <w:ind w:left="40"/>
              <w:spacing w:after="0"/>
              <w:rPr>
                <w:sz w:val="20"/>
                <w:szCs w:val="20"/>
                <w:color w:val="auto"/>
              </w:rPr>
            </w:pPr>
            <w:r>
              <w:rPr>
                <w:rFonts w:ascii="Arial" w:cs="Arial" w:eastAsia="Arial" w:hAnsi="Arial"/>
                <w:sz w:val="11"/>
                <w:szCs w:val="11"/>
                <w:b w:val="1"/>
                <w:bCs w:val="1"/>
                <w:color w:val="auto"/>
              </w:rPr>
              <w:t>Comprehensive income (loss):</w:t>
            </w: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2320" w:type="dxa"/>
            <w:vAlign w:val="bottom"/>
            <w:gridSpan w:val="2"/>
          </w:tcPr>
          <w:p>
            <w:pPr>
              <w:ind w:left="140"/>
              <w:spacing w:after="0"/>
              <w:rPr>
                <w:sz w:val="20"/>
                <w:szCs w:val="20"/>
                <w:color w:val="auto"/>
              </w:rPr>
            </w:pPr>
            <w:r>
              <w:rPr>
                <w:rFonts w:ascii="Arial" w:cs="Arial" w:eastAsia="Arial" w:hAnsi="Arial"/>
                <w:sz w:val="11"/>
                <w:szCs w:val="11"/>
                <w:color w:val="auto"/>
              </w:rPr>
              <w:t>Net income (loss)</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626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1"/>
                <w:szCs w:val="11"/>
                <w:color w:val="auto"/>
              </w:rPr>
              <w:t>626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gridSpan w:val="2"/>
          </w:tcPr>
          <w:p>
            <w:pPr>
              <w:jc w:val="right"/>
              <w:ind w:right="60"/>
              <w:spacing w:after="0"/>
              <w:rPr>
                <w:sz w:val="20"/>
                <w:szCs w:val="20"/>
                <w:color w:val="auto"/>
              </w:rPr>
            </w:pPr>
            <w:r>
              <w:rPr>
                <w:rFonts w:ascii="Arial" w:cs="Arial" w:eastAsia="Arial" w:hAnsi="Arial"/>
                <w:sz w:val="10"/>
                <w:szCs w:val="10"/>
                <w:color w:val="auto"/>
                <w:w w:val="71"/>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627</w:t>
            </w:r>
          </w:p>
        </w:tc>
        <w:tc>
          <w:tcPr>
            <w:tcW w:w="0" w:type="dxa"/>
            <w:vAlign w:val="bottom"/>
          </w:tcPr>
          <w:p>
            <w:pPr>
              <w:spacing w:after="0"/>
              <w:rPr>
                <w:sz w:val="1"/>
                <w:szCs w:val="1"/>
                <w:color w:val="auto"/>
              </w:rPr>
            </w:pPr>
          </w:p>
        </w:tc>
      </w:tr>
      <w:tr>
        <w:trPr>
          <w:trHeight w:val="162"/>
        </w:trPr>
        <w:tc>
          <w:tcPr>
            <w:tcW w:w="2320" w:type="dxa"/>
            <w:vAlign w:val="bottom"/>
            <w:gridSpan w:val="2"/>
          </w:tcPr>
          <w:p>
            <w:pPr>
              <w:ind w:left="140"/>
              <w:spacing w:after="0"/>
              <w:rPr>
                <w:sz w:val="20"/>
                <w:szCs w:val="20"/>
                <w:color w:val="auto"/>
              </w:rPr>
            </w:pPr>
            <w:r>
              <w:rPr>
                <w:rFonts w:ascii="Arial" w:cs="Arial" w:eastAsia="Arial" w:hAnsi="Arial"/>
                <w:sz w:val="11"/>
                <w:szCs w:val="11"/>
                <w:color w:val="auto"/>
              </w:rPr>
              <w:t>Other comprehensive income (loss)</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(40)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(40)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5"/>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22"/>
        </w:trPr>
        <w:tc>
          <w:tcPr>
            <w:tcW w:w="23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Total comprehensive income (loss)</w:t>
            </w: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3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626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(40)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1"/>
                <w:szCs w:val="11"/>
                <w:color w:val="auto"/>
              </w:rPr>
              <w:t>586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gridSpan w:val="2"/>
          </w:tcPr>
          <w:p>
            <w:pPr>
              <w:jc w:val="right"/>
              <w:ind w:right="60"/>
              <w:spacing w:after="0"/>
              <w:rPr>
                <w:sz w:val="20"/>
                <w:szCs w:val="20"/>
                <w:color w:val="auto"/>
              </w:rPr>
            </w:pPr>
            <w:r>
              <w:rPr>
                <w:rFonts w:ascii="Arial" w:cs="Arial" w:eastAsia="Arial" w:hAnsi="Arial"/>
                <w:sz w:val="10"/>
                <w:szCs w:val="10"/>
                <w:color w:val="auto"/>
                <w:w w:val="71"/>
              </w:rPr>
              <w:t>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587</w:t>
            </w:r>
          </w:p>
        </w:tc>
        <w:tc>
          <w:tcPr>
            <w:tcW w:w="0" w:type="dxa"/>
            <w:vAlign w:val="bottom"/>
          </w:tcPr>
          <w:p>
            <w:pPr>
              <w:spacing w:after="0"/>
              <w:rPr>
                <w:sz w:val="1"/>
                <w:szCs w:val="1"/>
                <w:color w:val="auto"/>
              </w:rPr>
            </w:pPr>
          </w:p>
        </w:tc>
      </w:tr>
      <w:tr>
        <w:trPr>
          <w:trHeight w:val="154"/>
        </w:trPr>
        <w:tc>
          <w:tcPr>
            <w:tcW w:w="2320" w:type="dxa"/>
            <w:vAlign w:val="bottom"/>
            <w:gridSpan w:val="2"/>
          </w:tcPr>
          <w:p>
            <w:pPr>
              <w:ind w:left="40"/>
              <w:spacing w:after="0"/>
              <w:rPr>
                <w:sz w:val="20"/>
                <w:szCs w:val="20"/>
                <w:color w:val="auto"/>
              </w:rPr>
            </w:pPr>
            <w:r>
              <w:rPr>
                <w:rFonts w:ascii="Arial" w:cs="Arial" w:eastAsia="Arial" w:hAnsi="Arial"/>
                <w:sz w:val="11"/>
                <w:szCs w:val="11"/>
                <w:color w:val="auto"/>
              </w:rPr>
              <w:t>Net activity related to restricted stock units</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5"/>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84"/>
        </w:trPr>
        <w:tc>
          <w:tcPr>
            <w:tcW w:w="2320" w:type="dxa"/>
            <w:vAlign w:val="bottom"/>
            <w:gridSpan w:val="2"/>
          </w:tcPr>
          <w:p>
            <w:pPr>
              <w:ind w:left="40"/>
              <w:spacing w:after="0"/>
              <w:rPr>
                <w:sz w:val="20"/>
                <w:szCs w:val="20"/>
                <w:color w:val="auto"/>
              </w:rPr>
            </w:pPr>
            <w:r>
              <w:rPr>
                <w:rFonts w:ascii="Arial" w:cs="Arial" w:eastAsia="Arial" w:hAnsi="Arial"/>
                <w:sz w:val="11"/>
                <w:szCs w:val="11"/>
                <w:color w:val="auto"/>
              </w:rPr>
              <w:t xml:space="preserve">Repurchases of common stock </w:t>
            </w:r>
            <w:r>
              <w:rPr>
                <w:rFonts w:ascii="Arial" w:cs="Arial" w:eastAsia="Arial" w:hAnsi="Arial"/>
                <w:sz w:val="14"/>
                <w:szCs w:val="14"/>
                <w:color w:val="auto"/>
                <w:vertAlign w:val="superscript"/>
              </w:rPr>
              <w:t>(a)</w:t>
            </w: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gridSpan w:val="2"/>
          </w:tcPr>
          <w:p>
            <w:pPr>
              <w:spacing w:after="0"/>
              <w:rPr>
                <w:sz w:val="16"/>
                <w:szCs w:val="16"/>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(491)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(491)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gridSpan w:val="4"/>
          </w:tcPr>
          <w:p>
            <w:pPr>
              <w:jc w:val="right"/>
              <w:ind w:right="2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(491)</w:t>
            </w:r>
          </w:p>
        </w:tc>
        <w:tc>
          <w:tcPr>
            <w:tcW w:w="0" w:type="dxa"/>
            <w:vAlign w:val="bottom"/>
          </w:tcPr>
          <w:p>
            <w:pPr>
              <w:spacing w:after="0"/>
              <w:rPr>
                <w:sz w:val="1"/>
                <w:szCs w:val="1"/>
                <w:color w:val="auto"/>
              </w:rPr>
            </w:pPr>
          </w:p>
        </w:tc>
      </w:tr>
      <w:tr>
        <w:trPr>
          <w:trHeight w:val="155"/>
        </w:trPr>
        <w:tc>
          <w:tcPr>
            <w:tcW w:w="2320" w:type="dxa"/>
            <w:vAlign w:val="bottom"/>
            <w:gridSpan w:val="2"/>
          </w:tcPr>
          <w:p>
            <w:pPr>
              <w:ind w:left="40"/>
              <w:spacing w:after="0"/>
              <w:rPr>
                <w:sz w:val="20"/>
                <w:szCs w:val="20"/>
                <w:color w:val="auto"/>
              </w:rPr>
            </w:pPr>
            <w:r>
              <w:rPr>
                <w:rFonts w:ascii="Arial" w:cs="Arial" w:eastAsia="Arial" w:hAnsi="Arial"/>
                <w:sz w:val="11"/>
                <w:szCs w:val="11"/>
                <w:b w:val="1"/>
                <w:bCs w:val="1"/>
                <w:color w:val="auto"/>
              </w:rPr>
              <w:t>Balance at September 30, 2023</w:t>
            </w: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137.1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60" w:type="dxa"/>
            <w:vAlign w:val="bottom"/>
            <w:tcBorders>
              <w:bottom w:val="single" w:sz="8" w:color="auto"/>
            </w:tcBorders>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6,626</w:t>
            </w:r>
          </w:p>
        </w:tc>
        <w:tc>
          <w:tcPr>
            <w:tcW w:w="60" w:type="dxa"/>
            <w:vAlign w:val="bottom"/>
            <w:tcBorders>
              <w:bottom w:val="single" w:sz="8" w:color="auto"/>
            </w:tcBorders>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3,952</w:t>
            </w:r>
          </w:p>
        </w:tc>
        <w:tc>
          <w:tcPr>
            <w:tcW w:w="40" w:type="dxa"/>
            <w:vAlign w:val="bottom"/>
            <w:tcBorders>
              <w:bottom w:val="single" w:sz="8" w:color="auto"/>
            </w:tcBorders>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(130)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(100.2)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(10,482)</w:t>
            </w:r>
          </w:p>
        </w:tc>
        <w:tc>
          <w:tcPr>
            <w:tcW w:w="100" w:type="dxa"/>
            <w:vAlign w:val="bottom"/>
            <w:gridSpan w:val="2"/>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(33)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auto"/>
            </w:tcBorders>
          </w:tcPr>
          <w:p>
            <w:pPr>
              <w:jc w:val="right"/>
              <w:ind w:right="527"/>
              <w:spacing w:after="0"/>
              <w:rPr>
                <w:sz w:val="20"/>
                <w:szCs w:val="20"/>
                <w:color w:val="auto"/>
              </w:rPr>
            </w:pPr>
            <w:r>
              <w:rPr>
                <w:rFonts w:ascii="Arial" w:cs="Arial" w:eastAsia="Arial" w:hAnsi="Arial"/>
                <w:sz w:val="10"/>
                <w:szCs w:val="10"/>
                <w:color w:val="auto"/>
                <w:w w:val="71"/>
              </w:rPr>
              <w:t>$</w:t>
            </w:r>
          </w:p>
        </w:tc>
        <w:tc>
          <w:tcPr>
            <w:tcW w:w="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color w:val="auto"/>
                <w:w w:val="71"/>
              </w:rPr>
              <w:t>5</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21"/>
        </w:trPr>
        <w:tc>
          <w:tcPr>
            <w:tcW w:w="23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Balance at June 30, 2022</w:t>
            </w: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2320" w:type="dxa"/>
            <w:vAlign w:val="bottom"/>
            <w:gridSpan w:val="2"/>
            <w:vMerge w:val="continue"/>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137.1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6,643</w:t>
            </w:r>
          </w:p>
        </w:tc>
        <w:tc>
          <w:tcPr>
            <w:tcW w:w="60" w:type="dxa"/>
            <w:vAlign w:val="bottom"/>
          </w:tcPr>
          <w:p>
            <w:pPr>
              <w:spacing w:after="0"/>
              <w:rPr>
                <w:sz w:val="24"/>
                <w:szCs w:val="24"/>
                <w:color w:val="auto"/>
              </w:rPr>
            </w:pPr>
          </w:p>
        </w:tc>
        <w:tc>
          <w:tcPr>
            <w:tcW w:w="1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1,122</w:t>
            </w:r>
          </w:p>
        </w:tc>
        <w:tc>
          <w:tcPr>
            <w:tcW w:w="40" w:type="dxa"/>
            <w:vAlign w:val="bottom"/>
          </w:tcPr>
          <w:p>
            <w:pPr>
              <w:spacing w:after="0"/>
              <w:rPr>
                <w:sz w:val="24"/>
                <w:szCs w:val="24"/>
                <w:color w:val="auto"/>
              </w:rPr>
            </w:pPr>
          </w:p>
        </w:tc>
        <w:tc>
          <w:tcPr>
            <w:tcW w:w="200" w:type="dxa"/>
            <w:vAlign w:val="bottom"/>
            <w:gridSpan w:val="3"/>
          </w:tcPr>
          <w:p>
            <w:pPr>
              <w:ind w:left="120"/>
              <w:spacing w:after="0"/>
              <w:rPr>
                <w:sz w:val="20"/>
                <w:szCs w:val="20"/>
                <w:color w:val="auto"/>
              </w:rPr>
            </w:pPr>
            <w:r>
              <w:rPr>
                <w:rFonts w:ascii="Arial" w:cs="Arial" w:eastAsia="Arial" w:hAnsi="Arial"/>
                <w:sz w:val="11"/>
                <w:szCs w:val="11"/>
                <w:color w:val="auto"/>
                <w:w w:val="97"/>
              </w:rPr>
              <w:t>$</w:t>
            </w: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(130)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(88.8)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(8,290)</w:t>
            </w:r>
          </w:p>
        </w:tc>
        <w:tc>
          <w:tcPr>
            <w:tcW w:w="1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(654)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527"/>
              <w:spacing w:after="0"/>
              <w:rPr>
                <w:sz w:val="20"/>
                <w:szCs w:val="20"/>
                <w:color w:val="auto"/>
              </w:rPr>
            </w:pPr>
            <w:r>
              <w:rPr>
                <w:rFonts w:ascii="Arial" w:cs="Arial" w:eastAsia="Arial" w:hAnsi="Arial"/>
                <w:sz w:val="10"/>
                <w:szCs w:val="10"/>
                <w:color w:val="auto"/>
                <w:w w:val="71"/>
              </w:rPr>
              <w:t>$</w:t>
            </w:r>
          </w:p>
        </w:tc>
        <w:tc>
          <w:tcPr>
            <w:tcW w:w="120" w:type="dxa"/>
            <w:vAlign w:val="bottom"/>
            <w:gridSpan w:val="2"/>
          </w:tcPr>
          <w:p>
            <w:pPr>
              <w:jc w:val="right"/>
              <w:ind w:right="60"/>
              <w:spacing w:after="0"/>
              <w:rPr>
                <w:sz w:val="20"/>
                <w:szCs w:val="20"/>
                <w:color w:val="auto"/>
              </w:rPr>
            </w:pPr>
            <w:r>
              <w:rPr>
                <w:rFonts w:ascii="Arial" w:cs="Arial" w:eastAsia="Arial" w:hAnsi="Arial"/>
                <w:sz w:val="10"/>
                <w:szCs w:val="10"/>
                <w:color w:val="auto"/>
                <w:w w:val="71"/>
              </w:rPr>
              <w:t>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(649)</w:t>
            </w:r>
          </w:p>
        </w:tc>
        <w:tc>
          <w:tcPr>
            <w:tcW w:w="0" w:type="dxa"/>
            <w:vAlign w:val="bottom"/>
          </w:tcPr>
          <w:p>
            <w:pPr>
              <w:spacing w:after="0"/>
              <w:rPr>
                <w:sz w:val="1"/>
                <w:szCs w:val="1"/>
                <w:color w:val="auto"/>
              </w:rPr>
            </w:pPr>
          </w:p>
        </w:tc>
      </w:tr>
      <w:tr>
        <w:trPr>
          <w:trHeight w:val="270"/>
        </w:trPr>
        <w:tc>
          <w:tcPr>
            <w:tcW w:w="2320" w:type="dxa"/>
            <w:vAlign w:val="bottom"/>
            <w:gridSpan w:val="2"/>
          </w:tcPr>
          <w:p>
            <w:pPr>
              <w:ind w:left="40"/>
              <w:spacing w:after="0"/>
              <w:rPr>
                <w:sz w:val="20"/>
                <w:szCs w:val="20"/>
                <w:color w:val="auto"/>
              </w:rPr>
            </w:pPr>
            <w:r>
              <w:rPr>
                <w:rFonts w:ascii="Arial" w:cs="Arial" w:eastAsia="Arial" w:hAnsi="Arial"/>
                <w:sz w:val="11"/>
                <w:szCs w:val="11"/>
                <w:b w:val="1"/>
                <w:bCs w:val="1"/>
                <w:color w:val="auto"/>
              </w:rPr>
              <w:t>Comprehensive income (loss):</w:t>
            </w: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2320" w:type="dxa"/>
            <w:vAlign w:val="bottom"/>
            <w:gridSpan w:val="2"/>
          </w:tcPr>
          <w:p>
            <w:pPr>
              <w:ind w:left="140"/>
              <w:spacing w:after="0"/>
              <w:rPr>
                <w:sz w:val="20"/>
                <w:szCs w:val="20"/>
                <w:color w:val="auto"/>
              </w:rPr>
            </w:pPr>
            <w:r>
              <w:rPr>
                <w:rFonts w:ascii="Arial" w:cs="Arial" w:eastAsia="Arial" w:hAnsi="Arial"/>
                <w:sz w:val="11"/>
                <w:szCs w:val="11"/>
                <w:color w:val="auto"/>
              </w:rPr>
              <w:t>Net income (loss)</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1,034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1"/>
                <w:szCs w:val="11"/>
                <w:color w:val="auto"/>
              </w:rPr>
              <w:t>1,034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1"/>
                <w:szCs w:val="11"/>
                <w:color w:val="auto"/>
              </w:rPr>
              <w:t>(3)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1,031</w:t>
            </w:r>
          </w:p>
        </w:tc>
        <w:tc>
          <w:tcPr>
            <w:tcW w:w="0" w:type="dxa"/>
            <w:vAlign w:val="bottom"/>
          </w:tcPr>
          <w:p>
            <w:pPr>
              <w:spacing w:after="0"/>
              <w:rPr>
                <w:sz w:val="1"/>
                <w:szCs w:val="1"/>
                <w:color w:val="auto"/>
              </w:rPr>
            </w:pPr>
          </w:p>
        </w:tc>
      </w:tr>
      <w:tr>
        <w:trPr>
          <w:trHeight w:val="162"/>
        </w:trPr>
        <w:tc>
          <w:tcPr>
            <w:tcW w:w="2320" w:type="dxa"/>
            <w:vAlign w:val="bottom"/>
            <w:gridSpan w:val="2"/>
          </w:tcPr>
          <w:p>
            <w:pPr>
              <w:ind w:left="140"/>
              <w:spacing w:after="0"/>
              <w:rPr>
                <w:sz w:val="20"/>
                <w:szCs w:val="20"/>
                <w:color w:val="auto"/>
              </w:rPr>
            </w:pPr>
            <w:r>
              <w:rPr>
                <w:rFonts w:ascii="Arial" w:cs="Arial" w:eastAsia="Arial" w:hAnsi="Arial"/>
                <w:sz w:val="11"/>
                <w:szCs w:val="11"/>
                <w:color w:val="auto"/>
              </w:rPr>
              <w:t>Other comprehensive income (loss)</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(55)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(55)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5"/>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(55)</w:t>
            </w:r>
          </w:p>
        </w:tc>
        <w:tc>
          <w:tcPr>
            <w:tcW w:w="0" w:type="dxa"/>
            <w:vAlign w:val="bottom"/>
          </w:tcPr>
          <w:p>
            <w:pPr>
              <w:spacing w:after="0"/>
              <w:rPr>
                <w:sz w:val="1"/>
                <w:szCs w:val="1"/>
                <w:color w:val="auto"/>
              </w:rPr>
            </w:pPr>
          </w:p>
        </w:tc>
      </w:tr>
      <w:tr>
        <w:trPr>
          <w:trHeight w:val="22"/>
        </w:trPr>
        <w:tc>
          <w:tcPr>
            <w:tcW w:w="23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Total comprehensive income (loss)</w:t>
            </w: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3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1,034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(55)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1"/>
                <w:szCs w:val="11"/>
                <w:color w:val="auto"/>
              </w:rPr>
              <w:t>979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1"/>
                <w:szCs w:val="11"/>
                <w:color w:val="auto"/>
              </w:rPr>
              <w:t>(3)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976</w:t>
            </w:r>
          </w:p>
        </w:tc>
        <w:tc>
          <w:tcPr>
            <w:tcW w:w="0" w:type="dxa"/>
            <w:vAlign w:val="bottom"/>
          </w:tcPr>
          <w:p>
            <w:pPr>
              <w:spacing w:after="0"/>
              <w:rPr>
                <w:sz w:val="1"/>
                <w:szCs w:val="1"/>
                <w:color w:val="auto"/>
              </w:rPr>
            </w:pPr>
          </w:p>
        </w:tc>
      </w:tr>
      <w:tr>
        <w:trPr>
          <w:trHeight w:val="154"/>
        </w:trPr>
        <w:tc>
          <w:tcPr>
            <w:tcW w:w="2320" w:type="dxa"/>
            <w:vAlign w:val="bottom"/>
            <w:gridSpan w:val="2"/>
          </w:tcPr>
          <w:p>
            <w:pPr>
              <w:ind w:left="40"/>
              <w:spacing w:after="0"/>
              <w:rPr>
                <w:sz w:val="20"/>
                <w:szCs w:val="20"/>
                <w:color w:val="auto"/>
              </w:rPr>
            </w:pPr>
            <w:r>
              <w:rPr>
                <w:rFonts w:ascii="Arial" w:cs="Arial" w:eastAsia="Arial" w:hAnsi="Arial"/>
                <w:sz w:val="11"/>
                <w:szCs w:val="11"/>
                <w:color w:val="auto"/>
              </w:rPr>
              <w:t>Contributions from non-controlling interests</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1"/>
                <w:szCs w:val="11"/>
                <w:color w:val="auto"/>
              </w:rPr>
              <w:t>40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5"/>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62"/>
        </w:trPr>
        <w:tc>
          <w:tcPr>
            <w:tcW w:w="2320" w:type="dxa"/>
            <w:vAlign w:val="bottom"/>
            <w:gridSpan w:val="2"/>
          </w:tcPr>
          <w:p>
            <w:pPr>
              <w:ind w:left="40"/>
              <w:spacing w:after="0"/>
              <w:rPr>
                <w:sz w:val="20"/>
                <w:szCs w:val="20"/>
                <w:color w:val="auto"/>
              </w:rPr>
            </w:pPr>
            <w:r>
              <w:rPr>
                <w:rFonts w:ascii="Arial" w:cs="Arial" w:eastAsia="Arial" w:hAnsi="Arial"/>
                <w:sz w:val="11"/>
                <w:szCs w:val="11"/>
                <w:color w:val="auto"/>
              </w:rPr>
              <w:t>Net activity related to restricted stock units</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auto"/>
              </w:rPr>
              <w:t>(7)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5"/>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62"/>
        </w:trPr>
        <w:tc>
          <w:tcPr>
            <w:tcW w:w="2320" w:type="dxa"/>
            <w:vAlign w:val="bottom"/>
            <w:gridSpan w:val="2"/>
          </w:tcPr>
          <w:p>
            <w:pPr>
              <w:ind w:left="40"/>
              <w:spacing w:after="0"/>
              <w:rPr>
                <w:sz w:val="20"/>
                <w:szCs w:val="20"/>
                <w:color w:val="auto"/>
              </w:rPr>
            </w:pPr>
            <w:r>
              <w:rPr>
                <w:rFonts w:ascii="Arial" w:cs="Arial" w:eastAsia="Arial" w:hAnsi="Arial"/>
                <w:sz w:val="11"/>
                <w:szCs w:val="11"/>
                <w:color w:val="auto"/>
              </w:rPr>
              <w:t>Repurchases of common stock</w:t>
            </w:r>
          </w:p>
        </w:tc>
        <w:tc>
          <w:tcPr>
            <w:tcW w:w="64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720"/>
              <w:spacing w:after="0"/>
              <w:rPr>
                <w:sz w:val="20"/>
                <w:szCs w:val="20"/>
                <w:color w:val="auto"/>
              </w:rPr>
            </w:pPr>
            <w:r>
              <w:rPr>
                <w:rFonts w:ascii="Arial" w:cs="Arial" w:eastAsia="Arial" w:hAnsi="Arial"/>
                <w:sz w:val="11"/>
                <w:szCs w:val="11"/>
                <w:color w:val="auto"/>
                <w:w w:val="90"/>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ind w:left="82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(5.3)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(868)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(868)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gridSpan w:val="4"/>
          </w:tcPr>
          <w:p>
            <w:pPr>
              <w:jc w:val="right"/>
              <w:ind w:right="120"/>
              <w:spacing w:after="0"/>
              <w:rPr>
                <w:sz w:val="20"/>
                <w:szCs w:val="20"/>
                <w:color w:val="auto"/>
              </w:rPr>
            </w:pPr>
            <w:r>
              <w:rPr>
                <w:rFonts w:ascii="Arial" w:cs="Arial" w:eastAsia="Arial" w:hAnsi="Arial"/>
                <w:sz w:val="11"/>
                <w:szCs w:val="11"/>
                <w:color w:val="auto"/>
                <w:w w:val="72"/>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(868)</w:t>
            </w:r>
          </w:p>
        </w:tc>
        <w:tc>
          <w:tcPr>
            <w:tcW w:w="0" w:type="dxa"/>
            <w:vAlign w:val="bottom"/>
          </w:tcPr>
          <w:p>
            <w:pPr>
              <w:spacing w:after="0"/>
              <w:rPr>
                <w:sz w:val="1"/>
                <w:szCs w:val="1"/>
                <w:color w:val="auto"/>
              </w:rPr>
            </w:pPr>
          </w:p>
        </w:tc>
      </w:tr>
      <w:tr>
        <w:trPr>
          <w:trHeight w:val="22"/>
        </w:trPr>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320" w:type="dxa"/>
            <w:vAlign w:val="bottom"/>
            <w:gridSpan w:val="2"/>
          </w:tcPr>
          <w:p>
            <w:pPr>
              <w:ind w:left="40"/>
              <w:spacing w:after="0"/>
              <w:rPr>
                <w:sz w:val="20"/>
                <w:szCs w:val="20"/>
                <w:color w:val="auto"/>
              </w:rPr>
            </w:pPr>
            <w:r>
              <w:rPr>
                <w:rFonts w:ascii="Arial" w:cs="Arial" w:eastAsia="Arial" w:hAnsi="Arial"/>
                <w:sz w:val="11"/>
                <w:szCs w:val="11"/>
                <w:b w:val="1"/>
                <w:bCs w:val="1"/>
                <w:color w:val="auto"/>
              </w:rPr>
              <w:t>Balance at September 30, 2022</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137.1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6,676</w:t>
            </w:r>
          </w:p>
        </w:tc>
        <w:tc>
          <w:tcPr>
            <w:tcW w:w="60" w:type="dxa"/>
            <w:vAlign w:val="bottom"/>
          </w:tcPr>
          <w:p>
            <w:pPr>
              <w:spacing w:after="0"/>
              <w:rPr>
                <w:sz w:val="13"/>
                <w:szCs w:val="13"/>
                <w:color w:val="auto"/>
              </w:rPr>
            </w:pPr>
          </w:p>
        </w:tc>
        <w:tc>
          <w:tcPr>
            <w:tcW w:w="1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2,156</w:t>
            </w:r>
          </w:p>
        </w:tc>
        <w:tc>
          <w:tcPr>
            <w:tcW w:w="40" w:type="dxa"/>
            <w:vAlign w:val="bottom"/>
          </w:tcPr>
          <w:p>
            <w:pPr>
              <w:spacing w:after="0"/>
              <w:rPr>
                <w:sz w:val="13"/>
                <w:szCs w:val="13"/>
                <w:color w:val="auto"/>
              </w:rPr>
            </w:pPr>
          </w:p>
        </w:tc>
        <w:tc>
          <w:tcPr>
            <w:tcW w:w="200" w:type="dxa"/>
            <w:vAlign w:val="bottom"/>
            <w:gridSpan w:val="3"/>
          </w:tcPr>
          <w:p>
            <w:pPr>
              <w:ind w:left="120"/>
              <w:spacing w:after="0"/>
              <w:rPr>
                <w:sz w:val="20"/>
                <w:szCs w:val="20"/>
                <w:color w:val="auto"/>
              </w:rPr>
            </w:pPr>
            <w:r>
              <w:rPr>
                <w:rFonts w:ascii="Arial" w:cs="Arial" w:eastAsia="Arial" w:hAnsi="Arial"/>
                <w:sz w:val="11"/>
                <w:szCs w:val="11"/>
                <w:color w:val="auto"/>
                <w:w w:val="97"/>
              </w:rPr>
              <w:t>$</w:t>
            </w: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(185)</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(94.1)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(9,157)</w:t>
            </w:r>
          </w:p>
        </w:tc>
        <w:tc>
          <w:tcPr>
            <w:tcW w:w="1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(509)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527"/>
              <w:spacing w:after="0"/>
              <w:rPr>
                <w:sz w:val="20"/>
                <w:szCs w:val="20"/>
                <w:color w:val="auto"/>
              </w:rPr>
            </w:pPr>
            <w:r>
              <w:rPr>
                <w:rFonts w:ascii="Arial" w:cs="Arial" w:eastAsia="Arial" w:hAnsi="Arial"/>
                <w:sz w:val="10"/>
                <w:szCs w:val="10"/>
                <w:color w:val="auto"/>
                <w:w w:val="71"/>
              </w:rPr>
              <w:t>$</w:t>
            </w:r>
          </w:p>
        </w:tc>
        <w:tc>
          <w:tcPr>
            <w:tcW w:w="120" w:type="dxa"/>
            <w:vAlign w:val="bottom"/>
            <w:gridSpan w:val="2"/>
          </w:tcPr>
          <w:p>
            <w:pPr>
              <w:jc w:val="right"/>
              <w:ind w:right="60"/>
              <w:spacing w:after="0"/>
              <w:rPr>
                <w:sz w:val="20"/>
                <w:szCs w:val="20"/>
                <w:color w:val="auto"/>
              </w:rPr>
            </w:pPr>
            <w:r>
              <w:rPr>
                <w:rFonts w:ascii="Arial" w:cs="Arial" w:eastAsia="Arial" w:hAnsi="Arial"/>
                <w:sz w:val="10"/>
                <w:szCs w:val="10"/>
                <w:color w:val="auto"/>
                <w:w w:val="71"/>
              </w:rPr>
              <w:t>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(507)</w:t>
            </w:r>
          </w:p>
        </w:tc>
        <w:tc>
          <w:tcPr>
            <w:tcW w:w="0" w:type="dxa"/>
            <w:vAlign w:val="bottom"/>
          </w:tcPr>
          <w:p>
            <w:pPr>
              <w:spacing w:after="0"/>
              <w:rPr>
                <w:sz w:val="1"/>
                <w:szCs w:val="1"/>
                <w:color w:val="auto"/>
              </w:rPr>
            </w:pPr>
          </w:p>
        </w:tc>
      </w:tr>
      <w:tr>
        <w:trPr>
          <w:trHeight w:val="21"/>
        </w:trPr>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2"/>
        </w:trPr>
        <w:tc>
          <w:tcPr>
            <w:tcW w:w="2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6"/>
            <w:vMerge w:val="restart"/>
          </w:tcPr>
          <w:p>
            <w:pPr>
              <w:jc w:val="right"/>
              <w:ind w:right="50"/>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Retained</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gridSpan w:val="6"/>
            <w:vMerge w:val="restart"/>
          </w:tcPr>
          <w:p>
            <w:pPr>
              <w:jc w:val="right"/>
              <w:ind w:right="206"/>
              <w:spacing w:after="0"/>
              <w:rPr>
                <w:sz w:val="20"/>
                <w:szCs w:val="20"/>
                <w:color w:val="auto"/>
              </w:rPr>
            </w:pPr>
            <w:r>
              <w:rPr>
                <w:rFonts w:ascii="Arial" w:cs="Arial" w:eastAsia="Arial" w:hAnsi="Arial"/>
                <w:sz w:val="11"/>
                <w:szCs w:val="11"/>
                <w:b w:val="1"/>
                <w:bCs w:val="1"/>
                <w:color w:val="auto"/>
              </w:rPr>
              <w:t>Treasury Stock</w:t>
            </w:r>
          </w:p>
        </w:tc>
        <w:tc>
          <w:tcPr>
            <w:tcW w:w="8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Stockholders’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gridSpan w:val="6"/>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3"/>
          </w:tcPr>
          <w:p>
            <w:pPr>
              <w:jc w:val="right"/>
              <w:ind w:right="180"/>
              <w:spacing w:after="0" w:line="88" w:lineRule="exact"/>
              <w:rPr>
                <w:sz w:val="20"/>
                <w:szCs w:val="20"/>
                <w:color w:val="auto"/>
              </w:rPr>
            </w:pPr>
            <w:r>
              <w:rPr>
                <w:rFonts w:ascii="Arial" w:cs="Arial" w:eastAsia="Arial" w:hAnsi="Arial"/>
                <w:sz w:val="10"/>
                <w:szCs w:val="10"/>
                <w:b w:val="1"/>
                <w:bCs w:val="1"/>
                <w:color w:val="auto"/>
              </w:rPr>
              <w:t>Additional</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180"/>
              <w:spacing w:after="0" w:line="88" w:lineRule="exact"/>
              <w:rPr>
                <w:sz w:val="20"/>
                <w:szCs w:val="20"/>
                <w:color w:val="auto"/>
              </w:rPr>
            </w:pPr>
            <w:r>
              <w:rPr>
                <w:rFonts w:ascii="Arial" w:cs="Arial" w:eastAsia="Arial" w:hAnsi="Arial"/>
                <w:sz w:val="10"/>
                <w:szCs w:val="10"/>
                <w:b w:val="1"/>
                <w:bCs w:val="1"/>
                <w:color w:val="auto"/>
              </w:rPr>
              <w:t>Earnings</w:t>
            </w:r>
          </w:p>
        </w:tc>
        <w:tc>
          <w:tcPr>
            <w:tcW w:w="60" w:type="dxa"/>
            <w:vAlign w:val="bottom"/>
          </w:tcPr>
          <w:p>
            <w:pPr>
              <w:spacing w:after="0"/>
              <w:rPr>
                <w:sz w:val="9"/>
                <w:szCs w:val="9"/>
                <w:color w:val="auto"/>
              </w:rPr>
            </w:pPr>
          </w:p>
        </w:tc>
        <w:tc>
          <w:tcPr>
            <w:tcW w:w="1160" w:type="dxa"/>
            <w:vAlign w:val="bottom"/>
            <w:gridSpan w:val="5"/>
          </w:tcPr>
          <w:p>
            <w:pPr>
              <w:ind w:left="20"/>
              <w:spacing w:after="0" w:line="88" w:lineRule="exact"/>
              <w:rPr>
                <w:sz w:val="20"/>
                <w:szCs w:val="20"/>
                <w:color w:val="auto"/>
              </w:rPr>
            </w:pPr>
            <w:r>
              <w:rPr>
                <w:rFonts w:ascii="Arial" w:cs="Arial" w:eastAsia="Arial" w:hAnsi="Arial"/>
                <w:sz w:val="10"/>
                <w:szCs w:val="10"/>
                <w:b w:val="1"/>
                <w:bCs w:val="1"/>
                <w:color w:val="auto"/>
              </w:rPr>
              <w:t>Accumulated Other</w:t>
            </w:r>
          </w:p>
        </w:tc>
        <w:tc>
          <w:tcPr>
            <w:tcW w:w="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gridSpan w:val="6"/>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gridSpan w:val="4"/>
          </w:tcPr>
          <w:p>
            <w:pPr>
              <w:jc w:val="center"/>
              <w:ind w:right="60"/>
              <w:spacing w:after="0" w:line="88" w:lineRule="exact"/>
              <w:rPr>
                <w:sz w:val="20"/>
                <w:szCs w:val="20"/>
                <w:color w:val="auto"/>
              </w:rPr>
            </w:pPr>
            <w:r>
              <w:rPr>
                <w:rFonts w:ascii="Arial" w:cs="Arial" w:eastAsia="Arial" w:hAnsi="Arial"/>
                <w:sz w:val="10"/>
                <w:szCs w:val="10"/>
                <w:b w:val="1"/>
                <w:bCs w:val="1"/>
                <w:color w:val="auto"/>
              </w:rPr>
              <w:t>Equity Attributable</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jc w:val="center"/>
              <w:ind w:right="7"/>
              <w:spacing w:after="0" w:line="88" w:lineRule="exact"/>
              <w:rPr>
                <w:sz w:val="20"/>
                <w:szCs w:val="20"/>
                <w:color w:val="auto"/>
              </w:rPr>
            </w:pPr>
            <w:r>
              <w:rPr>
                <w:rFonts w:ascii="Arial" w:cs="Arial" w:eastAsia="Arial" w:hAnsi="Arial"/>
                <w:sz w:val="10"/>
                <w:szCs w:val="10"/>
                <w:b w:val="1"/>
                <w:bCs w:val="1"/>
                <w:color w:val="auto"/>
              </w:rPr>
              <w:t>Non-</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center"/>
              <w:ind w:right="320"/>
              <w:spacing w:after="0" w:line="8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88"/>
        </w:trPr>
        <w:tc>
          <w:tcPr>
            <w:tcW w:w="226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60" w:type="dxa"/>
            <w:vAlign w:val="bottom"/>
            <w:vMerge w:val="restart"/>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gridSpan w:val="2"/>
            <w:vMerge w:val="restart"/>
          </w:tcPr>
          <w:p>
            <w:pPr>
              <w:jc w:val="right"/>
              <w:ind w:right="46"/>
              <w:spacing w:after="0"/>
              <w:rPr>
                <w:sz w:val="20"/>
                <w:szCs w:val="20"/>
                <w:color w:val="auto"/>
              </w:rPr>
            </w:pPr>
            <w:r>
              <w:rPr>
                <w:rFonts w:ascii="Arial" w:cs="Arial" w:eastAsia="Arial" w:hAnsi="Arial"/>
                <w:sz w:val="11"/>
                <w:szCs w:val="11"/>
                <w:b w:val="1"/>
                <w:bCs w:val="1"/>
                <w:color w:val="auto"/>
                <w:w w:val="96"/>
              </w:rPr>
              <w:t>Amount</w:t>
            </w:r>
          </w:p>
        </w:tc>
        <w:tc>
          <w:tcPr>
            <w:tcW w:w="60" w:type="dxa"/>
            <w:vAlign w:val="bottom"/>
            <w:vMerge w:val="restart"/>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tcPr>
          <w:p>
            <w:pPr>
              <w:jc w:val="right"/>
              <w:ind w:right="260"/>
              <w:spacing w:after="0" w:line="88" w:lineRule="exact"/>
              <w:rPr>
                <w:sz w:val="20"/>
                <w:szCs w:val="20"/>
                <w:color w:val="auto"/>
              </w:rPr>
            </w:pPr>
            <w:r>
              <w:rPr>
                <w:rFonts w:ascii="Arial" w:cs="Arial" w:eastAsia="Arial" w:hAnsi="Arial"/>
                <w:sz w:val="10"/>
                <w:szCs w:val="10"/>
                <w:b w:val="1"/>
                <w:bCs w:val="1"/>
                <w:color w:val="auto"/>
              </w:rPr>
              <w:t>Paid-in</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3"/>
          </w:tcPr>
          <w:p>
            <w:pPr>
              <w:jc w:val="center"/>
              <w:ind w:right="100"/>
              <w:spacing w:after="0" w:line="88" w:lineRule="exact"/>
              <w:rPr>
                <w:sz w:val="20"/>
                <w:szCs w:val="20"/>
                <w:color w:val="auto"/>
              </w:rPr>
            </w:pPr>
            <w:r>
              <w:rPr>
                <w:rFonts w:ascii="Arial" w:cs="Arial" w:eastAsia="Arial" w:hAnsi="Arial"/>
                <w:sz w:val="10"/>
                <w:szCs w:val="10"/>
                <w:b w:val="1"/>
                <w:bCs w:val="1"/>
                <w:color w:val="auto"/>
              </w:rPr>
              <w:t>(Accumulated</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gridSpan w:val="4"/>
          </w:tcPr>
          <w:p>
            <w:pPr>
              <w:ind w:left="60"/>
              <w:spacing w:after="0" w:line="88" w:lineRule="exact"/>
              <w:rPr>
                <w:sz w:val="20"/>
                <w:szCs w:val="20"/>
                <w:color w:val="auto"/>
              </w:rPr>
            </w:pPr>
            <w:r>
              <w:rPr>
                <w:rFonts w:ascii="Arial" w:cs="Arial" w:eastAsia="Arial" w:hAnsi="Arial"/>
                <w:sz w:val="10"/>
                <w:szCs w:val="10"/>
                <w:b w:val="1"/>
                <w:bCs w:val="1"/>
                <w:color w:val="auto"/>
              </w:rPr>
              <w:t>Comprehensive</w:t>
            </w:r>
          </w:p>
        </w:tc>
        <w:tc>
          <w:tcPr>
            <w:tcW w:w="40" w:type="dxa"/>
            <w:vAlign w:val="bottom"/>
          </w:tcPr>
          <w:p>
            <w:pPr>
              <w:spacing w:after="0"/>
              <w:rPr>
                <w:sz w:val="7"/>
                <w:szCs w:val="7"/>
                <w:color w:val="auto"/>
              </w:rPr>
            </w:pPr>
          </w:p>
        </w:tc>
        <w:tc>
          <w:tcPr>
            <w:tcW w:w="52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rPr>
              <w:t>Shares</w:t>
            </w:r>
          </w:p>
        </w:tc>
        <w:tc>
          <w:tcPr>
            <w:tcW w:w="8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80" w:type="dxa"/>
            <w:vAlign w:val="bottom"/>
            <w:vMerge w:val="restart"/>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2"/>
          </w:tcPr>
          <w:p>
            <w:pPr>
              <w:jc w:val="center"/>
              <w:ind w:right="200"/>
              <w:spacing w:after="0" w:line="88" w:lineRule="exact"/>
              <w:rPr>
                <w:sz w:val="20"/>
                <w:szCs w:val="20"/>
                <w:color w:val="auto"/>
              </w:rPr>
            </w:pPr>
            <w:r>
              <w:rPr>
                <w:rFonts w:ascii="Arial" w:cs="Arial" w:eastAsia="Arial" w:hAnsi="Arial"/>
                <w:sz w:val="10"/>
                <w:szCs w:val="10"/>
                <w:b w:val="1"/>
                <w:bCs w:val="1"/>
                <w:color w:val="auto"/>
              </w:rPr>
              <w:t>to Avis Budget</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jc w:val="center"/>
              <w:ind w:right="27"/>
              <w:spacing w:after="0" w:line="88" w:lineRule="exact"/>
              <w:rPr>
                <w:sz w:val="20"/>
                <w:szCs w:val="20"/>
                <w:color w:val="auto"/>
              </w:rPr>
            </w:pPr>
            <w:r>
              <w:rPr>
                <w:rFonts w:ascii="Arial" w:cs="Arial" w:eastAsia="Arial" w:hAnsi="Arial"/>
                <w:sz w:val="10"/>
                <w:szCs w:val="10"/>
                <w:b w:val="1"/>
                <w:bCs w:val="1"/>
                <w:color w:val="auto"/>
              </w:rPr>
              <w:t>controlling</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4"/>
          </w:tcPr>
          <w:p>
            <w:pPr>
              <w:jc w:val="center"/>
              <w:ind w:right="240"/>
              <w:spacing w:after="0" w:line="88"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56"/>
        </w:trPr>
        <w:tc>
          <w:tcPr>
            <w:tcW w:w="2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47"/>
              <w:spacing w:after="0"/>
              <w:rPr>
                <w:sz w:val="20"/>
                <w:szCs w:val="20"/>
                <w:color w:val="auto"/>
              </w:rPr>
            </w:pPr>
            <w:r>
              <w:rPr>
                <w:rFonts w:ascii="Arial" w:cs="Arial" w:eastAsia="Arial" w:hAnsi="Arial"/>
                <w:sz w:val="11"/>
                <w:szCs w:val="11"/>
                <w:b w:val="1"/>
                <w:bCs w:val="1"/>
                <w:color w:val="auto"/>
              </w:rPr>
              <w:t>Capital</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b w:val="1"/>
                <w:bCs w:val="1"/>
                <w:color w:val="auto"/>
              </w:rPr>
              <w:t>Deficit)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9"/>
              </w:rPr>
              <w:t>Income (Loss)</w:t>
            </w:r>
          </w:p>
        </w:tc>
        <w:tc>
          <w:tcPr>
            <w:tcW w:w="120" w:type="dxa"/>
            <w:vAlign w:val="bottom"/>
            <w:gridSpan w:val="2"/>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b w:val="1"/>
                <w:bCs w:val="1"/>
                <w:color w:val="auto"/>
                <w:w w:val="96"/>
              </w:rPr>
              <w:t>Group, Inc.</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7"/>
              <w:spacing w:after="0"/>
              <w:rPr>
                <w:sz w:val="20"/>
                <w:szCs w:val="20"/>
                <w:color w:val="auto"/>
              </w:rPr>
            </w:pPr>
            <w:r>
              <w:rPr>
                <w:rFonts w:ascii="Arial" w:cs="Arial" w:eastAsia="Arial" w:hAnsi="Arial"/>
                <w:sz w:val="11"/>
                <w:szCs w:val="11"/>
                <w:b w:val="1"/>
                <w:bCs w:val="1"/>
                <w:color w:val="auto"/>
              </w:rPr>
              <w:t>Interests</w:t>
            </w: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46"/>
              <w:spacing w:after="0"/>
              <w:rPr>
                <w:sz w:val="20"/>
                <w:szCs w:val="20"/>
                <w:color w:val="auto"/>
              </w:rPr>
            </w:pPr>
            <w:r>
              <w:rPr>
                <w:rFonts w:ascii="Arial" w:cs="Arial" w:eastAsia="Arial" w:hAnsi="Arial"/>
                <w:sz w:val="11"/>
                <w:szCs w:val="11"/>
                <w:b w:val="1"/>
                <w:bCs w:val="1"/>
                <w:color w:val="auto"/>
              </w:rPr>
              <w:t>Equity</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20"/>
                <w:szCs w:val="20"/>
                <w:color w:val="auto"/>
              </w:rPr>
            </w:pPr>
            <w:r>
              <w:rPr>
                <w:rFonts w:ascii="Arial" w:cs="Arial" w:eastAsia="Arial" w:hAnsi="Arial"/>
                <w:sz w:val="11"/>
                <w:szCs w:val="11"/>
                <w:b w:val="1"/>
                <w:bCs w:val="1"/>
                <w:color w:val="auto"/>
              </w:rPr>
              <w:t>Balance at December 31, 2022</w:t>
            </w:r>
          </w:p>
        </w:tc>
        <w:tc>
          <w:tcPr>
            <w:tcW w:w="6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137.1</w:t>
            </w:r>
          </w:p>
        </w:tc>
        <w:tc>
          <w:tcPr>
            <w:tcW w:w="60" w:type="dxa"/>
            <w:vAlign w:val="bottom"/>
          </w:tcPr>
          <w:p>
            <w:pPr>
              <w:spacing w:after="0"/>
              <w:rPr>
                <w:sz w:val="12"/>
                <w:szCs w:val="12"/>
                <w:color w:val="auto"/>
              </w:rPr>
            </w:pPr>
          </w:p>
        </w:tc>
        <w:tc>
          <w:tcPr>
            <w:tcW w:w="1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20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7"/>
              <w:spacing w:after="0"/>
              <w:rPr>
                <w:sz w:val="20"/>
                <w:szCs w:val="20"/>
                <w:color w:val="auto"/>
              </w:rPr>
            </w:pPr>
            <w:r>
              <w:rPr>
                <w:rFonts w:ascii="Arial" w:cs="Arial" w:eastAsia="Arial" w:hAnsi="Arial"/>
                <w:sz w:val="11"/>
                <w:szCs w:val="11"/>
                <w:color w:val="auto"/>
              </w:rPr>
              <w:t>6,666</w:t>
            </w:r>
          </w:p>
        </w:tc>
        <w:tc>
          <w:tcPr>
            <w:tcW w:w="60" w:type="dxa"/>
            <w:vAlign w:val="bottom"/>
          </w:tcPr>
          <w:p>
            <w:pPr>
              <w:spacing w:after="0"/>
              <w:rPr>
                <w:sz w:val="12"/>
                <w:szCs w:val="12"/>
                <w:color w:val="auto"/>
              </w:rPr>
            </w:pPr>
          </w:p>
        </w:tc>
        <w:tc>
          <w:tcPr>
            <w:tcW w:w="180" w:type="dxa"/>
            <w:vAlign w:val="bottom"/>
            <w:gridSpan w:val="3"/>
          </w:tcPr>
          <w:p>
            <w:pPr>
              <w:jc w:val="right"/>
              <w:ind w:right="11"/>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2,579</w:t>
            </w:r>
          </w:p>
        </w:tc>
        <w:tc>
          <w:tcPr>
            <w:tcW w:w="40" w:type="dxa"/>
            <w:vAlign w:val="bottom"/>
          </w:tcPr>
          <w:p>
            <w:pPr>
              <w:spacing w:after="0"/>
              <w:rPr>
                <w:sz w:val="12"/>
                <w:szCs w:val="12"/>
                <w:color w:val="auto"/>
              </w:rPr>
            </w:pPr>
          </w:p>
        </w:tc>
        <w:tc>
          <w:tcPr>
            <w:tcW w:w="200" w:type="dxa"/>
            <w:vAlign w:val="bottom"/>
            <w:gridSpan w:val="3"/>
          </w:tcPr>
          <w:p>
            <w:pPr>
              <w:ind w:left="80"/>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(101)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(97.6)</w:t>
            </w:r>
          </w:p>
        </w:tc>
        <w:tc>
          <w:tcPr>
            <w:tcW w:w="80" w:type="dxa"/>
            <w:vAlign w:val="bottom"/>
          </w:tcPr>
          <w:p>
            <w:pPr>
              <w:spacing w:after="0"/>
              <w:rPr>
                <w:sz w:val="12"/>
                <w:szCs w:val="12"/>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(9,848)</w:t>
            </w:r>
          </w:p>
        </w:tc>
        <w:tc>
          <w:tcPr>
            <w:tcW w:w="80" w:type="dxa"/>
            <w:vAlign w:val="bottom"/>
          </w:tcPr>
          <w:p>
            <w:pPr>
              <w:spacing w:after="0"/>
              <w:rPr>
                <w:sz w:val="12"/>
                <w:szCs w:val="12"/>
                <w:color w:val="auto"/>
              </w:rPr>
            </w:pPr>
          </w:p>
        </w:tc>
        <w:tc>
          <w:tcPr>
            <w:tcW w:w="18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(703)</w:t>
            </w:r>
          </w:p>
        </w:tc>
        <w:tc>
          <w:tcPr>
            <w:tcW w:w="6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3</w:t>
            </w:r>
          </w:p>
        </w:tc>
        <w:tc>
          <w:tcPr>
            <w:tcW w:w="220" w:type="dxa"/>
            <w:vAlign w:val="bottom"/>
            <w:gridSpan w:val="4"/>
          </w:tcPr>
          <w:p>
            <w:pPr>
              <w:jc w:val="right"/>
              <w:ind w:right="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320" w:type="dxa"/>
            <w:vAlign w:val="bottom"/>
            <w:gridSpan w:val="2"/>
          </w:tcPr>
          <w:p>
            <w:pPr>
              <w:spacing w:after="0"/>
              <w:rPr>
                <w:sz w:val="20"/>
                <w:szCs w:val="20"/>
                <w:color w:val="auto"/>
              </w:rPr>
            </w:pPr>
            <w:r>
              <w:rPr>
                <w:rFonts w:ascii="Arial" w:cs="Arial" w:eastAsia="Arial" w:hAnsi="Arial"/>
                <w:sz w:val="11"/>
                <w:szCs w:val="11"/>
                <w:b w:val="1"/>
                <w:bCs w:val="1"/>
                <w:color w:val="auto"/>
              </w:rPr>
              <w:t>Comprehensive income (loss):</w:t>
            </w: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2320" w:type="dxa"/>
            <w:vAlign w:val="bottom"/>
            <w:gridSpan w:val="2"/>
          </w:tcPr>
          <w:p>
            <w:pPr>
              <w:ind w:left="120"/>
              <w:spacing w:after="0"/>
              <w:rPr>
                <w:sz w:val="20"/>
                <w:szCs w:val="20"/>
                <w:color w:val="auto"/>
              </w:rPr>
            </w:pPr>
            <w:r>
              <w:rPr>
                <w:rFonts w:ascii="Arial" w:cs="Arial" w:eastAsia="Arial" w:hAnsi="Arial"/>
                <w:sz w:val="11"/>
                <w:szCs w:val="11"/>
                <w:color w:val="auto"/>
              </w:rPr>
              <w:t>Net income (loss)</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1"/>
                <w:szCs w:val="11"/>
                <w:color w:val="auto"/>
                <w:w w:val="90"/>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1,373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1,373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1,375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20" w:type="dxa"/>
            <w:vAlign w:val="bottom"/>
            <w:gridSpan w:val="2"/>
          </w:tcPr>
          <w:p>
            <w:pPr>
              <w:ind w:left="120"/>
              <w:spacing w:after="0"/>
              <w:rPr>
                <w:sz w:val="20"/>
                <w:szCs w:val="20"/>
                <w:color w:val="auto"/>
              </w:rPr>
            </w:pPr>
            <w:r>
              <w:rPr>
                <w:rFonts w:ascii="Arial" w:cs="Arial" w:eastAsia="Arial" w:hAnsi="Arial"/>
                <w:sz w:val="11"/>
                <w:szCs w:val="11"/>
                <w:color w:val="auto"/>
              </w:rPr>
              <w:t>Other comprehensive income (loss)</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1"/>
                <w:szCs w:val="11"/>
                <w:color w:val="auto"/>
                <w:w w:val="90"/>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3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Total comprehensive income (loss)</w:t>
            </w: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23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1,373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1,344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1,346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320" w:type="dxa"/>
            <w:vAlign w:val="bottom"/>
            <w:gridSpan w:val="2"/>
          </w:tcPr>
          <w:p>
            <w:pPr>
              <w:spacing w:after="0"/>
              <w:rPr>
                <w:sz w:val="20"/>
                <w:szCs w:val="20"/>
                <w:color w:val="auto"/>
              </w:rPr>
            </w:pPr>
            <w:r>
              <w:rPr>
                <w:rFonts w:ascii="Arial" w:cs="Arial" w:eastAsia="Arial" w:hAnsi="Arial"/>
                <w:sz w:val="11"/>
                <w:szCs w:val="11"/>
                <w:color w:val="auto"/>
              </w:rPr>
              <w:t>Net activity related to restricted stock units</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1"/>
                <w:szCs w:val="11"/>
                <w:color w:val="auto"/>
                <w:w w:val="90"/>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0.3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260" w:type="dxa"/>
            <w:vAlign w:val="bottom"/>
          </w:tcPr>
          <w:p>
            <w:pPr>
              <w:spacing w:after="0"/>
              <w:rPr>
                <w:sz w:val="20"/>
                <w:szCs w:val="20"/>
                <w:color w:val="auto"/>
              </w:rPr>
            </w:pPr>
            <w:r>
              <w:rPr>
                <w:rFonts w:ascii="Arial" w:cs="Arial" w:eastAsia="Arial" w:hAnsi="Arial"/>
                <w:sz w:val="11"/>
                <w:szCs w:val="11"/>
                <w:color w:val="auto"/>
              </w:rPr>
              <w:t xml:space="preserve">Repurchases of common stock </w:t>
            </w:r>
            <w:r>
              <w:rPr>
                <w:rFonts w:ascii="Arial" w:cs="Arial" w:eastAsia="Arial" w:hAnsi="Arial"/>
                <w:sz w:val="14"/>
                <w:szCs w:val="14"/>
                <w:color w:val="auto"/>
                <w:vertAlign w:val="superscript"/>
              </w:rPr>
              <w:t>(a)</w:t>
            </w:r>
          </w:p>
        </w:tc>
        <w:tc>
          <w:tcPr>
            <w:tcW w:w="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0"/>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260" w:type="dxa"/>
            <w:vAlign w:val="bottom"/>
          </w:tcPr>
          <w:p>
            <w:pPr>
              <w:spacing w:after="0"/>
              <w:rPr>
                <w:sz w:val="20"/>
                <w:szCs w:val="20"/>
                <w:color w:val="auto"/>
              </w:rPr>
            </w:pPr>
            <w:r>
              <w:rPr>
                <w:rFonts w:ascii="Arial" w:cs="Arial" w:eastAsia="Arial" w:hAnsi="Arial"/>
                <w:sz w:val="11"/>
                <w:szCs w:val="11"/>
                <w:b w:val="1"/>
                <w:bCs w:val="1"/>
                <w:color w:val="auto"/>
              </w:rPr>
              <w:t>Balance at September 30, 2023</w:t>
            </w: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6,626</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3,952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(10,482)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w:t>
            </w: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w w:val="97"/>
              </w:rPr>
              <w:t>$</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6"/>
        </w:trPr>
        <w:tc>
          <w:tcPr>
            <w:tcW w:w="2320" w:type="dxa"/>
            <w:vAlign w:val="bottom"/>
            <w:gridSpan w:val="2"/>
          </w:tcPr>
          <w:p>
            <w:pPr>
              <w:spacing w:after="0"/>
              <w:rPr>
                <w:sz w:val="20"/>
                <w:szCs w:val="20"/>
                <w:color w:val="auto"/>
              </w:rPr>
            </w:pPr>
            <w:r>
              <w:rPr>
                <w:rFonts w:ascii="Arial" w:cs="Arial" w:eastAsia="Arial" w:hAnsi="Arial"/>
                <w:sz w:val="11"/>
                <w:szCs w:val="11"/>
                <w:b w:val="1"/>
                <w:bCs w:val="1"/>
                <w:color w:val="auto"/>
              </w:rPr>
              <w:t>Balance at December 31, 2021</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137.1</w:t>
            </w:r>
          </w:p>
        </w:tc>
        <w:tc>
          <w:tcPr>
            <w:tcW w:w="60" w:type="dxa"/>
            <w:vAlign w:val="bottom"/>
          </w:tcPr>
          <w:p>
            <w:pPr>
              <w:spacing w:after="0"/>
              <w:rPr>
                <w:sz w:val="24"/>
                <w:szCs w:val="24"/>
                <w:color w:val="auto"/>
              </w:rPr>
            </w:pPr>
          </w:p>
        </w:tc>
        <w:tc>
          <w:tcPr>
            <w:tcW w:w="1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4"/>
                <w:szCs w:val="24"/>
                <w:color w:val="auto"/>
              </w:rPr>
            </w:pP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24"/>
                <w:szCs w:val="24"/>
                <w:color w:val="auto"/>
              </w:rPr>
            </w:pPr>
          </w:p>
        </w:tc>
        <w:tc>
          <w:tcPr>
            <w:tcW w:w="20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7"/>
              <w:spacing w:after="0"/>
              <w:rPr>
                <w:sz w:val="20"/>
                <w:szCs w:val="20"/>
                <w:color w:val="auto"/>
              </w:rPr>
            </w:pPr>
            <w:r>
              <w:rPr>
                <w:rFonts w:ascii="Arial" w:cs="Arial" w:eastAsia="Arial" w:hAnsi="Arial"/>
                <w:sz w:val="11"/>
                <w:szCs w:val="11"/>
                <w:color w:val="auto"/>
              </w:rPr>
              <w:t>6,676</w:t>
            </w:r>
          </w:p>
        </w:tc>
        <w:tc>
          <w:tcPr>
            <w:tcW w:w="60" w:type="dxa"/>
            <w:vAlign w:val="bottom"/>
          </w:tcPr>
          <w:p>
            <w:pPr>
              <w:spacing w:after="0"/>
              <w:rPr>
                <w:sz w:val="24"/>
                <w:szCs w:val="24"/>
                <w:color w:val="auto"/>
              </w:rPr>
            </w:pPr>
          </w:p>
        </w:tc>
        <w:tc>
          <w:tcPr>
            <w:tcW w:w="180" w:type="dxa"/>
            <w:vAlign w:val="bottom"/>
            <w:gridSpan w:val="3"/>
          </w:tcPr>
          <w:p>
            <w:pPr>
              <w:jc w:val="right"/>
              <w:ind w:right="11"/>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(185)</w:t>
            </w:r>
          </w:p>
        </w:tc>
        <w:tc>
          <w:tcPr>
            <w:tcW w:w="40" w:type="dxa"/>
            <w:vAlign w:val="bottom"/>
          </w:tcPr>
          <w:p>
            <w:pPr>
              <w:spacing w:after="0"/>
              <w:rPr>
                <w:sz w:val="24"/>
                <w:szCs w:val="24"/>
                <w:color w:val="auto"/>
              </w:rPr>
            </w:pPr>
          </w:p>
        </w:tc>
        <w:tc>
          <w:tcPr>
            <w:tcW w:w="200" w:type="dxa"/>
            <w:vAlign w:val="bottom"/>
            <w:gridSpan w:val="3"/>
          </w:tcPr>
          <w:p>
            <w:pPr>
              <w:ind w:left="80"/>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(133)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(81.2)</w:t>
            </w:r>
          </w:p>
        </w:tc>
        <w:tc>
          <w:tcPr>
            <w:tcW w:w="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(6,579)</w:t>
            </w:r>
          </w:p>
        </w:tc>
        <w:tc>
          <w:tcPr>
            <w:tcW w:w="80" w:type="dxa"/>
            <w:vAlign w:val="bottom"/>
          </w:tcPr>
          <w:p>
            <w:pPr>
              <w:spacing w:after="0"/>
              <w:rPr>
                <w:sz w:val="24"/>
                <w:szCs w:val="24"/>
                <w:color w:val="auto"/>
              </w:rPr>
            </w:pPr>
          </w:p>
        </w:tc>
        <w:tc>
          <w:tcPr>
            <w:tcW w:w="18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(220)</w:t>
            </w:r>
          </w:p>
        </w:tc>
        <w:tc>
          <w:tcPr>
            <w:tcW w:w="6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11</w:t>
            </w:r>
          </w:p>
        </w:tc>
        <w:tc>
          <w:tcPr>
            <w:tcW w:w="220" w:type="dxa"/>
            <w:vAlign w:val="bottom"/>
            <w:gridSpan w:val="4"/>
          </w:tcPr>
          <w:p>
            <w:pPr>
              <w:jc w:val="right"/>
              <w:ind w:right="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(209)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20" w:type="dxa"/>
            <w:vAlign w:val="bottom"/>
            <w:gridSpan w:val="2"/>
          </w:tcPr>
          <w:p>
            <w:pPr>
              <w:spacing w:after="0"/>
              <w:rPr>
                <w:sz w:val="20"/>
                <w:szCs w:val="20"/>
                <w:color w:val="auto"/>
              </w:rPr>
            </w:pPr>
            <w:r>
              <w:rPr>
                <w:rFonts w:ascii="Arial" w:cs="Arial" w:eastAsia="Arial" w:hAnsi="Arial"/>
                <w:sz w:val="11"/>
                <w:szCs w:val="11"/>
                <w:b w:val="1"/>
                <w:bCs w:val="1"/>
                <w:color w:val="auto"/>
              </w:rPr>
              <w:t>Comprehensive income (loss):</w:t>
            </w: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2320" w:type="dxa"/>
            <w:vAlign w:val="bottom"/>
            <w:gridSpan w:val="2"/>
          </w:tcPr>
          <w:p>
            <w:pPr>
              <w:ind w:left="120"/>
              <w:spacing w:after="0"/>
              <w:rPr>
                <w:sz w:val="20"/>
                <w:szCs w:val="20"/>
                <w:color w:val="auto"/>
              </w:rPr>
            </w:pPr>
            <w:r>
              <w:rPr>
                <w:rFonts w:ascii="Arial" w:cs="Arial" w:eastAsia="Arial" w:hAnsi="Arial"/>
                <w:sz w:val="11"/>
                <w:szCs w:val="11"/>
                <w:color w:val="auto"/>
              </w:rPr>
              <w:t>Net income (loss)</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1"/>
                <w:szCs w:val="11"/>
                <w:color w:val="auto"/>
                <w:w w:val="90"/>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2,341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2,341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2,332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20" w:type="dxa"/>
            <w:vAlign w:val="bottom"/>
            <w:gridSpan w:val="2"/>
          </w:tcPr>
          <w:p>
            <w:pPr>
              <w:ind w:left="120"/>
              <w:spacing w:after="0"/>
              <w:rPr>
                <w:sz w:val="20"/>
                <w:szCs w:val="20"/>
                <w:color w:val="auto"/>
              </w:rPr>
            </w:pPr>
            <w:r>
              <w:rPr>
                <w:rFonts w:ascii="Arial" w:cs="Arial" w:eastAsia="Arial" w:hAnsi="Arial"/>
                <w:sz w:val="11"/>
                <w:szCs w:val="11"/>
                <w:color w:val="auto"/>
              </w:rPr>
              <w:t>Other comprehensive income (loss)</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1"/>
                <w:szCs w:val="11"/>
                <w:color w:val="auto"/>
                <w:w w:val="90"/>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3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Total comprehensive income (loss)</w:t>
            </w: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3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2,341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2,289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2,280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320" w:type="dxa"/>
            <w:vAlign w:val="bottom"/>
            <w:gridSpan w:val="2"/>
          </w:tcPr>
          <w:p>
            <w:pPr>
              <w:spacing w:after="0"/>
              <w:rPr>
                <w:sz w:val="20"/>
                <w:szCs w:val="20"/>
                <w:color w:val="auto"/>
              </w:rPr>
            </w:pPr>
            <w:r>
              <w:rPr>
                <w:rFonts w:ascii="Arial" w:cs="Arial" w:eastAsia="Arial" w:hAnsi="Arial"/>
                <w:sz w:val="11"/>
                <w:szCs w:val="11"/>
                <w:color w:val="auto"/>
              </w:rPr>
              <w:t>Contributions from non-controlling interests</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1"/>
                <w:szCs w:val="11"/>
                <w:color w:val="auto"/>
                <w:w w:val="90"/>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7"/>
              <w:spacing w:after="0"/>
              <w:rPr>
                <w:sz w:val="20"/>
                <w:szCs w:val="20"/>
                <w:color w:val="auto"/>
              </w:rPr>
            </w:pPr>
            <w:r>
              <w:rPr>
                <w:rFonts w:ascii="Arial" w:cs="Arial" w:eastAsia="Arial" w:hAnsi="Arial"/>
                <w:sz w:val="11"/>
                <w:szCs w:val="11"/>
                <w:color w:val="auto"/>
              </w:rPr>
              <w:t>40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40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20" w:type="dxa"/>
            <w:vAlign w:val="bottom"/>
            <w:gridSpan w:val="2"/>
          </w:tcPr>
          <w:p>
            <w:pPr>
              <w:spacing w:after="0"/>
              <w:rPr>
                <w:sz w:val="20"/>
                <w:szCs w:val="20"/>
                <w:color w:val="auto"/>
              </w:rPr>
            </w:pPr>
            <w:r>
              <w:rPr>
                <w:rFonts w:ascii="Arial" w:cs="Arial" w:eastAsia="Arial" w:hAnsi="Arial"/>
                <w:sz w:val="11"/>
                <w:szCs w:val="11"/>
                <w:color w:val="auto"/>
              </w:rPr>
              <w:t>Net activity related to restricted stock units</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1"/>
                <w:szCs w:val="11"/>
                <w:color w:val="auto"/>
                <w:w w:val="90"/>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0.3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gridSpan w:val="2"/>
          </w:tcPr>
          <w:p>
            <w:pPr>
              <w:spacing w:after="0"/>
              <w:rPr>
                <w:sz w:val="20"/>
                <w:szCs w:val="20"/>
                <w:color w:val="auto"/>
              </w:rPr>
            </w:pPr>
            <w:r>
              <w:rPr>
                <w:rFonts w:ascii="Arial" w:cs="Arial" w:eastAsia="Arial" w:hAnsi="Arial"/>
                <w:sz w:val="11"/>
                <w:szCs w:val="11"/>
                <w:color w:val="auto"/>
              </w:rPr>
              <w:t>Repurchases of common stock</w:t>
            </w:r>
          </w:p>
        </w:tc>
        <w:tc>
          <w:tcPr>
            <w:tcW w:w="64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6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(13.2)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(2,576)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(2,576)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5"/>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(2,576)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320" w:type="dxa"/>
            <w:vAlign w:val="bottom"/>
            <w:gridSpan w:val="2"/>
          </w:tcPr>
          <w:p>
            <w:pPr>
              <w:spacing w:after="0"/>
              <w:rPr>
                <w:sz w:val="20"/>
                <w:szCs w:val="20"/>
                <w:color w:val="auto"/>
              </w:rPr>
            </w:pPr>
            <w:r>
              <w:rPr>
                <w:rFonts w:ascii="Arial" w:cs="Arial" w:eastAsia="Arial" w:hAnsi="Arial"/>
                <w:sz w:val="11"/>
                <w:szCs w:val="11"/>
                <w:b w:val="1"/>
                <w:bCs w:val="1"/>
                <w:color w:val="auto"/>
              </w:rPr>
              <w:t>Balance at September 30, 2022</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137.1</w:t>
            </w:r>
          </w:p>
        </w:tc>
        <w:tc>
          <w:tcPr>
            <w:tcW w:w="60" w:type="dxa"/>
            <w:vAlign w:val="bottom"/>
          </w:tcPr>
          <w:p>
            <w:pPr>
              <w:spacing w:after="0"/>
              <w:rPr>
                <w:sz w:val="13"/>
                <w:szCs w:val="13"/>
                <w:color w:val="auto"/>
              </w:rPr>
            </w:pPr>
          </w:p>
        </w:tc>
        <w:tc>
          <w:tcPr>
            <w:tcW w:w="1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3"/>
                <w:szCs w:val="13"/>
                <w:color w:val="auto"/>
              </w:rPr>
            </w:pPr>
          </w:p>
        </w:tc>
        <w:tc>
          <w:tcPr>
            <w:tcW w:w="20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7"/>
              <w:spacing w:after="0"/>
              <w:rPr>
                <w:sz w:val="20"/>
                <w:szCs w:val="20"/>
                <w:color w:val="auto"/>
              </w:rPr>
            </w:pPr>
            <w:r>
              <w:rPr>
                <w:rFonts w:ascii="Arial" w:cs="Arial" w:eastAsia="Arial" w:hAnsi="Arial"/>
                <w:sz w:val="11"/>
                <w:szCs w:val="11"/>
                <w:color w:val="auto"/>
              </w:rPr>
              <w:t>6,676</w:t>
            </w:r>
          </w:p>
        </w:tc>
        <w:tc>
          <w:tcPr>
            <w:tcW w:w="60" w:type="dxa"/>
            <w:vAlign w:val="bottom"/>
          </w:tcPr>
          <w:p>
            <w:pPr>
              <w:spacing w:after="0"/>
              <w:rPr>
                <w:sz w:val="13"/>
                <w:szCs w:val="13"/>
                <w:color w:val="auto"/>
              </w:rPr>
            </w:pPr>
          </w:p>
        </w:tc>
        <w:tc>
          <w:tcPr>
            <w:tcW w:w="180" w:type="dxa"/>
            <w:vAlign w:val="bottom"/>
            <w:gridSpan w:val="3"/>
          </w:tcPr>
          <w:p>
            <w:pPr>
              <w:jc w:val="right"/>
              <w:ind w:right="11"/>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2,156</w:t>
            </w:r>
          </w:p>
        </w:tc>
        <w:tc>
          <w:tcPr>
            <w:tcW w:w="40" w:type="dxa"/>
            <w:vAlign w:val="bottom"/>
          </w:tcPr>
          <w:p>
            <w:pPr>
              <w:spacing w:after="0"/>
              <w:rPr>
                <w:sz w:val="13"/>
                <w:szCs w:val="13"/>
                <w:color w:val="auto"/>
              </w:rPr>
            </w:pPr>
          </w:p>
        </w:tc>
        <w:tc>
          <w:tcPr>
            <w:tcW w:w="200" w:type="dxa"/>
            <w:vAlign w:val="bottom"/>
            <w:gridSpan w:val="3"/>
          </w:tcPr>
          <w:p>
            <w:pPr>
              <w:ind w:left="80"/>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(185)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(94.1)</w:t>
            </w:r>
          </w:p>
        </w:tc>
        <w:tc>
          <w:tcPr>
            <w:tcW w:w="80" w:type="dxa"/>
            <w:vAlign w:val="bottom"/>
          </w:tcPr>
          <w:p>
            <w:pPr>
              <w:spacing w:after="0"/>
              <w:rPr>
                <w:sz w:val="13"/>
                <w:szCs w:val="13"/>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(9,157)</w:t>
            </w:r>
          </w:p>
        </w:tc>
        <w:tc>
          <w:tcPr>
            <w:tcW w:w="80" w:type="dxa"/>
            <w:vAlign w:val="bottom"/>
          </w:tcPr>
          <w:p>
            <w:pPr>
              <w:spacing w:after="0"/>
              <w:rPr>
                <w:sz w:val="13"/>
                <w:szCs w:val="13"/>
                <w:color w:val="auto"/>
              </w:rPr>
            </w:pPr>
          </w:p>
        </w:tc>
        <w:tc>
          <w:tcPr>
            <w:tcW w:w="18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(509)</w:t>
            </w:r>
          </w:p>
        </w:tc>
        <w:tc>
          <w:tcPr>
            <w:tcW w:w="6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w:t>
            </w:r>
          </w:p>
        </w:tc>
        <w:tc>
          <w:tcPr>
            <w:tcW w:w="220" w:type="dxa"/>
            <w:vAlign w:val="bottom"/>
            <w:gridSpan w:val="4"/>
          </w:tcPr>
          <w:p>
            <w:pPr>
              <w:jc w:val="right"/>
              <w:ind w:right="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(507)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14" w:lineRule="exact"/>
        <w:rPr>
          <w:sz w:val="20"/>
          <w:szCs w:val="20"/>
          <w:color w:val="auto"/>
        </w:rPr>
      </w:pPr>
    </w:p>
    <w:p>
      <w:pPr>
        <w:ind w:left="120" w:hanging="112"/>
        <w:spacing w:after="0"/>
        <w:tabs>
          <w:tab w:leader="none" w:pos="120" w:val="left"/>
        </w:tabs>
        <w:numPr>
          <w:ilvl w:val="0"/>
          <w:numId w:val="3"/>
        </w:numPr>
        <w:rPr>
          <w:rFonts w:ascii="Arial" w:cs="Arial" w:eastAsia="Arial" w:hAnsi="Arial"/>
          <w:sz w:val="13"/>
          <w:szCs w:val="13"/>
          <w:color w:val="auto"/>
          <w:vertAlign w:val="superscript"/>
        </w:rPr>
      </w:pPr>
      <w:r>
        <w:rPr>
          <w:rFonts w:ascii="Arial" w:cs="Arial" w:eastAsia="Arial" w:hAnsi="Arial"/>
          <w:sz w:val="10"/>
          <w:szCs w:val="10"/>
          <w:color w:val="auto"/>
        </w:rPr>
        <w:t>Amount includes excise taxes due under the Inflation Reduction Act of 2022.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Condensed Financial Statements (Unaudited).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jc w:val="center"/>
        <w:ind w:right="38"/>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38"/>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9" w:lineRule="exact"/>
        <w:rPr>
          <w:sz w:val="20"/>
          <w:szCs w:val="20"/>
          <w:color w:val="auto"/>
        </w:rPr>
      </w:pPr>
    </w:p>
    <w:p>
      <w:pPr>
        <w:jc w:val="center"/>
        <w:ind w:right="38"/>
        <w:spacing w:after="0"/>
        <w:rPr>
          <w:sz w:val="20"/>
          <w:szCs w:val="20"/>
          <w:color w:val="auto"/>
        </w:rPr>
      </w:pPr>
      <w:r>
        <w:rPr>
          <w:rFonts w:ascii="Arial" w:cs="Arial" w:eastAsia="Arial" w:hAnsi="Arial"/>
          <w:sz w:val="18"/>
          <w:szCs w:val="18"/>
          <w:b w:val="1"/>
          <w:bCs w:val="1"/>
          <w:color w:val="auto"/>
        </w:rPr>
        <w:t>(Unless otherwise noted, all dollar amounts in tables are in millions, except per share amounts)</w:t>
      </w:r>
    </w:p>
    <w:p>
      <w:pPr>
        <w:spacing w:after="0" w:line="230" w:lineRule="exact"/>
        <w:rPr>
          <w:sz w:val="20"/>
          <w:szCs w:val="20"/>
          <w:color w:val="auto"/>
        </w:rPr>
      </w:pPr>
    </w:p>
    <w:p>
      <w:pPr>
        <w:ind w:left="342" w:hanging="342"/>
        <w:spacing w:after="0"/>
        <w:tabs>
          <w:tab w:leader="none" w:pos="34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62" w:lineRule="exact"/>
        <w:rPr>
          <w:sz w:val="20"/>
          <w:szCs w:val="20"/>
          <w:color w:val="auto"/>
        </w:rPr>
      </w:pPr>
    </w:p>
    <w:p>
      <w:pPr>
        <w:jc w:val="both"/>
        <w:ind w:left="442"/>
        <w:spacing w:after="0" w:line="256" w:lineRule="auto"/>
        <w:rPr>
          <w:sz w:val="20"/>
          <w:szCs w:val="20"/>
          <w:color w:val="auto"/>
        </w:rPr>
      </w:pPr>
      <w:r>
        <w:rPr>
          <w:rFonts w:ascii="Arial" w:cs="Arial" w:eastAsia="Arial" w:hAnsi="Arial"/>
          <w:sz w:val="18"/>
          <w:szCs w:val="18"/>
          <w:color w:val="auto"/>
        </w:rPr>
        <w:t>Avis Budget Group, Inc. provides mobility solutions to businesses and consumers worldwide. The accompanying unaudited Consolidated Condensed Financial Statements include the accounts and transactions of Avis Budget Group, Inc. and its subsidiaries, as well as entities in which Avis Budget Group, Inc. directly or indirectly has a controlling financial interest (collectively, “we”, “our”, “us”, or the “Company”), and have been prepared pursuant to the rules and regulations of the U.S. Securities and Exchange Commission for interim financial reporting.</w:t>
      </w:r>
    </w:p>
    <w:p>
      <w:pPr>
        <w:spacing w:after="0" w:line="219" w:lineRule="exact"/>
        <w:rPr>
          <w:sz w:val="20"/>
          <w:szCs w:val="20"/>
          <w:color w:val="auto"/>
        </w:rPr>
      </w:pPr>
    </w:p>
    <w:p>
      <w:pPr>
        <w:ind w:left="442"/>
        <w:spacing w:after="0"/>
        <w:rPr>
          <w:sz w:val="20"/>
          <w:szCs w:val="20"/>
          <w:color w:val="auto"/>
        </w:rPr>
      </w:pPr>
      <w:r>
        <w:rPr>
          <w:rFonts w:ascii="Arial" w:cs="Arial" w:eastAsia="Arial" w:hAnsi="Arial"/>
          <w:sz w:val="18"/>
          <w:szCs w:val="18"/>
          <w:color w:val="auto"/>
        </w:rPr>
        <w:t>We operate the following reportable business segments:</w:t>
      </w:r>
    </w:p>
    <w:p>
      <w:pPr>
        <w:spacing w:after="0" w:line="242" w:lineRule="exact"/>
        <w:rPr>
          <w:sz w:val="20"/>
          <w:szCs w:val="20"/>
          <w:color w:val="auto"/>
        </w:rPr>
      </w:pPr>
    </w:p>
    <w:p>
      <w:pPr>
        <w:jc w:val="both"/>
        <w:ind w:left="1242" w:hanging="482"/>
        <w:spacing w:after="0" w:line="268" w:lineRule="auto"/>
        <w:tabs>
          <w:tab w:leader="none" w:pos="1237"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Americas </w:t>
      </w:r>
      <w:r>
        <w:rPr>
          <w:rFonts w:ascii="Arial" w:cs="Arial" w:eastAsia="Arial" w:hAnsi="Arial"/>
          <w:sz w:val="18"/>
          <w:szCs w:val="18"/>
          <w:color w:val="auto"/>
        </w:rPr>
        <w:t>- consisting primarily of (i) vehicle rental operations in North America, South America, Central America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Caribbean, (ii) car sharing operations in certain of these markets, and (iii) licensees in the areas in which we do not operate directly.</w:t>
      </w:r>
    </w:p>
    <w:p>
      <w:pPr>
        <w:spacing w:after="0" w:line="62" w:lineRule="exact"/>
        <w:rPr>
          <w:rFonts w:ascii="Arial" w:cs="Arial" w:eastAsia="Arial" w:hAnsi="Arial"/>
          <w:sz w:val="18"/>
          <w:szCs w:val="18"/>
          <w:color w:val="auto"/>
        </w:rPr>
      </w:pPr>
    </w:p>
    <w:p>
      <w:pPr>
        <w:ind w:left="1242" w:hanging="482"/>
        <w:spacing w:after="0" w:line="287" w:lineRule="auto"/>
        <w:tabs>
          <w:tab w:leader="none" w:pos="1237"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International </w:t>
      </w:r>
      <w:r>
        <w:rPr>
          <w:rFonts w:ascii="Arial" w:cs="Arial" w:eastAsia="Arial" w:hAnsi="Arial"/>
          <w:sz w:val="18"/>
          <w:szCs w:val="18"/>
          <w:color w:val="auto"/>
        </w:rPr>
        <w:t>- consisting primarily of (i) vehicle rental operations in Europe, the Middle East, Africa, Asia and Australasia,</w:t>
      </w:r>
      <w:r>
        <w:rPr>
          <w:rFonts w:ascii="Arial" w:cs="Arial" w:eastAsia="Arial" w:hAnsi="Arial"/>
          <w:sz w:val="18"/>
          <w:szCs w:val="18"/>
          <w:b w:val="1"/>
          <w:bCs w:val="1"/>
          <w:color w:val="auto"/>
        </w:rPr>
        <w:t xml:space="preserve"> </w:t>
      </w:r>
      <w:r>
        <w:rPr>
          <w:rFonts w:ascii="Arial" w:cs="Arial" w:eastAsia="Arial" w:hAnsi="Arial"/>
          <w:sz w:val="18"/>
          <w:szCs w:val="18"/>
          <w:color w:val="auto"/>
        </w:rPr>
        <w:t>(ii) car sharing operations in certain of these markets, and (iii) licensees in the areas in which we do not operate directly.</w:t>
      </w:r>
    </w:p>
    <w:p>
      <w:pPr>
        <w:spacing w:after="0" w:line="190" w:lineRule="exact"/>
        <w:rPr>
          <w:sz w:val="20"/>
          <w:szCs w:val="20"/>
          <w:color w:val="auto"/>
        </w:rPr>
      </w:pPr>
    </w:p>
    <w:p>
      <w:pPr>
        <w:jc w:val="both"/>
        <w:ind w:left="442"/>
        <w:spacing w:after="0" w:line="256" w:lineRule="auto"/>
        <w:rPr>
          <w:sz w:val="20"/>
          <w:szCs w:val="20"/>
          <w:color w:val="auto"/>
        </w:rPr>
      </w:pPr>
      <w:r>
        <w:rPr>
          <w:rFonts w:ascii="Arial" w:cs="Arial" w:eastAsia="Arial" w:hAnsi="Arial"/>
          <w:sz w:val="18"/>
          <w:szCs w:val="18"/>
          <w:color w:val="auto"/>
        </w:rPr>
        <w:t>The operating results of acquired businesses are included in the accompanying Consolidated Condensed Financial Statements from the dates of acquisition. Differences between the preliminary allocation of purchase price and the final allocation for our 2022 acquisitions of various licensees were not material. We consolidate joint venture activities when we have a controlling interest and record non-controlling interests within stockholders’ equity and the statement of comprehensive income equal to the percentage of ownership interest retained in such entities by the respective non-controlling party.</w:t>
      </w:r>
    </w:p>
    <w:p>
      <w:pPr>
        <w:spacing w:after="0" w:line="219" w:lineRule="exact"/>
        <w:rPr>
          <w:sz w:val="20"/>
          <w:szCs w:val="20"/>
          <w:color w:val="auto"/>
        </w:rPr>
      </w:pPr>
    </w:p>
    <w:p>
      <w:pPr>
        <w:jc w:val="both"/>
        <w:ind w:left="442"/>
        <w:spacing w:after="0" w:line="254" w:lineRule="auto"/>
        <w:rPr>
          <w:sz w:val="20"/>
          <w:szCs w:val="20"/>
          <w:color w:val="auto"/>
        </w:rPr>
      </w:pPr>
      <w:r>
        <w:rPr>
          <w:rFonts w:ascii="Arial" w:cs="Arial" w:eastAsia="Arial" w:hAnsi="Arial"/>
          <w:sz w:val="18"/>
          <w:szCs w:val="18"/>
          <w:color w:val="auto"/>
        </w:rPr>
        <w:t>In presenting the Consolidated Condensed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Consolidated Condensed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our 2022 Annual Report on Form 10-K (the “2022 Form 10-K”).</w:t>
      </w:r>
    </w:p>
    <w:p>
      <w:pPr>
        <w:spacing w:after="0" w:line="212"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6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Our significant accounting policies are fully described in Note 2 – Summary of Significant Accounting Policies in our 2022 Form 10-K.</w:t>
      </w:r>
    </w:p>
    <w:p>
      <w:pPr>
        <w:spacing w:after="0" w:line="246" w:lineRule="exact"/>
        <w:rPr>
          <w:sz w:val="20"/>
          <w:szCs w:val="20"/>
          <w:color w:val="auto"/>
        </w:rPr>
      </w:pPr>
    </w:p>
    <w:p>
      <w:pPr>
        <w:jc w:val="both"/>
        <w:ind w:left="442"/>
        <w:spacing w:after="0" w:line="266" w:lineRule="auto"/>
        <w:rPr>
          <w:sz w:val="20"/>
          <w:szCs w:val="20"/>
          <w:color w:val="auto"/>
        </w:rPr>
      </w:pPr>
      <w:r>
        <w:rPr>
          <w:rFonts w:ascii="Arial" w:cs="Arial" w:eastAsia="Arial" w:hAnsi="Arial"/>
          <w:sz w:val="18"/>
          <w:szCs w:val="18"/>
          <w:i w:val="1"/>
          <w:iCs w:val="1"/>
          <w:color w:val="auto"/>
        </w:rPr>
        <w:t xml:space="preserve">Cash and cash equivalents, Program cash and Restricted cash. </w:t>
      </w:r>
      <w:r>
        <w:rPr>
          <w:rFonts w:ascii="Arial" w:cs="Arial" w:eastAsia="Arial" w:hAnsi="Arial"/>
          <w:sz w:val="18"/>
          <w:szCs w:val="18"/>
          <w:color w:val="auto"/>
        </w:rPr>
        <w:t>The following table provides a detail of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and restricted cash reported within the Consolidated Condensed Balance Sheets to the amounts shown in the Consolidated Condensed Statements of Cash Flows.</w:t>
      </w:r>
    </w:p>
    <w:p>
      <w:pPr>
        <w:spacing w:after="0" w:line="239" w:lineRule="exact"/>
        <w:rPr>
          <w:sz w:val="20"/>
          <w:szCs w:val="20"/>
          <w:color w:val="auto"/>
        </w:rPr>
      </w:pPr>
    </w:p>
    <w:tbl>
      <w:tblPr>
        <w:tblLayout w:type="fixed"/>
        <w:tblInd w:w="462" w:type="dxa"/>
        <w:tblCellMar>
          <w:top w:w="0" w:type="dxa"/>
          <w:left w:w="0" w:type="dxa"/>
          <w:bottom w:w="0" w:type="dxa"/>
          <w:right w:w="0" w:type="dxa"/>
        </w:tblCellMar>
      </w:tblPr>
      <w:tr>
        <w:trPr>
          <w:trHeight w:val="239"/>
        </w:trPr>
        <w:tc>
          <w:tcPr>
            <w:tcW w:w="7200" w:type="dxa"/>
            <w:vAlign w:val="bottom"/>
          </w:tcPr>
          <w:p>
            <w:pPr>
              <w:spacing w:after="0"/>
              <w:rPr>
                <w:sz w:val="20"/>
                <w:szCs w:val="20"/>
                <w:color w:val="auto"/>
              </w:rPr>
            </w:pPr>
          </w:p>
        </w:tc>
        <w:tc>
          <w:tcPr>
            <w:tcW w:w="252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8"/>
                <w:szCs w:val="18"/>
                <w:b w:val="1"/>
                <w:bCs w:val="1"/>
                <w:color w:val="auto"/>
              </w:rPr>
              <w:t>As of September 30,</w:t>
            </w: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00" w:type="dxa"/>
            <w:vAlign w:val="bottom"/>
            <w:vMerge w:val="restart"/>
          </w:tcPr>
          <w:p>
            <w:pPr>
              <w:spacing w:after="0"/>
              <w:rPr>
                <w:sz w:val="20"/>
                <w:szCs w:val="20"/>
                <w:color w:val="auto"/>
              </w:rPr>
            </w:pPr>
            <w:r>
              <w:rPr>
                <w:rFonts w:ascii="Arial" w:cs="Arial" w:eastAsia="Arial" w:hAnsi="Arial"/>
                <w:sz w:val="16"/>
                <w:szCs w:val="16"/>
                <w:color w:val="auto"/>
              </w:rPr>
              <w:t>Cash and cash equivalents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200" w:type="dxa"/>
            <w:vAlign w:val="bottom"/>
            <w:vMerge w:val="continue"/>
          </w:tcPr>
          <w:p>
            <w:pPr>
              <w:spacing w:after="0"/>
              <w:rPr>
                <w:sz w:val="17"/>
                <w:szCs w:val="17"/>
                <w:color w:val="auto"/>
              </w:rPr>
            </w:pPr>
          </w:p>
        </w:tc>
        <w:tc>
          <w:tcPr>
            <w:tcW w:w="980" w:type="dxa"/>
            <w:vAlign w:val="bottom"/>
          </w:tcPr>
          <w:p>
            <w:pPr>
              <w:jc w:val="right"/>
              <w:ind w:right="795"/>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17"/>
                <w:szCs w:val="17"/>
                <w:color w:val="auto"/>
              </w:rPr>
            </w:pPr>
          </w:p>
        </w:tc>
        <w:tc>
          <w:tcPr>
            <w:tcW w:w="1000" w:type="dxa"/>
            <w:vAlign w:val="bottom"/>
          </w:tcPr>
          <w:p>
            <w:pPr>
              <w:jc w:val="right"/>
              <w:ind w:right="796"/>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6"/>
                <w:szCs w:val="16"/>
                <w:color w:val="auto"/>
              </w:rPr>
              <w:t>Program cash</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22"/>
        </w:trPr>
        <w:tc>
          <w:tcPr>
            <w:tcW w:w="7200" w:type="dxa"/>
            <w:vAlign w:val="bottom"/>
          </w:tcPr>
          <w:p>
            <w:pPr>
              <w:spacing w:after="0" w:line="222" w:lineRule="exact"/>
              <w:rPr>
                <w:sz w:val="20"/>
                <w:szCs w:val="20"/>
                <w:color w:val="auto"/>
              </w:rPr>
            </w:pPr>
            <w:r>
              <w:rPr>
                <w:rFonts w:ascii="Arial" w:cs="Arial" w:eastAsia="Arial" w:hAnsi="Arial"/>
                <w:sz w:val="16"/>
                <w:szCs w:val="16"/>
                <w:color w:val="auto"/>
              </w:rPr>
              <w:t xml:space="preserve">Restricted cash </w:t>
            </w:r>
            <w:r>
              <w:rPr>
                <w:rFonts w:ascii="Arial" w:cs="Arial" w:eastAsia="Arial" w:hAnsi="Arial"/>
                <w:sz w:val="21"/>
                <w:szCs w:val="21"/>
                <w:color w:val="auto"/>
                <w:vertAlign w:val="superscript"/>
              </w:rPr>
              <w:t>(a)</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6"/>
        </w:trPr>
        <w:tc>
          <w:tcPr>
            <w:tcW w:w="7200" w:type="dxa"/>
            <w:vAlign w:val="bottom"/>
          </w:tcPr>
          <w:p>
            <w:pPr>
              <w:spacing w:after="0"/>
              <w:rPr>
                <w:sz w:val="20"/>
                <w:szCs w:val="20"/>
                <w:color w:val="auto"/>
              </w:rPr>
            </w:pPr>
            <w:r>
              <w:rPr>
                <w:rFonts w:ascii="Arial" w:cs="Arial" w:eastAsia="Arial" w:hAnsi="Arial"/>
                <w:sz w:val="16"/>
                <w:szCs w:val="16"/>
                <w:color w:val="auto"/>
              </w:rPr>
              <w:t>Total cash and cash equivalents, program and restricted cash</w:t>
            </w:r>
          </w:p>
        </w:tc>
        <w:tc>
          <w:tcPr>
            <w:tcW w:w="980" w:type="dxa"/>
            <w:vAlign w:val="bottom"/>
            <w:tcBorders>
              <w:bottom w:val="single" w:sz="8" w:color="auto"/>
            </w:tcBorders>
          </w:tcPr>
          <w:p>
            <w:pPr>
              <w:jc w:val="right"/>
              <w:ind w:right="795"/>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24"/>
        </w:trPr>
        <w:tc>
          <w:tcPr>
            <w:tcW w:w="7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w:t>
      </w:r>
    </w:p>
    <w:p>
      <w:pPr>
        <w:spacing w:after="0" w:line="20" w:lineRule="exact"/>
        <w:rPr>
          <w:sz w:val="20"/>
          <w:szCs w:val="20"/>
          <w:color w:val="auto"/>
        </w:rPr>
      </w:pPr>
    </w:p>
    <w:p>
      <w:pPr>
        <w:ind w:left="762" w:hanging="326"/>
        <w:spacing w:after="0"/>
        <w:tabs>
          <w:tab w:leader="none" w:pos="762" w:val="left"/>
        </w:tabs>
        <w:numPr>
          <w:ilvl w:val="0"/>
          <w:numId w:val="6"/>
        </w:numPr>
        <w:rPr>
          <w:rFonts w:ascii="Arial" w:cs="Arial" w:eastAsia="Arial" w:hAnsi="Arial"/>
          <w:sz w:val="9"/>
          <w:szCs w:val="9"/>
          <w:color w:val="auto"/>
        </w:rPr>
      </w:pPr>
      <w:r>
        <w:rPr>
          <w:rFonts w:ascii="Arial" w:cs="Arial" w:eastAsia="Arial" w:hAnsi="Arial"/>
          <w:sz w:val="14"/>
          <w:szCs w:val="14"/>
          <w:color w:val="auto"/>
        </w:rPr>
        <w:t>Included within other current assets.</w:t>
      </w:r>
    </w:p>
    <w:p>
      <w:pPr>
        <w:spacing w:after="0" w:line="200" w:lineRule="exact"/>
        <w:rPr>
          <w:sz w:val="20"/>
          <w:szCs w:val="20"/>
          <w:color w:val="auto"/>
        </w:rPr>
      </w:pPr>
    </w:p>
    <w:p>
      <w:pPr>
        <w:spacing w:after="0" w:line="391"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27" w:right="339" w:bottom="1440" w:gutter="0" w:footer="0" w:header="0"/>
        </w:sectPr>
      </w:pPr>
    </w:p>
    <w:bookmarkStart w:id="11" w:name="page12"/>
    <w:bookmarkEnd w:id="11"/>
    <w:p>
      <w:pPr>
        <w:jc w:val="both"/>
        <w:spacing w:after="0" w:line="256"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We present separately the financial data of our vehicle programs. These programs are distinct from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Transaction-related costs, net. </w:t>
      </w:r>
      <w:r>
        <w:rPr>
          <w:rFonts w:ascii="Arial" w:cs="Arial" w:eastAsia="Arial" w:hAnsi="Arial"/>
          <w:sz w:val="18"/>
          <w:szCs w:val="18"/>
          <w:color w:val="auto"/>
        </w:rPr>
        <w:t>Transaction-related costs, net are classified separately in the Consolidated Condensed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These costs are comprised of expenses primarily related to acquisition-related activities such as due diligence and other advisory costs, expenses related to the integration of the acquiree’s operations with those of our operations, including the implementation of best practices and process improvements, non-cash gains and losses related to re-acquired rights, expenses related to pre-acquisition contingencies and contingent consideration related to acquisitions.</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Currency Transactions. </w:t>
      </w:r>
      <w:r>
        <w:rPr>
          <w:rFonts w:ascii="Arial" w:cs="Arial" w:eastAsia="Arial" w:hAnsi="Arial"/>
          <w:sz w:val="18"/>
          <w:szCs w:val="18"/>
          <w:color w:val="auto"/>
        </w:rPr>
        <w:t>We record the gain or loss on foreign currency transactions on certain intercompany loans and the gain or loss</w:t>
      </w:r>
      <w:r>
        <w:rPr>
          <w:rFonts w:ascii="Arial" w:cs="Arial" w:eastAsia="Arial" w:hAnsi="Arial"/>
          <w:sz w:val="18"/>
          <w:szCs w:val="18"/>
          <w:i w:val="1"/>
          <w:iCs w:val="1"/>
          <w:color w:val="auto"/>
        </w:rPr>
        <w:t xml:space="preserve"> </w:t>
      </w:r>
      <w:r>
        <w:rPr>
          <w:rFonts w:ascii="Arial" w:cs="Arial" w:eastAsia="Arial" w:hAnsi="Arial"/>
          <w:sz w:val="18"/>
          <w:szCs w:val="18"/>
          <w:color w:val="auto"/>
        </w:rPr>
        <w:t>on intercompany loan hedges within interest expense related to corporate debt, net.</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In February 2022, we completed the sale of our operations in the United States Virgin Islands for $13 million, for the right</w:t>
      </w:r>
      <w:r>
        <w:rPr>
          <w:rFonts w:ascii="Arial" w:cs="Arial" w:eastAsia="Arial" w:hAnsi="Arial"/>
          <w:sz w:val="18"/>
          <w:szCs w:val="18"/>
          <w:i w:val="1"/>
          <w:iCs w:val="1"/>
          <w:color w:val="auto"/>
        </w:rPr>
        <w:t xml:space="preserve"> </w:t>
      </w:r>
      <w:r>
        <w:rPr>
          <w:rFonts w:ascii="Arial" w:cs="Arial" w:eastAsia="Arial" w:hAnsi="Arial"/>
          <w:sz w:val="18"/>
          <w:szCs w:val="18"/>
          <w:color w:val="auto"/>
        </w:rPr>
        <w:t>to operate the Avis brand. During the nine months ended September 30, 2022, we recorded a gain of $2 million within restructuring and other related charges.</w:t>
      </w:r>
    </w:p>
    <w:p>
      <w:pPr>
        <w:spacing w:after="0" w:line="20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March 2022, we completed the sale of our operations in the Netherlands for $15 million, subject to working capital adjustments, for the right to operate the Avis and Budget brands. During the nine months ended September 30, 2022, we recorded a loss of $7 million, net of impact of foreign currency adjustments, within restructuring and other related charges. The Netherlands operations were reported within our International reporting segment.</w:t>
      </w:r>
    </w:p>
    <w:p>
      <w:pPr>
        <w:spacing w:after="0" w:line="21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 xml:space="preserve">Variable Interest Entity (“VIE”). </w:t>
      </w:r>
      <w:r>
        <w:rPr>
          <w:rFonts w:ascii="Arial" w:cs="Arial" w:eastAsia="Arial" w:hAnsi="Arial"/>
          <w:sz w:val="18"/>
          <w:szCs w:val="18"/>
          <w:color w:val="auto"/>
        </w:rPr>
        <w:t>We review our investments to determine if they are VIEs.</w:t>
      </w:r>
      <w:r>
        <w:rPr>
          <w:rFonts w:ascii="Arial" w:cs="Arial" w:eastAsia="Arial" w:hAnsi="Arial"/>
          <w:sz w:val="18"/>
          <w:szCs w:val="18"/>
          <w:i w:val="1"/>
          <w:iCs w:val="1"/>
          <w:color w:val="auto"/>
        </w:rPr>
        <w:t xml:space="preserve"> </w:t>
      </w:r>
      <w:r>
        <w:rPr>
          <w:rFonts w:ascii="Arial" w:cs="Arial" w:eastAsia="Arial" w:hAnsi="Arial"/>
          <w:sz w:val="18"/>
          <w:szCs w:val="18"/>
          <w:color w:val="212529"/>
        </w:rPr>
        <w:t>A VIE is an entity in which either (i) the equity</w:t>
      </w:r>
      <w:r>
        <w:rPr>
          <w:rFonts w:ascii="Arial" w:cs="Arial" w:eastAsia="Arial" w:hAnsi="Arial"/>
          <w:sz w:val="18"/>
          <w:szCs w:val="18"/>
          <w:i w:val="1"/>
          <w:iCs w:val="1"/>
          <w:color w:val="auto"/>
        </w:rPr>
        <w:t xml:space="preserve"> </w:t>
      </w:r>
      <w:r>
        <w:rPr>
          <w:rFonts w:ascii="Arial" w:cs="Arial" w:eastAsia="Arial" w:hAnsi="Arial"/>
          <w:sz w:val="18"/>
          <w:szCs w:val="18"/>
          <w:color w:val="212529"/>
        </w:rPr>
        <w:t xml:space="preserve">investors as a group lack the power through voting or similar rights to direct the activities of such entity that most significantly impact such entity’s economic performance or (ii) the equity investment at risk is insufficient to finance that entity’s activities without additional subordinated financial support. </w:t>
      </w:r>
      <w:r>
        <w:rPr>
          <w:rFonts w:ascii="Arial" w:cs="Arial" w:eastAsia="Arial" w:hAnsi="Arial"/>
          <w:sz w:val="18"/>
          <w:szCs w:val="18"/>
          <w:color w:val="000000"/>
        </w:rPr>
        <w:t>Entities that are determined to be VIEs are consolidated if we are the primary beneficiary of the entity.</w:t>
      </w:r>
      <w:r>
        <w:rPr>
          <w:rFonts w:ascii="Arial" w:cs="Arial" w:eastAsia="Arial" w:hAnsi="Arial"/>
          <w:sz w:val="18"/>
          <w:szCs w:val="18"/>
          <w:color w:val="212529"/>
        </w:rPr>
        <w:t xml:space="preserve"> </w:t>
      </w:r>
      <w:r>
        <w:rPr>
          <w:rFonts w:ascii="Arial" w:cs="Arial" w:eastAsia="Arial" w:hAnsi="Arial"/>
          <w:sz w:val="18"/>
          <w:szCs w:val="18"/>
          <w:color w:val="000000"/>
        </w:rPr>
        <w:t>The primary beneficiary possesses the power to direct the activities of the VIE that most significantly impact its economic performance and has the obligation to absorb losses or the right to receive benefits from the VIE that are significant to it. We will reconsider our original assessment of a VIE upon the occurrence of certain events such as contributions and redemptions, either by us, or third parties, or amendments to an entity’s governing documents. On an ongoing basis, we reconsider whether we are deemed to be a VIE’s primary beneficiary. See Note 15 – Related Party Transactions for our VIE investment in our former subsidiary.</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As of September 30, 2023 and December 31, 2022, we had equity method investments with a carrying value of $89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$77 million, respectively, which are included in other non-current assets. Earnings from our equity method investments are included within operating expenses. For the three months ended September 30, 2023 and 2022, we recorded $7 million related to our equity method investments in each period. For the nine months ended September 30, 2023 and 2022, we recorded $11 million and $10 million related to our equity method investments, respectively. See Note 15 – Related Party Transactions for our equity method investment in our former subsidiary.</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are recognized under “Leases (Topic 842),” with the exception of royalty fee revenue derived from our licensees</w:t>
      </w:r>
      <w:r>
        <w:rPr>
          <w:rFonts w:ascii="Arial" w:cs="Arial" w:eastAsia="Arial" w:hAnsi="Arial"/>
          <w:sz w:val="18"/>
          <w:szCs w:val="18"/>
          <w:i w:val="1"/>
          <w:iCs w:val="1"/>
          <w:color w:val="auto"/>
        </w:rPr>
        <w:t xml:space="preserve"> </w:t>
      </w:r>
      <w:r>
        <w:rPr>
          <w:rFonts w:ascii="Arial" w:cs="Arial" w:eastAsia="Arial" w:hAnsi="Arial"/>
          <w:sz w:val="18"/>
          <w:szCs w:val="18"/>
          <w:color w:val="auto"/>
        </w:rPr>
        <w:t>and revenue related to our customer loyalty program, which were approximately $53 million and $51 million during the three months ended September 30, 2023 and 2022, respectively, and $139 million and $127 million during the nine months ended September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69850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1174" w:right="339" w:bottom="1440" w:gutter="0" w:footer="0" w:header="0"/>
        </w:sectPr>
      </w:pPr>
    </w:p>
    <w:bookmarkStart w:id="12" w:name="page13"/>
    <w:bookmarkEnd w:id="12"/>
    <w:p>
      <w:pPr>
        <w:ind w:left="442"/>
        <w:spacing w:after="0"/>
        <w:rPr>
          <w:sz w:val="20"/>
          <w:szCs w:val="20"/>
          <w:color w:val="auto"/>
        </w:rPr>
      </w:pPr>
      <w:r>
        <w:rPr>
          <w:rFonts w:ascii="Arial" w:cs="Arial" w:eastAsia="Arial" w:hAnsi="Arial"/>
          <w:sz w:val="18"/>
          <w:szCs w:val="18"/>
          <w:color w:val="auto"/>
        </w:rPr>
        <w:t>The following table presents our revenues disaggregated by geography:</w:t>
      </w:r>
    </w:p>
    <w:p>
      <w:pPr>
        <w:spacing w:after="0" w:line="17" w:lineRule="exact"/>
        <w:rPr>
          <w:sz w:val="20"/>
          <w:szCs w:val="20"/>
          <w:color w:val="auto"/>
        </w:rPr>
      </w:pPr>
    </w:p>
    <w:tbl>
      <w:tblPr>
        <w:tblLayout w:type="fixed"/>
        <w:tblInd w:w="462"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2400" w:type="dxa"/>
            <w:vAlign w:val="bottom"/>
            <w:gridSpan w:val="4"/>
          </w:tcPr>
          <w:p>
            <w:pPr>
              <w:jc w:val="right"/>
              <w:ind w:right="16"/>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4"/>
          </w:tcPr>
          <w:p>
            <w:pPr>
              <w:jc w:val="right"/>
              <w:ind w:right="557"/>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4220" w:type="dxa"/>
            <w:vAlign w:val="bottom"/>
          </w:tcPr>
          <w:p>
            <w:pPr>
              <w:spacing w:after="0"/>
              <w:rPr>
                <w:sz w:val="21"/>
                <w:szCs w:val="21"/>
                <w:color w:val="auto"/>
              </w:rPr>
            </w:pPr>
          </w:p>
        </w:tc>
        <w:tc>
          <w:tcPr>
            <w:tcW w:w="240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8"/>
                <w:szCs w:val="18"/>
                <w:b w:val="1"/>
                <w:bCs w:val="1"/>
                <w:color w:val="auto"/>
              </w:rPr>
              <w:t>September 30,</w:t>
            </w: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2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2022</w:t>
            </w:r>
          </w:p>
        </w:tc>
      </w:tr>
      <w:tr>
        <w:trPr>
          <w:trHeight w:val="203"/>
        </w:trPr>
        <w:tc>
          <w:tcPr>
            <w:tcW w:w="4220" w:type="dxa"/>
            <w:vAlign w:val="bottom"/>
          </w:tcPr>
          <w:p>
            <w:pPr>
              <w:spacing w:after="0"/>
              <w:rPr>
                <w:sz w:val="20"/>
                <w:szCs w:val="20"/>
                <w:color w:val="auto"/>
              </w:rPr>
            </w:pPr>
            <w:r>
              <w:rPr>
                <w:rFonts w:ascii="Arial" w:cs="Arial" w:eastAsia="Arial" w:hAnsi="Arial"/>
                <w:sz w:val="16"/>
                <w:szCs w:val="16"/>
                <w:color w:val="auto"/>
              </w:rPr>
              <w:t>Americas</w:t>
            </w:r>
          </w:p>
        </w:tc>
        <w:tc>
          <w:tcPr>
            <w:tcW w:w="900" w:type="dxa"/>
            <w:vAlign w:val="bottom"/>
          </w:tcPr>
          <w:p>
            <w:pPr>
              <w:jc w:val="right"/>
              <w:ind w:right="714"/>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2,736</w:t>
            </w:r>
          </w:p>
        </w:tc>
        <w:tc>
          <w:tcPr>
            <w:tcW w:w="120" w:type="dxa"/>
            <w:vAlign w:val="bottom"/>
          </w:tcPr>
          <w:p>
            <w:pPr>
              <w:spacing w:after="0"/>
              <w:rPr>
                <w:sz w:val="17"/>
                <w:szCs w:val="17"/>
                <w:color w:val="auto"/>
              </w:rPr>
            </w:pPr>
          </w:p>
        </w:tc>
        <w:tc>
          <w:tcPr>
            <w:tcW w:w="900" w:type="dxa"/>
            <w:vAlign w:val="bottom"/>
          </w:tcPr>
          <w:p>
            <w:pPr>
              <w:jc w:val="right"/>
              <w:ind w:right="716"/>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2,703</w:t>
            </w:r>
          </w:p>
        </w:tc>
        <w:tc>
          <w:tcPr>
            <w:tcW w:w="10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7,180</w:t>
            </w:r>
          </w:p>
        </w:tc>
        <w:tc>
          <w:tcPr>
            <w:tcW w:w="12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7,270</w:t>
            </w:r>
          </w:p>
        </w:tc>
      </w:tr>
      <w:tr>
        <w:trPr>
          <w:trHeight w:val="216"/>
        </w:trPr>
        <w:tc>
          <w:tcPr>
            <w:tcW w:w="4220" w:type="dxa"/>
            <w:vAlign w:val="bottom"/>
          </w:tcPr>
          <w:p>
            <w:pPr>
              <w:spacing w:after="0"/>
              <w:rPr>
                <w:sz w:val="20"/>
                <w:szCs w:val="20"/>
                <w:color w:val="auto"/>
              </w:rPr>
            </w:pPr>
            <w:r>
              <w:rPr>
                <w:rFonts w:ascii="Arial" w:cs="Arial" w:eastAsia="Arial" w:hAnsi="Arial"/>
                <w:sz w:val="16"/>
                <w:szCs w:val="16"/>
                <w:color w:val="auto"/>
              </w:rPr>
              <w:t>Europe, Middle East and Africa</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672</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1,527</w:t>
            </w:r>
          </w:p>
        </w:tc>
      </w:tr>
      <w:tr>
        <w:trPr>
          <w:trHeight w:val="219"/>
        </w:trPr>
        <w:tc>
          <w:tcPr>
            <w:tcW w:w="4220" w:type="dxa"/>
            <w:vAlign w:val="bottom"/>
          </w:tcPr>
          <w:p>
            <w:pPr>
              <w:spacing w:after="0"/>
              <w:rPr>
                <w:sz w:val="20"/>
                <w:szCs w:val="20"/>
                <w:color w:val="auto"/>
              </w:rPr>
            </w:pPr>
            <w:r>
              <w:rPr>
                <w:rFonts w:ascii="Arial" w:cs="Arial" w:eastAsia="Arial" w:hAnsi="Arial"/>
                <w:sz w:val="16"/>
                <w:szCs w:val="16"/>
                <w:color w:val="auto"/>
              </w:rPr>
              <w:t>Asia and Australasia</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w:t>
            </w:r>
          </w:p>
        </w:tc>
      </w:tr>
      <w:tr>
        <w:trPr>
          <w:trHeight w:val="213"/>
        </w:trPr>
        <w:tc>
          <w:tcPr>
            <w:tcW w:w="4220" w:type="dxa"/>
            <w:vAlign w:val="bottom"/>
          </w:tcPr>
          <w:p>
            <w:pPr>
              <w:spacing w:after="0"/>
              <w:rPr>
                <w:sz w:val="20"/>
                <w:szCs w:val="20"/>
                <w:color w:val="auto"/>
              </w:rPr>
            </w:pPr>
            <w:r>
              <w:rPr>
                <w:rFonts w:ascii="Arial" w:cs="Arial" w:eastAsia="Arial" w:hAnsi="Arial"/>
                <w:sz w:val="16"/>
                <w:szCs w:val="16"/>
                <w:color w:val="auto"/>
              </w:rPr>
              <w:t>Total revenues</w:t>
            </w:r>
          </w:p>
        </w:tc>
        <w:tc>
          <w:tcPr>
            <w:tcW w:w="900" w:type="dxa"/>
            <w:vAlign w:val="bottom"/>
            <w:tcBorders>
              <w:bottom w:val="single" w:sz="8" w:color="auto"/>
            </w:tcBorders>
          </w:tcPr>
          <w:p>
            <w:pPr>
              <w:jc w:val="right"/>
              <w:ind w:right="71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3,564</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3,547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9,244</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9,223</w:t>
            </w:r>
          </w:p>
        </w:tc>
      </w:tr>
      <w:tr>
        <w:trPr>
          <w:trHeight w:val="20"/>
        </w:trPr>
        <w:tc>
          <w:tcPr>
            <w:tcW w:w="4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following table presents our revenues disaggregated by brand:</w:t>
      </w:r>
    </w:p>
    <w:p>
      <w:pPr>
        <w:spacing w:after="0" w:line="17" w:lineRule="exact"/>
        <w:rPr>
          <w:sz w:val="20"/>
          <w:szCs w:val="20"/>
          <w:color w:val="auto"/>
        </w:rPr>
      </w:pPr>
    </w:p>
    <w:tbl>
      <w:tblPr>
        <w:tblLayout w:type="fixed"/>
        <w:tblInd w:w="462"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2400" w:type="dxa"/>
            <w:vAlign w:val="bottom"/>
            <w:gridSpan w:val="4"/>
          </w:tcPr>
          <w:p>
            <w:pPr>
              <w:jc w:val="right"/>
              <w:ind w:right="16"/>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4"/>
          </w:tcPr>
          <w:p>
            <w:pPr>
              <w:jc w:val="right"/>
              <w:ind w:right="557"/>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4220" w:type="dxa"/>
            <w:vAlign w:val="bottom"/>
          </w:tcPr>
          <w:p>
            <w:pPr>
              <w:spacing w:after="0"/>
              <w:rPr>
                <w:sz w:val="21"/>
                <w:szCs w:val="21"/>
                <w:color w:val="auto"/>
              </w:rPr>
            </w:pPr>
          </w:p>
        </w:tc>
        <w:tc>
          <w:tcPr>
            <w:tcW w:w="240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8"/>
                <w:szCs w:val="18"/>
                <w:b w:val="1"/>
                <w:bCs w:val="1"/>
                <w:color w:val="auto"/>
              </w:rPr>
              <w:t>September 30,</w:t>
            </w: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2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2022</w:t>
            </w:r>
          </w:p>
        </w:tc>
      </w:tr>
      <w:tr>
        <w:trPr>
          <w:trHeight w:val="204"/>
        </w:trPr>
        <w:tc>
          <w:tcPr>
            <w:tcW w:w="4220" w:type="dxa"/>
            <w:vAlign w:val="bottom"/>
          </w:tcPr>
          <w:p>
            <w:pPr>
              <w:spacing w:after="0"/>
              <w:rPr>
                <w:sz w:val="20"/>
                <w:szCs w:val="20"/>
                <w:color w:val="auto"/>
              </w:rPr>
            </w:pPr>
            <w:r>
              <w:rPr>
                <w:rFonts w:ascii="Arial" w:cs="Arial" w:eastAsia="Arial" w:hAnsi="Arial"/>
                <w:sz w:val="16"/>
                <w:szCs w:val="16"/>
                <w:color w:val="auto"/>
              </w:rPr>
              <w:t>Avis</w:t>
            </w:r>
          </w:p>
        </w:tc>
        <w:tc>
          <w:tcPr>
            <w:tcW w:w="900" w:type="dxa"/>
            <w:vAlign w:val="bottom"/>
          </w:tcPr>
          <w:p>
            <w:pPr>
              <w:jc w:val="right"/>
              <w:ind w:right="714"/>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2,043</w:t>
            </w:r>
          </w:p>
        </w:tc>
        <w:tc>
          <w:tcPr>
            <w:tcW w:w="120" w:type="dxa"/>
            <w:vAlign w:val="bottom"/>
          </w:tcPr>
          <w:p>
            <w:pPr>
              <w:spacing w:after="0"/>
              <w:rPr>
                <w:sz w:val="17"/>
                <w:szCs w:val="17"/>
                <w:color w:val="auto"/>
              </w:rPr>
            </w:pPr>
          </w:p>
        </w:tc>
        <w:tc>
          <w:tcPr>
            <w:tcW w:w="900" w:type="dxa"/>
            <w:vAlign w:val="bottom"/>
          </w:tcPr>
          <w:p>
            <w:pPr>
              <w:jc w:val="right"/>
              <w:ind w:right="716"/>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1,958</w:t>
            </w:r>
          </w:p>
        </w:tc>
        <w:tc>
          <w:tcPr>
            <w:tcW w:w="10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5,206</w:t>
            </w:r>
          </w:p>
        </w:tc>
        <w:tc>
          <w:tcPr>
            <w:tcW w:w="12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4,992</w:t>
            </w:r>
          </w:p>
        </w:tc>
      </w:tr>
      <w:tr>
        <w:trPr>
          <w:trHeight w:val="216"/>
        </w:trPr>
        <w:tc>
          <w:tcPr>
            <w:tcW w:w="4220" w:type="dxa"/>
            <w:vAlign w:val="bottom"/>
          </w:tcPr>
          <w:p>
            <w:pPr>
              <w:spacing w:after="0"/>
              <w:rPr>
                <w:sz w:val="20"/>
                <w:szCs w:val="20"/>
                <w:color w:val="auto"/>
              </w:rPr>
            </w:pPr>
            <w:r>
              <w:rPr>
                <w:rFonts w:ascii="Arial" w:cs="Arial" w:eastAsia="Arial" w:hAnsi="Arial"/>
                <w:sz w:val="16"/>
                <w:szCs w:val="16"/>
                <w:color w:val="auto"/>
              </w:rPr>
              <w:t>Budget</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1,314</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1,371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3,637</w:t>
            </w:r>
          </w:p>
        </w:tc>
      </w:tr>
      <w:tr>
        <w:trPr>
          <w:trHeight w:val="219"/>
        </w:trPr>
        <w:tc>
          <w:tcPr>
            <w:tcW w:w="4220" w:type="dxa"/>
            <w:vAlign w:val="bottom"/>
          </w:tcPr>
          <w:p>
            <w:pPr>
              <w:spacing w:after="0"/>
              <w:rPr>
                <w:sz w:val="20"/>
                <w:szCs w:val="20"/>
                <w:color w:val="auto"/>
              </w:rPr>
            </w:pPr>
            <w:r>
              <w:rPr>
                <w:rFonts w:ascii="Arial" w:cs="Arial" w:eastAsia="Arial" w:hAnsi="Arial"/>
                <w:sz w:val="16"/>
                <w:szCs w:val="16"/>
                <w:color w:val="auto"/>
              </w:rPr>
              <w:t>Other</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w:t>
            </w:r>
          </w:p>
        </w:tc>
      </w:tr>
      <w:tr>
        <w:trPr>
          <w:trHeight w:val="212"/>
        </w:trPr>
        <w:tc>
          <w:tcPr>
            <w:tcW w:w="4220" w:type="dxa"/>
            <w:vAlign w:val="bottom"/>
          </w:tcPr>
          <w:p>
            <w:pPr>
              <w:spacing w:after="0"/>
              <w:rPr>
                <w:sz w:val="20"/>
                <w:szCs w:val="20"/>
                <w:color w:val="auto"/>
              </w:rPr>
            </w:pPr>
            <w:r>
              <w:rPr>
                <w:rFonts w:ascii="Arial" w:cs="Arial" w:eastAsia="Arial" w:hAnsi="Arial"/>
                <w:sz w:val="16"/>
                <w:szCs w:val="16"/>
                <w:color w:val="auto"/>
              </w:rPr>
              <w:t>Total revenues</w:t>
            </w:r>
          </w:p>
        </w:tc>
        <w:tc>
          <w:tcPr>
            <w:tcW w:w="900" w:type="dxa"/>
            <w:vAlign w:val="bottom"/>
            <w:tcBorders>
              <w:bottom w:val="single" w:sz="8" w:color="auto"/>
            </w:tcBorders>
          </w:tcPr>
          <w:p>
            <w:pPr>
              <w:jc w:val="right"/>
              <w:ind w:right="71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3,564</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3,547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9,244</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9,223</w:t>
            </w:r>
          </w:p>
        </w:tc>
      </w:tr>
      <w:tr>
        <w:trPr>
          <w:trHeight w:val="21"/>
        </w:trPr>
        <w:tc>
          <w:tcPr>
            <w:tcW w:w="4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442"/>
        <w:spacing w:after="0"/>
        <w:rPr>
          <w:sz w:val="20"/>
          <w:szCs w:val="20"/>
          <w:color w:val="auto"/>
        </w:rPr>
      </w:pPr>
      <w:r>
        <w:rPr>
          <w:rFonts w:ascii="Arial" w:cs="Arial" w:eastAsia="Arial" w:hAnsi="Arial"/>
          <w:sz w:val="14"/>
          <w:szCs w:val="14"/>
          <w:color w:val="auto"/>
        </w:rPr>
        <w:t>________</w:t>
      </w:r>
    </w:p>
    <w:p>
      <w:pPr>
        <w:spacing w:after="0" w:line="11" w:lineRule="exact"/>
        <w:rPr>
          <w:sz w:val="20"/>
          <w:szCs w:val="20"/>
          <w:color w:val="auto"/>
        </w:rPr>
      </w:pPr>
    </w:p>
    <w:p>
      <w:pPr>
        <w:ind w:left="442"/>
        <w:spacing w:after="0"/>
        <w:rPr>
          <w:sz w:val="20"/>
          <w:szCs w:val="20"/>
          <w:color w:val="auto"/>
        </w:rPr>
      </w:pPr>
      <w:r>
        <w:rPr>
          <w:rFonts w:ascii="Arial" w:cs="Arial" w:eastAsia="Arial" w:hAnsi="Arial"/>
          <w:sz w:val="14"/>
          <w:szCs w:val="14"/>
          <w:color w:val="auto"/>
        </w:rPr>
        <w:t>Other includes Zipcar and other operating brands.</w:t>
      </w:r>
    </w:p>
    <w:p>
      <w:pPr>
        <w:spacing w:after="0" w:line="230"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56" w:lineRule="exact"/>
        <w:rPr>
          <w:sz w:val="20"/>
          <w:szCs w:val="20"/>
          <w:color w:val="auto"/>
        </w:rPr>
      </w:pPr>
    </w:p>
    <w:p>
      <w:pPr>
        <w:ind w:left="442"/>
        <w:spacing w:after="0"/>
        <w:rPr>
          <w:sz w:val="20"/>
          <w:szCs w:val="20"/>
          <w:color w:val="auto"/>
        </w:rPr>
      </w:pPr>
      <w:r>
        <w:rPr>
          <w:rFonts w:ascii="Arial" w:cs="Arial" w:eastAsia="Arial" w:hAnsi="Arial"/>
          <w:sz w:val="18"/>
          <w:szCs w:val="18"/>
          <w:i w:val="1"/>
          <w:iCs w:val="1"/>
          <w:color w:val="auto"/>
        </w:rPr>
        <w:t>Accounting for Contract Assets and Contract Liabilities from Contracts with Customers</w:t>
      </w:r>
    </w:p>
    <w:p>
      <w:pPr>
        <w:spacing w:after="0" w:line="258" w:lineRule="exact"/>
        <w:rPr>
          <w:sz w:val="20"/>
          <w:szCs w:val="20"/>
          <w:color w:val="auto"/>
        </w:rPr>
      </w:pPr>
    </w:p>
    <w:p>
      <w:pPr>
        <w:jc w:val="both"/>
        <w:ind w:left="442"/>
        <w:spacing w:after="0" w:line="255" w:lineRule="auto"/>
        <w:rPr>
          <w:sz w:val="20"/>
          <w:szCs w:val="20"/>
          <w:color w:val="auto"/>
        </w:rPr>
      </w:pPr>
      <w:r>
        <w:rPr>
          <w:rFonts w:ascii="Arial" w:cs="Arial" w:eastAsia="Arial" w:hAnsi="Arial"/>
          <w:sz w:val="18"/>
          <w:szCs w:val="18"/>
          <w:color w:val="auto"/>
        </w:rPr>
        <w:t>In October 2021, the Financial Accounting Standards Board (“FASB”) issued Accounting Standard Update (“ASU”) 2021-08, “Accounting for Contract Assets and Contract Liabilities from Contracts with Customers,” which amends Topic 805 to add contract assets and contract liabilities to the list of exceptions to the recognition and measurement principles that apply to business combinations and to require an acquirer to recognize and measure contract assets and contract liabilities acquired in a business combination in accordance with Topic 606. ASU 2021-08 became effective for us on January 1, 2023. The adoption of this accounting pronouncement did not have a material impact on our Consolidated Condensed Financial Statements.</w:t>
      </w:r>
    </w:p>
    <w:p>
      <w:pPr>
        <w:spacing w:after="0" w:line="209" w:lineRule="exact"/>
        <w:rPr>
          <w:sz w:val="20"/>
          <w:szCs w:val="20"/>
          <w:color w:val="auto"/>
        </w:rPr>
      </w:pPr>
    </w:p>
    <w:p>
      <w:pPr>
        <w:jc w:val="right"/>
        <w:ind w:left="442" w:right="10160" w:hanging="442"/>
        <w:spacing w:after="0" w:line="333" w:lineRule="auto"/>
        <w:tabs>
          <w:tab w:leader="none" w:pos="356"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Leases </w:t>
      </w:r>
      <w:r>
        <w:rPr>
          <w:rFonts w:ascii="Arial" w:cs="Arial" w:eastAsia="Arial" w:hAnsi="Arial"/>
          <w:sz w:val="17"/>
          <w:szCs w:val="17"/>
          <w:b w:val="1"/>
          <w:bCs w:val="1"/>
          <w:i w:val="1"/>
          <w:iCs w:val="1"/>
          <w:color w:val="auto"/>
        </w:rPr>
        <w:t>Lessor</w:t>
      </w:r>
    </w:p>
    <w:p>
      <w:pPr>
        <w:spacing w:after="0" w:line="143"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following table presents our lease revenues disaggregated by geography:</w:t>
      </w:r>
    </w:p>
    <w:p>
      <w:pPr>
        <w:spacing w:after="0" w:line="22" w:lineRule="exact"/>
        <w:rPr>
          <w:sz w:val="20"/>
          <w:szCs w:val="20"/>
          <w:color w:val="auto"/>
        </w:rPr>
      </w:pPr>
    </w:p>
    <w:tbl>
      <w:tblPr>
        <w:tblLayout w:type="fixed"/>
        <w:tblInd w:w="462" w:type="dxa"/>
        <w:tblCellMar>
          <w:top w:w="0" w:type="dxa"/>
          <w:left w:w="0" w:type="dxa"/>
          <w:bottom w:w="0" w:type="dxa"/>
          <w:right w:w="0" w:type="dxa"/>
        </w:tblCellMar>
      </w:tblPr>
      <w:tr>
        <w:trPr>
          <w:trHeight w:val="207"/>
        </w:trPr>
        <w:tc>
          <w:tcPr>
            <w:tcW w:w="4180" w:type="dxa"/>
            <w:vAlign w:val="bottom"/>
          </w:tcPr>
          <w:p>
            <w:pPr>
              <w:spacing w:after="0"/>
              <w:rPr>
                <w:sz w:val="18"/>
                <w:szCs w:val="18"/>
                <w:color w:val="auto"/>
              </w:rPr>
            </w:pPr>
          </w:p>
        </w:tc>
        <w:tc>
          <w:tcPr>
            <w:tcW w:w="2440" w:type="dxa"/>
            <w:vAlign w:val="bottom"/>
            <w:gridSpan w:val="4"/>
          </w:tcPr>
          <w:p>
            <w:pPr>
              <w:jc w:val="right"/>
              <w:ind w:right="16"/>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4"/>
          </w:tcPr>
          <w:p>
            <w:pPr>
              <w:jc w:val="right"/>
              <w:ind w:right="557"/>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4180" w:type="dxa"/>
            <w:vAlign w:val="bottom"/>
          </w:tcPr>
          <w:p>
            <w:pPr>
              <w:spacing w:after="0"/>
              <w:rPr>
                <w:sz w:val="20"/>
                <w:szCs w:val="20"/>
                <w:color w:val="auto"/>
              </w:rPr>
            </w:pPr>
          </w:p>
        </w:tc>
        <w:tc>
          <w:tcPr>
            <w:tcW w:w="244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8"/>
                <w:szCs w:val="18"/>
                <w:b w:val="1"/>
                <w:bCs w:val="1"/>
                <w:color w:val="auto"/>
              </w:rPr>
              <w:t>September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1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2022</w:t>
            </w:r>
          </w:p>
        </w:tc>
      </w:tr>
      <w:tr>
        <w:trPr>
          <w:trHeight w:val="203"/>
        </w:trPr>
        <w:tc>
          <w:tcPr>
            <w:tcW w:w="4180" w:type="dxa"/>
            <w:vAlign w:val="bottom"/>
          </w:tcPr>
          <w:p>
            <w:pPr>
              <w:spacing w:after="0"/>
              <w:rPr>
                <w:sz w:val="20"/>
                <w:szCs w:val="20"/>
                <w:color w:val="auto"/>
              </w:rPr>
            </w:pPr>
            <w:r>
              <w:rPr>
                <w:rFonts w:ascii="Arial" w:cs="Arial" w:eastAsia="Arial" w:hAnsi="Arial"/>
                <w:sz w:val="16"/>
                <w:szCs w:val="16"/>
                <w:color w:val="auto"/>
              </w:rPr>
              <w:t>Americas</w:t>
            </w:r>
          </w:p>
        </w:tc>
        <w:tc>
          <w:tcPr>
            <w:tcW w:w="920" w:type="dxa"/>
            <w:vAlign w:val="bottom"/>
          </w:tcPr>
          <w:p>
            <w:pPr>
              <w:jc w:val="right"/>
              <w:ind w:right="714"/>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2,715</w:t>
            </w:r>
          </w:p>
        </w:tc>
        <w:tc>
          <w:tcPr>
            <w:tcW w:w="140" w:type="dxa"/>
            <w:vAlign w:val="bottom"/>
          </w:tcPr>
          <w:p>
            <w:pPr>
              <w:spacing w:after="0"/>
              <w:rPr>
                <w:sz w:val="17"/>
                <w:szCs w:val="17"/>
                <w:color w:val="auto"/>
              </w:rPr>
            </w:pPr>
          </w:p>
        </w:tc>
        <w:tc>
          <w:tcPr>
            <w:tcW w:w="900" w:type="dxa"/>
            <w:vAlign w:val="bottom"/>
          </w:tcPr>
          <w:p>
            <w:pPr>
              <w:jc w:val="right"/>
              <w:ind w:right="716"/>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2,682</w:t>
            </w:r>
          </w:p>
        </w:tc>
        <w:tc>
          <w:tcPr>
            <w:tcW w:w="10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7,120</w:t>
            </w:r>
          </w:p>
        </w:tc>
        <w:tc>
          <w:tcPr>
            <w:tcW w:w="12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7,216</w:t>
            </w: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Europe, Middle East and Africa</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646</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1,468</w:t>
            </w:r>
          </w:p>
        </w:tc>
      </w:tr>
      <w:tr>
        <w:trPr>
          <w:trHeight w:val="219"/>
        </w:trPr>
        <w:tc>
          <w:tcPr>
            <w:tcW w:w="4180" w:type="dxa"/>
            <w:vAlign w:val="bottom"/>
          </w:tcPr>
          <w:p>
            <w:pPr>
              <w:spacing w:after="0"/>
              <w:rPr>
                <w:sz w:val="20"/>
                <w:szCs w:val="20"/>
                <w:color w:val="auto"/>
              </w:rPr>
            </w:pPr>
            <w:r>
              <w:rPr>
                <w:rFonts w:ascii="Arial" w:cs="Arial" w:eastAsia="Arial" w:hAnsi="Arial"/>
                <w:sz w:val="16"/>
                <w:szCs w:val="16"/>
                <w:color w:val="auto"/>
              </w:rPr>
              <w:t>Asia and Australasia</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w:t>
            </w: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Total lease revenues</w:t>
            </w:r>
          </w:p>
        </w:tc>
        <w:tc>
          <w:tcPr>
            <w:tcW w:w="920" w:type="dxa"/>
            <w:vAlign w:val="bottom"/>
            <w:tcBorders>
              <w:bottom w:val="single" w:sz="8" w:color="auto"/>
            </w:tcBorders>
          </w:tcPr>
          <w:p>
            <w:pPr>
              <w:jc w:val="right"/>
              <w:ind w:right="714"/>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3,511</w:t>
            </w: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3,496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9,105</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9,096</w:t>
            </w:r>
          </w:p>
        </w:tc>
      </w:tr>
      <w:tr>
        <w:trPr>
          <w:trHeight w:val="20"/>
        </w:trPr>
        <w:tc>
          <w:tcPr>
            <w:tcW w:w="4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7" w:right="339" w:bottom="1440" w:gutter="0" w:footer="0" w:header="0"/>
        </w:sectPr>
      </w:pPr>
    </w:p>
    <w:bookmarkStart w:id="13" w:name="page14"/>
    <w:bookmarkEnd w:id="13"/>
    <w:p>
      <w:pPr>
        <w:ind w:left="6"/>
        <w:spacing w:after="0"/>
        <w:rPr>
          <w:sz w:val="20"/>
          <w:szCs w:val="20"/>
          <w:color w:val="auto"/>
        </w:rPr>
      </w:pPr>
      <w:r>
        <w:rPr>
          <w:rFonts w:ascii="Arial" w:cs="Arial" w:eastAsia="Arial" w:hAnsi="Arial"/>
          <w:sz w:val="18"/>
          <w:szCs w:val="18"/>
          <w:color w:val="auto"/>
        </w:rPr>
        <w:t>The following table presents our lease revenues disaggregated by brand:</w:t>
      </w:r>
    </w:p>
    <w:p>
      <w:pPr>
        <w:spacing w:after="0" w:line="17" w:lineRule="exact"/>
        <w:rPr>
          <w:sz w:val="20"/>
          <w:szCs w:val="20"/>
          <w:color w:val="auto"/>
        </w:rPr>
      </w:pPr>
    </w:p>
    <w:tbl>
      <w:tblPr>
        <w:tblLayout w:type="fixed"/>
        <w:tblInd w:w="26" w:type="dxa"/>
        <w:tblCellMar>
          <w:top w:w="0" w:type="dxa"/>
          <w:left w:w="0" w:type="dxa"/>
          <w:bottom w:w="0" w:type="dxa"/>
          <w:right w:w="0" w:type="dxa"/>
        </w:tblCellMar>
      </w:tblPr>
      <w:tr>
        <w:trPr>
          <w:trHeight w:val="207"/>
        </w:trPr>
        <w:tc>
          <w:tcPr>
            <w:tcW w:w="4180" w:type="dxa"/>
            <w:vAlign w:val="bottom"/>
          </w:tcPr>
          <w:p>
            <w:pPr>
              <w:spacing w:after="0"/>
              <w:rPr>
                <w:sz w:val="17"/>
                <w:szCs w:val="17"/>
                <w:color w:val="auto"/>
              </w:rPr>
            </w:pPr>
          </w:p>
        </w:tc>
        <w:tc>
          <w:tcPr>
            <w:tcW w:w="2440" w:type="dxa"/>
            <w:vAlign w:val="bottom"/>
            <w:gridSpan w:val="4"/>
          </w:tcPr>
          <w:p>
            <w:pPr>
              <w:jc w:val="right"/>
              <w:ind w:right="16"/>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4"/>
          </w:tcPr>
          <w:p>
            <w:pPr>
              <w:jc w:val="right"/>
              <w:ind w:right="56"/>
              <w:spacing w:after="0"/>
              <w:rPr>
                <w:sz w:val="20"/>
                <w:szCs w:val="20"/>
                <w:color w:val="auto"/>
              </w:rPr>
            </w:pPr>
            <w:r>
              <w:rPr>
                <w:rFonts w:ascii="Arial" w:cs="Arial" w:eastAsia="Arial" w:hAnsi="Arial"/>
                <w:sz w:val="18"/>
                <w:szCs w:val="18"/>
                <w:b w:val="1"/>
                <w:bCs w:val="1"/>
                <w:color w:val="auto"/>
              </w:rPr>
              <w:t>Nine Months Ended</w:t>
            </w:r>
          </w:p>
        </w:tc>
        <w:tc>
          <w:tcPr>
            <w:tcW w:w="500" w:type="dxa"/>
            <w:vAlign w:val="bottom"/>
          </w:tcPr>
          <w:p>
            <w:pPr>
              <w:spacing w:after="0"/>
              <w:rPr>
                <w:sz w:val="17"/>
                <w:szCs w:val="17"/>
                <w:color w:val="auto"/>
              </w:rPr>
            </w:pPr>
          </w:p>
        </w:tc>
      </w:tr>
      <w:tr>
        <w:trPr>
          <w:trHeight w:val="243"/>
        </w:trPr>
        <w:tc>
          <w:tcPr>
            <w:tcW w:w="4180" w:type="dxa"/>
            <w:vAlign w:val="bottom"/>
          </w:tcPr>
          <w:p>
            <w:pPr>
              <w:spacing w:after="0"/>
              <w:rPr>
                <w:sz w:val="21"/>
                <w:szCs w:val="21"/>
                <w:color w:val="auto"/>
              </w:rPr>
            </w:pPr>
          </w:p>
        </w:tc>
        <w:tc>
          <w:tcPr>
            <w:tcW w:w="244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8"/>
                <w:szCs w:val="18"/>
                <w:b w:val="1"/>
                <w:bCs w:val="1"/>
                <w:color w:val="auto"/>
              </w:rPr>
              <w:t>September 30,</w:t>
            </w: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2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8"/>
                <w:szCs w:val="18"/>
                <w:b w:val="1"/>
                <w:bCs w:val="1"/>
                <w:color w:val="auto"/>
              </w:rPr>
              <w:t>September 30,</w:t>
            </w:r>
          </w:p>
        </w:tc>
        <w:tc>
          <w:tcPr>
            <w:tcW w:w="500" w:type="dxa"/>
            <w:vAlign w:val="bottom"/>
            <w:tcBorders>
              <w:bottom w:val="single" w:sz="8" w:color="auto"/>
            </w:tcBorders>
          </w:tcPr>
          <w:p>
            <w:pPr>
              <w:spacing w:after="0"/>
              <w:rPr>
                <w:sz w:val="21"/>
                <w:szCs w:val="21"/>
                <w:color w:val="auto"/>
              </w:rPr>
            </w:pPr>
          </w:p>
        </w:tc>
      </w:tr>
      <w:tr>
        <w:trPr>
          <w:trHeight w:val="223"/>
        </w:trPr>
        <w:tc>
          <w:tcPr>
            <w:tcW w:w="41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r>
      <w:tr>
        <w:trPr>
          <w:trHeight w:val="203"/>
        </w:trPr>
        <w:tc>
          <w:tcPr>
            <w:tcW w:w="4180" w:type="dxa"/>
            <w:vAlign w:val="bottom"/>
          </w:tcPr>
          <w:p>
            <w:pPr>
              <w:spacing w:after="0"/>
              <w:rPr>
                <w:sz w:val="20"/>
                <w:szCs w:val="20"/>
                <w:color w:val="auto"/>
              </w:rPr>
            </w:pPr>
            <w:r>
              <w:rPr>
                <w:rFonts w:ascii="Arial" w:cs="Arial" w:eastAsia="Arial" w:hAnsi="Arial"/>
                <w:sz w:val="16"/>
                <w:szCs w:val="16"/>
                <w:color w:val="auto"/>
              </w:rPr>
              <w:t>Avis</w:t>
            </w:r>
          </w:p>
        </w:tc>
        <w:tc>
          <w:tcPr>
            <w:tcW w:w="920" w:type="dxa"/>
            <w:vAlign w:val="bottom"/>
          </w:tcPr>
          <w:p>
            <w:pPr>
              <w:jc w:val="right"/>
              <w:ind w:right="714"/>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2,011</w:t>
            </w:r>
          </w:p>
        </w:tc>
        <w:tc>
          <w:tcPr>
            <w:tcW w:w="140" w:type="dxa"/>
            <w:vAlign w:val="bottom"/>
          </w:tcPr>
          <w:p>
            <w:pPr>
              <w:spacing w:after="0"/>
              <w:rPr>
                <w:sz w:val="17"/>
                <w:szCs w:val="17"/>
                <w:color w:val="auto"/>
              </w:rPr>
            </w:pPr>
          </w:p>
        </w:tc>
        <w:tc>
          <w:tcPr>
            <w:tcW w:w="900" w:type="dxa"/>
            <w:vAlign w:val="bottom"/>
          </w:tcPr>
          <w:p>
            <w:pPr>
              <w:jc w:val="right"/>
              <w:ind w:right="716"/>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1,926</w:t>
            </w:r>
          </w:p>
        </w:tc>
        <w:tc>
          <w:tcPr>
            <w:tcW w:w="100" w:type="dxa"/>
            <w:vAlign w:val="bottom"/>
          </w:tcPr>
          <w:p>
            <w:pPr>
              <w:spacing w:after="0"/>
              <w:rPr>
                <w:sz w:val="17"/>
                <w:szCs w:val="17"/>
                <w:color w:val="auto"/>
              </w:rPr>
            </w:pPr>
          </w:p>
        </w:tc>
        <w:tc>
          <w:tcPr>
            <w:tcW w:w="920" w:type="dxa"/>
            <w:vAlign w:val="bottom"/>
          </w:tcPr>
          <w:p>
            <w:pPr>
              <w:jc w:val="right"/>
              <w:ind w:right="714"/>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5,120</w:t>
            </w:r>
          </w:p>
        </w:tc>
        <w:tc>
          <w:tcPr>
            <w:tcW w:w="120" w:type="dxa"/>
            <w:vAlign w:val="bottom"/>
          </w:tcPr>
          <w:p>
            <w:pPr>
              <w:spacing w:after="0"/>
              <w:rPr>
                <w:sz w:val="17"/>
                <w:szCs w:val="17"/>
                <w:color w:val="auto"/>
              </w:rPr>
            </w:pPr>
          </w:p>
        </w:tc>
        <w:tc>
          <w:tcPr>
            <w:tcW w:w="900" w:type="dxa"/>
            <w:vAlign w:val="bottom"/>
          </w:tcPr>
          <w:p>
            <w:pPr>
              <w:jc w:val="right"/>
              <w:ind w:right="716"/>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4,915</w:t>
            </w: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Budget</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1,298</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1,356</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3,430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3,598</w:t>
            </w:r>
          </w:p>
        </w:tc>
      </w:tr>
      <w:tr>
        <w:trPr>
          <w:trHeight w:val="219"/>
        </w:trPr>
        <w:tc>
          <w:tcPr>
            <w:tcW w:w="4180" w:type="dxa"/>
            <w:vAlign w:val="bottom"/>
          </w:tcPr>
          <w:p>
            <w:pPr>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1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w:t>
            </w: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Total lease revenues</w:t>
            </w:r>
          </w:p>
        </w:tc>
        <w:tc>
          <w:tcPr>
            <w:tcW w:w="920" w:type="dxa"/>
            <w:vAlign w:val="bottom"/>
            <w:tcBorders>
              <w:bottom w:val="single" w:sz="8" w:color="auto"/>
            </w:tcBorders>
          </w:tcPr>
          <w:p>
            <w:pPr>
              <w:jc w:val="right"/>
              <w:ind w:right="714"/>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3,511</w:t>
            </w: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3,496</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714"/>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9,105</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9,096</w:t>
            </w:r>
          </w:p>
        </w:tc>
      </w:tr>
      <w:tr>
        <w:trPr>
          <w:trHeight w:val="20"/>
        </w:trPr>
        <w:tc>
          <w:tcPr>
            <w:tcW w:w="4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6"/>
        <w:spacing w:after="0"/>
        <w:rPr>
          <w:sz w:val="20"/>
          <w:szCs w:val="20"/>
          <w:color w:val="auto"/>
        </w:rPr>
      </w:pPr>
      <w:r>
        <w:rPr>
          <w:rFonts w:ascii="Arial" w:cs="Arial" w:eastAsia="Arial" w:hAnsi="Arial"/>
          <w:sz w:val="14"/>
          <w:szCs w:val="14"/>
          <w:color w:val="auto"/>
        </w:rPr>
        <w:t>_______</w:t>
      </w:r>
    </w:p>
    <w:p>
      <w:pPr>
        <w:spacing w:after="0" w:line="11" w:lineRule="exact"/>
        <w:rPr>
          <w:sz w:val="20"/>
          <w:szCs w:val="20"/>
          <w:color w:val="auto"/>
        </w:rPr>
      </w:pPr>
    </w:p>
    <w:p>
      <w:pPr>
        <w:ind w:left="86"/>
        <w:spacing w:after="0"/>
        <w:rPr>
          <w:sz w:val="20"/>
          <w:szCs w:val="20"/>
          <w:color w:val="auto"/>
        </w:rPr>
      </w:pPr>
      <w:r>
        <w:rPr>
          <w:rFonts w:ascii="Arial" w:cs="Arial" w:eastAsia="Arial" w:hAnsi="Arial"/>
          <w:sz w:val="14"/>
          <w:szCs w:val="14"/>
          <w:color w:val="auto"/>
        </w:rPr>
        <w:t>Other includes Zipcar and other operating brands.</w:t>
      </w:r>
    </w:p>
    <w:p>
      <w:pPr>
        <w:spacing w:after="0" w:line="230"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Lessee</w:t>
      </w:r>
    </w:p>
    <w:p>
      <w:pPr>
        <w:spacing w:after="0" w:line="262" w:lineRule="exact"/>
        <w:rPr>
          <w:sz w:val="20"/>
          <w:szCs w:val="20"/>
          <w:color w:val="auto"/>
        </w:rPr>
      </w:pPr>
    </w:p>
    <w:p>
      <w:pPr>
        <w:jc w:val="both"/>
        <w:ind w:left="6"/>
        <w:spacing w:after="0" w:line="254" w:lineRule="auto"/>
        <w:rPr>
          <w:sz w:val="20"/>
          <w:szCs w:val="20"/>
          <w:color w:val="auto"/>
        </w:rPr>
      </w:pPr>
      <w:r>
        <w:rPr>
          <w:rFonts w:ascii="Arial" w:cs="Arial" w:eastAsia="Arial" w:hAnsi="Arial"/>
          <w:sz w:val="18"/>
          <w:szCs w:val="18"/>
          <w:color w:val="auto"/>
        </w:rPr>
        <w:t>We have operating and finance leases for rental locations, corporate offices, vehicle rental fleet and equipment. Many of our operating leases for rental locations contain concession agreements with various airport authorities that allow us to conduct our vehicle rental operations on site. In general, concession fees for airport locations are based on a percentage of total commissionable revenue as defined by each airport authority, some of which are subject to minimum annual guaranteed amounts. Concession fees other than minimum annual guaranteed amounts are not included in the measurement of operating lease right of use (“ROU”) assets and operating lease liabilities, and are recorded as variable lease expense as incurred. Our operating leases for rental locations often also require us to pay or reimburse operating expenses.</w:t>
      </w:r>
    </w:p>
    <w:p>
      <w:pPr>
        <w:sectPr>
          <w:pgSz w:w="11900" w:h="16838" w:orient="portrait"/>
          <w:cols w:equalWidth="0" w:num="1">
            <w:col w:w="10746"/>
          </w:cols>
          <w:pgMar w:left="814" w:top="937" w:right="339" w:bottom="1440" w:gutter="0" w:footer="0" w:header="0"/>
        </w:sectPr>
      </w:pPr>
    </w:p>
    <w:p>
      <w:pPr>
        <w:spacing w:after="0" w:line="222" w:lineRule="exact"/>
        <w:rPr>
          <w:sz w:val="20"/>
          <w:szCs w:val="20"/>
          <w:color w:val="auto"/>
        </w:rPr>
      </w:pPr>
    </w:p>
    <w:p>
      <w:pPr>
        <w:ind w:left="6"/>
        <w:spacing w:after="0"/>
        <w:rPr>
          <w:sz w:val="20"/>
          <w:szCs w:val="20"/>
          <w:color w:val="auto"/>
        </w:rPr>
      </w:pPr>
      <w:r>
        <w:rPr>
          <w:rFonts w:ascii="Arial" w:cs="Arial" w:eastAsia="Arial" w:hAnsi="Arial"/>
          <w:sz w:val="17"/>
          <w:szCs w:val="17"/>
          <w:color w:val="auto"/>
        </w:rPr>
        <w:t>The components of lease expense are as follows: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
        <w:spacing w:after="0"/>
        <w:rPr>
          <w:sz w:val="20"/>
          <w:szCs w:val="20"/>
          <w:color w:val="auto"/>
        </w:rPr>
      </w:pPr>
      <w:r>
        <w:rPr>
          <w:rFonts w:ascii="Arial" w:cs="Arial" w:eastAsia="Arial" w:hAnsi="Arial"/>
          <w:sz w:val="16"/>
          <w:szCs w:val="16"/>
          <w:b w:val="1"/>
          <w:bCs w:val="1"/>
          <w:color w:val="auto"/>
        </w:rPr>
        <w:t xml:space="preserve">Property leases </w:t>
      </w:r>
      <w:r>
        <w:rPr>
          <w:rFonts w:ascii="Arial" w:cs="Arial" w:eastAsia="Arial" w:hAnsi="Arial"/>
          <w:sz w:val="21"/>
          <w:szCs w:val="21"/>
          <w:b w:val="1"/>
          <w:bCs w:val="1"/>
          <w:color w:val="auto"/>
          <w:vertAlign w:val="superscript"/>
        </w:rPr>
        <w:t>(a)</w:t>
      </w:r>
    </w:p>
    <w:p>
      <w:pPr>
        <w:ind w:left="26"/>
        <w:spacing w:after="0"/>
        <w:rPr>
          <w:sz w:val="20"/>
          <w:szCs w:val="20"/>
          <w:color w:val="auto"/>
        </w:rPr>
      </w:pPr>
      <w:r>
        <w:rPr>
          <w:rFonts w:ascii="Arial" w:cs="Arial" w:eastAsia="Arial" w:hAnsi="Arial"/>
          <w:sz w:val="16"/>
          <w:szCs w:val="16"/>
          <w:color w:val="auto"/>
        </w:rPr>
        <w:t>Operating lease expense</w:t>
      </w:r>
    </w:p>
    <w:p>
      <w:pPr>
        <w:spacing w:after="0" w:line="20" w:lineRule="exact"/>
        <w:rPr>
          <w:sz w:val="20"/>
          <w:szCs w:val="20"/>
          <w:color w:val="auto"/>
        </w:rPr>
      </w:pPr>
    </w:p>
    <w:p>
      <w:pPr>
        <w:ind w:left="26"/>
        <w:spacing w:after="0"/>
        <w:rPr>
          <w:sz w:val="20"/>
          <w:szCs w:val="20"/>
          <w:color w:val="auto"/>
        </w:rPr>
      </w:pPr>
      <w:r>
        <w:rPr>
          <w:rFonts w:ascii="Arial" w:cs="Arial" w:eastAsia="Arial" w:hAnsi="Arial"/>
          <w:sz w:val="16"/>
          <w:szCs w:val="16"/>
          <w:color w:val="auto"/>
        </w:rPr>
        <w:t>Variable lease expense</w:t>
      </w:r>
    </w:p>
    <w:p>
      <w:pPr>
        <w:spacing w:after="0" w:line="65" w:lineRule="exact"/>
        <w:rPr>
          <w:sz w:val="20"/>
          <w:szCs w:val="20"/>
          <w:color w:val="auto"/>
        </w:rPr>
      </w:pPr>
    </w:p>
    <w:p>
      <w:pPr>
        <w:ind w:left="26"/>
        <w:spacing w:after="0"/>
        <w:rPr>
          <w:sz w:val="20"/>
          <w:szCs w:val="20"/>
          <w:color w:val="auto"/>
        </w:rPr>
      </w:pPr>
      <w:r>
        <w:rPr>
          <w:rFonts w:ascii="Arial" w:cs="Arial" w:eastAsia="Arial" w:hAnsi="Arial"/>
          <w:sz w:val="16"/>
          <w:szCs w:val="16"/>
          <w:b w:val="1"/>
          <w:bCs w:val="1"/>
          <w:color w:val="auto"/>
        </w:rPr>
        <w:t>Total property lease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270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9"/>
              </w:rPr>
              <w:t>Three Months Ended</w:t>
            </w:r>
          </w:p>
        </w:tc>
        <w:tc>
          <w:tcPr>
            <w:tcW w:w="300" w:type="dxa"/>
            <w:vAlign w:val="bottom"/>
          </w:tcPr>
          <w:p>
            <w:pPr>
              <w:spacing w:after="0"/>
              <w:rPr>
                <w:sz w:val="17"/>
                <w:szCs w:val="17"/>
                <w:color w:val="auto"/>
              </w:rPr>
            </w:pPr>
          </w:p>
        </w:tc>
        <w:tc>
          <w:tcPr>
            <w:tcW w:w="2620" w:type="dxa"/>
            <w:vAlign w:val="bottom"/>
            <w:gridSpan w:val="4"/>
          </w:tcPr>
          <w:p>
            <w:pPr>
              <w:jc w:val="right"/>
              <w:ind w:right="557"/>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300" w:type="dxa"/>
            <w:vAlign w:val="bottom"/>
          </w:tcPr>
          <w:p>
            <w:pPr>
              <w:spacing w:after="0"/>
              <w:rPr>
                <w:sz w:val="20"/>
                <w:szCs w:val="20"/>
                <w:color w:val="auto"/>
              </w:rPr>
            </w:pPr>
          </w:p>
        </w:tc>
        <w:tc>
          <w:tcPr>
            <w:tcW w:w="270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September 30,</w:t>
            </w:r>
          </w:p>
        </w:tc>
        <w:tc>
          <w:tcPr>
            <w:tcW w:w="300" w:type="dxa"/>
            <w:vAlign w:val="bottom"/>
          </w:tcPr>
          <w:p>
            <w:pPr>
              <w:spacing w:after="0"/>
              <w:rPr>
                <w:sz w:val="20"/>
                <w:szCs w:val="20"/>
                <w:color w:val="auto"/>
              </w:rPr>
            </w:pPr>
          </w:p>
        </w:tc>
        <w:tc>
          <w:tcPr>
            <w:tcW w:w="2620" w:type="dxa"/>
            <w:vAlign w:val="bottom"/>
            <w:gridSpan w:val="4"/>
          </w:tcPr>
          <w:p>
            <w:pPr>
              <w:jc w:val="right"/>
              <w:ind w:right="757"/>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2022</w:t>
            </w:r>
          </w:p>
        </w:tc>
      </w:tr>
      <w:tr>
        <w:trPr>
          <w:trHeight w:val="406"/>
        </w:trPr>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631</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513</w:t>
            </w:r>
          </w:p>
        </w:tc>
      </w:tr>
      <w:tr>
        <w:trPr>
          <w:trHeight w:val="219"/>
        </w:trPr>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w:t>
            </w:r>
          </w:p>
        </w:tc>
      </w:tr>
      <w:tr>
        <w:trPr>
          <w:trHeight w:val="210"/>
        </w:trPr>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w:t>
            </w:r>
          </w:p>
        </w:tc>
      </w:tr>
      <w:tr>
        <w:trPr>
          <w:trHeight w:val="23"/>
        </w:trPr>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95" w:lineRule="exact"/>
        <w:rPr>
          <w:sz w:val="20"/>
          <w:szCs w:val="20"/>
          <w:color w:val="auto"/>
        </w:rPr>
      </w:pPr>
    </w:p>
    <w:p>
      <w:pPr>
        <w:sectPr>
          <w:pgSz w:w="11900" w:h="16838" w:orient="portrait"/>
          <w:cols w:equalWidth="0" w:num="2">
            <w:col w:w="3946" w:space="300"/>
            <w:col w:w="6500"/>
          </w:cols>
          <w:pgMar w:left="814" w:top="937" w:right="339" w:bottom="1440" w:gutter="0" w:footer="0" w:header="0"/>
          <w:type w:val="continuous"/>
        </w:sectPr>
      </w:pPr>
    </w:p>
    <w:p>
      <w:pPr>
        <w:ind w:left="6"/>
        <w:spacing w:after="0"/>
        <w:rPr>
          <w:sz w:val="20"/>
          <w:szCs w:val="20"/>
          <w:color w:val="auto"/>
        </w:rPr>
      </w:pPr>
      <w:r>
        <w:rPr>
          <w:rFonts w:ascii="Arial" w:cs="Arial" w:eastAsia="Arial" w:hAnsi="Arial"/>
          <w:sz w:val="18"/>
          <w:szCs w:val="18"/>
          <w:color w:val="auto"/>
        </w:rPr>
        <w:t>__________</w:t>
      </w:r>
    </w:p>
    <w:p>
      <w:pPr>
        <w:spacing w:after="0" w:line="22" w:lineRule="exact"/>
        <w:rPr>
          <w:sz w:val="20"/>
          <w:szCs w:val="20"/>
          <w:color w:val="auto"/>
        </w:rPr>
      </w:pPr>
    </w:p>
    <w:p>
      <w:pPr>
        <w:ind w:left="266" w:hanging="266"/>
        <w:spacing w:after="0"/>
        <w:tabs>
          <w:tab w:leader="none" w:pos="266" w:val="left"/>
        </w:tabs>
        <w:numPr>
          <w:ilvl w:val="0"/>
          <w:numId w:val="8"/>
        </w:numPr>
        <w:rPr>
          <w:rFonts w:ascii="Arial" w:cs="Arial" w:eastAsia="Arial" w:hAnsi="Arial"/>
          <w:sz w:val="9"/>
          <w:szCs w:val="9"/>
          <w:color w:val="auto"/>
        </w:rPr>
      </w:pPr>
      <w:r>
        <w:rPr>
          <w:rFonts w:ascii="Arial" w:cs="Arial" w:eastAsia="Arial" w:hAnsi="Arial"/>
          <w:sz w:val="14"/>
          <w:szCs w:val="14"/>
          <w:color w:val="auto"/>
        </w:rPr>
        <w:t>Primarily within operating expenses.</w:t>
      </w:r>
    </w:p>
    <w:p>
      <w:pPr>
        <w:spacing w:after="0" w:line="245" w:lineRule="exact"/>
        <w:rPr>
          <w:sz w:val="20"/>
          <w:szCs w:val="20"/>
          <w:color w:val="auto"/>
        </w:rPr>
      </w:pPr>
    </w:p>
    <w:p>
      <w:pPr>
        <w:ind w:left="6"/>
        <w:spacing w:after="0"/>
        <w:rPr>
          <w:sz w:val="20"/>
          <w:szCs w:val="20"/>
          <w:color w:val="auto"/>
        </w:rPr>
      </w:pPr>
      <w:r>
        <w:rPr>
          <w:rFonts w:ascii="Arial" w:cs="Arial" w:eastAsia="Arial" w:hAnsi="Arial"/>
          <w:sz w:val="18"/>
          <w:szCs w:val="18"/>
          <w:color w:val="auto"/>
        </w:rPr>
        <w:t>Supplemental balance sheet information related to leases is as follows:</w:t>
      </w:r>
    </w:p>
    <w:p>
      <w:pPr>
        <w:spacing w:after="0" w:line="17" w:lineRule="exact"/>
        <w:rPr>
          <w:sz w:val="20"/>
          <w:szCs w:val="20"/>
          <w:color w:val="auto"/>
        </w:rPr>
      </w:pPr>
    </w:p>
    <w:tbl>
      <w:tblPr>
        <w:tblLayout w:type="fixed"/>
        <w:tblInd w:w="26" w:type="dxa"/>
        <w:tblCellMar>
          <w:top w:w="0" w:type="dxa"/>
          <w:left w:w="0" w:type="dxa"/>
          <w:bottom w:w="0" w:type="dxa"/>
          <w:right w:w="0" w:type="dxa"/>
        </w:tblCellMar>
      </w:tblPr>
      <w:tr>
        <w:trPr>
          <w:trHeight w:val="207"/>
        </w:trPr>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As of</w:t>
            </w:r>
          </w:p>
        </w:tc>
        <w:tc>
          <w:tcPr>
            <w:tcW w:w="200" w:type="dxa"/>
            <w:vAlign w:val="bottom"/>
          </w:tcPr>
          <w:p>
            <w:pPr>
              <w:spacing w:after="0"/>
              <w:rPr>
                <w:sz w:val="18"/>
                <w:szCs w:val="18"/>
                <w:color w:val="auto"/>
              </w:rPr>
            </w:pPr>
          </w:p>
        </w:tc>
        <w:tc>
          <w:tcPr>
            <w:tcW w:w="2040" w:type="dxa"/>
            <w:vAlign w:val="bottom"/>
          </w:tcPr>
          <w:p>
            <w:pPr>
              <w:jc w:val="right"/>
              <w:ind w:right="837"/>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43"/>
        </w:trPr>
        <w:tc>
          <w:tcPr>
            <w:tcW w:w="5480" w:type="dxa"/>
            <w:vAlign w:val="bottom"/>
            <w:vMerge w:val="restart"/>
          </w:tcPr>
          <w:p>
            <w:pPr>
              <w:spacing w:after="0"/>
              <w:rPr>
                <w:sz w:val="20"/>
                <w:szCs w:val="20"/>
                <w:color w:val="auto"/>
              </w:rPr>
            </w:pPr>
            <w:r>
              <w:rPr>
                <w:rFonts w:ascii="Arial" w:cs="Arial" w:eastAsia="Arial" w:hAnsi="Arial"/>
                <w:sz w:val="16"/>
                <w:szCs w:val="16"/>
                <w:b w:val="1"/>
                <w:bCs w:val="1"/>
                <w:color w:val="auto"/>
              </w:rPr>
              <w:t>Property leases</w:t>
            </w:r>
          </w:p>
        </w:tc>
        <w:tc>
          <w:tcPr>
            <w:tcW w:w="200" w:type="dxa"/>
            <w:vAlign w:val="bottom"/>
          </w:tcPr>
          <w:p>
            <w:pPr>
              <w:spacing w:after="0"/>
              <w:rPr>
                <w:sz w:val="21"/>
                <w:szCs w:val="21"/>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September 30, 2023</w:t>
            </w:r>
          </w:p>
        </w:tc>
        <w:tc>
          <w:tcPr>
            <w:tcW w:w="200" w:type="dxa"/>
            <w:vAlign w:val="bottom"/>
          </w:tcPr>
          <w:p>
            <w:pPr>
              <w:spacing w:after="0"/>
              <w:rPr>
                <w:sz w:val="21"/>
                <w:szCs w:val="21"/>
                <w:color w:val="auto"/>
              </w:rPr>
            </w:pPr>
          </w:p>
        </w:tc>
        <w:tc>
          <w:tcPr>
            <w:tcW w:w="2040" w:type="dxa"/>
            <w:vAlign w:val="bottom"/>
          </w:tcPr>
          <w:p>
            <w:pPr>
              <w:jc w:val="right"/>
              <w:ind w:right="237"/>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202"/>
        </w:trPr>
        <w:tc>
          <w:tcPr>
            <w:tcW w:w="5480" w:type="dxa"/>
            <w:vAlign w:val="bottom"/>
            <w:vMerge w:val="continue"/>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204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6"/>
                <w:szCs w:val="16"/>
                <w:color w:val="auto"/>
              </w:rPr>
              <w:t>2,661</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204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6"/>
                <w:szCs w:val="16"/>
                <w:color w:val="auto"/>
              </w:rPr>
              <w:t>2,405</w:t>
            </w:r>
          </w:p>
        </w:tc>
        <w:tc>
          <w:tcPr>
            <w:tcW w:w="0" w:type="dxa"/>
            <w:vAlign w:val="bottom"/>
          </w:tcPr>
          <w:p>
            <w:pPr>
              <w:spacing w:after="0"/>
              <w:rPr>
                <w:sz w:val="1"/>
                <w:szCs w:val="1"/>
                <w:color w:val="auto"/>
              </w:rPr>
            </w:pPr>
          </w:p>
        </w:tc>
      </w:tr>
      <w:tr>
        <w:trPr>
          <w:trHeight w:val="215"/>
        </w:trPr>
        <w:tc>
          <w:tcPr>
            <w:tcW w:w="5480" w:type="dxa"/>
            <w:vAlign w:val="bottom"/>
          </w:tcPr>
          <w:p>
            <w:pPr>
              <w:ind w:left="200"/>
              <w:spacing w:after="0"/>
              <w:rPr>
                <w:sz w:val="20"/>
                <w:szCs w:val="20"/>
                <w:color w:val="auto"/>
              </w:rPr>
            </w:pPr>
            <w:r>
              <w:rPr>
                <w:rFonts w:ascii="Arial" w:cs="Arial" w:eastAsia="Arial" w:hAnsi="Arial"/>
                <w:sz w:val="16"/>
                <w:szCs w:val="16"/>
                <w:color w:val="auto"/>
              </w:rPr>
              <w:t>Operating lease ROU assets</w:t>
            </w:r>
          </w:p>
        </w:tc>
        <w:tc>
          <w:tcPr>
            <w:tcW w:w="200" w:type="dxa"/>
            <w:vAlign w:val="bottom"/>
            <w:tcBorders>
              <w:bottom w:val="single" w:sz="8" w:color="auto"/>
            </w:tcBorders>
            <w:vMerge w:val="continue"/>
          </w:tcPr>
          <w:p>
            <w:pPr>
              <w:spacing w:after="0"/>
              <w:rPr>
                <w:sz w:val="18"/>
                <w:szCs w:val="18"/>
                <w:color w:val="auto"/>
              </w:rPr>
            </w:pPr>
          </w:p>
        </w:tc>
        <w:tc>
          <w:tcPr>
            <w:tcW w:w="2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2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2"/>
        </w:trPr>
        <w:tc>
          <w:tcPr>
            <w:tcW w:w="5480" w:type="dxa"/>
            <w:vAlign w:val="bottom"/>
          </w:tcPr>
          <w:p>
            <w:pPr>
              <w:ind w:left="200"/>
              <w:spacing w:after="0"/>
              <w:rPr>
                <w:sz w:val="20"/>
                <w:szCs w:val="20"/>
                <w:color w:val="auto"/>
              </w:rPr>
            </w:pPr>
            <w:r>
              <w:rPr>
                <w:rFonts w:ascii="Arial" w:cs="Arial" w:eastAsia="Arial" w:hAnsi="Arial"/>
                <w:sz w:val="16"/>
                <w:szCs w:val="16"/>
                <w:color w:val="auto"/>
              </w:rPr>
              <w:t xml:space="preserve">Short-term operating lease liabilities </w:t>
            </w:r>
            <w:r>
              <w:rPr>
                <w:rFonts w:ascii="Arial" w:cs="Arial" w:eastAsia="Arial" w:hAnsi="Arial"/>
                <w:sz w:val="21"/>
                <w:szCs w:val="21"/>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040" w:type="dxa"/>
            <w:vAlign w:val="bottom"/>
          </w:tcPr>
          <w:p>
            <w:pPr>
              <w:jc w:val="right"/>
              <w:ind w:right="37"/>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2040" w:type="dxa"/>
            <w:vAlign w:val="bottom"/>
          </w:tcPr>
          <w:p>
            <w:pPr>
              <w:jc w:val="right"/>
              <w:ind w:right="57"/>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210"/>
        </w:trPr>
        <w:tc>
          <w:tcPr>
            <w:tcW w:w="5480" w:type="dxa"/>
            <w:vAlign w:val="bottom"/>
          </w:tcPr>
          <w:p>
            <w:pPr>
              <w:ind w:left="200"/>
              <w:spacing w:after="0"/>
              <w:rPr>
                <w:sz w:val="20"/>
                <w:szCs w:val="20"/>
                <w:color w:val="auto"/>
              </w:rPr>
            </w:pPr>
            <w:r>
              <w:rPr>
                <w:rFonts w:ascii="Arial" w:cs="Arial" w:eastAsia="Arial" w:hAnsi="Arial"/>
                <w:sz w:val="16"/>
                <w:szCs w:val="16"/>
                <w:color w:val="auto"/>
              </w:rPr>
              <w:t>Long-term operating lease liabilities</w:t>
            </w:r>
          </w:p>
        </w:tc>
        <w:tc>
          <w:tcPr>
            <w:tcW w:w="2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color w:val="auto"/>
              </w:rPr>
              <w:t>2,178</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color w:val="auto"/>
              </w:rPr>
              <w:t>1,884</w:t>
            </w:r>
          </w:p>
        </w:tc>
        <w:tc>
          <w:tcPr>
            <w:tcW w:w="0" w:type="dxa"/>
            <w:vAlign w:val="bottom"/>
          </w:tcPr>
          <w:p>
            <w:pPr>
              <w:spacing w:after="0"/>
              <w:rPr>
                <w:sz w:val="1"/>
                <w:szCs w:val="1"/>
                <w:color w:val="auto"/>
              </w:rPr>
            </w:pPr>
          </w:p>
        </w:tc>
      </w:tr>
      <w:tr>
        <w:trPr>
          <w:trHeight w:val="213"/>
        </w:trPr>
        <w:tc>
          <w:tcPr>
            <w:tcW w:w="548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color w:val="auto"/>
              </w:rPr>
              <w:t>2,699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color w:val="auto"/>
              </w:rPr>
              <w:t>2,439</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5480" w:type="dxa"/>
            <w:vAlign w:val="bottom"/>
          </w:tcPr>
          <w:p>
            <w:pPr>
              <w:ind w:left="200"/>
              <w:spacing w:after="0"/>
              <w:rPr>
                <w:sz w:val="20"/>
                <w:szCs w:val="20"/>
                <w:color w:val="auto"/>
              </w:rPr>
            </w:pPr>
            <w:r>
              <w:rPr>
                <w:rFonts w:ascii="Arial" w:cs="Arial" w:eastAsia="Arial" w:hAnsi="Arial"/>
                <w:sz w:val="16"/>
                <w:szCs w:val="16"/>
                <w:color w:val="auto"/>
              </w:rPr>
              <w:t>Weighted average remaining lease term</w:t>
            </w:r>
          </w:p>
        </w:tc>
        <w:tc>
          <w:tcPr>
            <w:tcW w:w="200" w:type="dxa"/>
            <w:vAlign w:val="bottom"/>
          </w:tcPr>
          <w:p>
            <w:pPr>
              <w:spacing w:after="0"/>
              <w:rPr>
                <w:sz w:val="24"/>
                <w:szCs w:val="24"/>
                <w:color w:val="auto"/>
              </w:rPr>
            </w:pPr>
          </w:p>
        </w:tc>
        <w:tc>
          <w:tcPr>
            <w:tcW w:w="2160" w:type="dxa"/>
            <w:vAlign w:val="bottom"/>
            <w:gridSpan w:val="2"/>
          </w:tcPr>
          <w:p>
            <w:pPr>
              <w:jc w:val="right"/>
              <w:ind w:right="140"/>
              <w:spacing w:after="0"/>
              <w:rPr>
                <w:sz w:val="20"/>
                <w:szCs w:val="20"/>
                <w:color w:val="auto"/>
              </w:rPr>
            </w:pPr>
            <w:r>
              <w:rPr>
                <w:rFonts w:ascii="Arial" w:cs="Arial" w:eastAsia="Arial" w:hAnsi="Arial"/>
                <w:sz w:val="16"/>
                <w:szCs w:val="16"/>
                <w:color w:val="auto"/>
              </w:rPr>
              <w:t>8.4 years</w:t>
            </w:r>
          </w:p>
        </w:tc>
        <w:tc>
          <w:tcPr>
            <w:tcW w:w="2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8.2 years</w:t>
            </w:r>
          </w:p>
        </w:tc>
        <w:tc>
          <w:tcPr>
            <w:tcW w:w="0" w:type="dxa"/>
            <w:vAlign w:val="bottom"/>
          </w:tcPr>
          <w:p>
            <w:pPr>
              <w:spacing w:after="0"/>
              <w:rPr>
                <w:sz w:val="1"/>
                <w:szCs w:val="1"/>
                <w:color w:val="auto"/>
              </w:rPr>
            </w:pPr>
          </w:p>
        </w:tc>
      </w:tr>
      <w:tr>
        <w:trPr>
          <w:trHeight w:val="216"/>
        </w:trPr>
        <w:tc>
          <w:tcPr>
            <w:tcW w:w="5480" w:type="dxa"/>
            <w:vAlign w:val="bottom"/>
          </w:tcPr>
          <w:p>
            <w:pPr>
              <w:ind w:left="200"/>
              <w:spacing w:after="0"/>
              <w:rPr>
                <w:sz w:val="20"/>
                <w:szCs w:val="20"/>
                <w:color w:val="auto"/>
              </w:rPr>
            </w:pPr>
            <w:r>
              <w:rPr>
                <w:rFonts w:ascii="Arial" w:cs="Arial" w:eastAsia="Arial" w:hAnsi="Arial"/>
                <w:sz w:val="16"/>
                <w:szCs w:val="16"/>
                <w:color w:val="auto"/>
              </w:rPr>
              <w:t>Weighted average discount rate</w:t>
            </w:r>
          </w:p>
        </w:tc>
        <w:tc>
          <w:tcPr>
            <w:tcW w:w="20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4.74 %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4.30 %</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w:t>
      </w:r>
    </w:p>
    <w:p>
      <w:pPr>
        <w:ind w:left="266" w:hanging="266"/>
        <w:spacing w:after="0" w:line="218" w:lineRule="auto"/>
        <w:tabs>
          <w:tab w:leader="none" w:pos="266"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Included in accounts payable and other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9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69850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37" w:right="339" w:bottom="1440" w:gutter="0" w:footer="0" w:header="0"/>
          <w:type w:val="continuous"/>
        </w:sectPr>
      </w:pPr>
    </w:p>
    <w:bookmarkStart w:id="14" w:name="page15"/>
    <w:bookmarkEnd w:id="14"/>
    <w:p>
      <w:pPr>
        <w:ind w:left="442"/>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30" w:lineRule="exact"/>
        <w:rPr>
          <w:sz w:val="20"/>
          <w:szCs w:val="20"/>
          <w:color w:val="auto"/>
        </w:rPr>
      </w:pPr>
    </w:p>
    <w:p>
      <w:pPr>
        <w:ind w:left="8182"/>
        <w:spacing w:after="0"/>
        <w:rPr>
          <w:sz w:val="20"/>
          <w:szCs w:val="20"/>
          <w:color w:val="auto"/>
        </w:rPr>
      </w:pPr>
      <w:r>
        <w:rPr>
          <w:rFonts w:ascii="Arial" w:cs="Arial" w:eastAsia="Arial" w:hAnsi="Arial"/>
          <w:sz w:val="18"/>
          <w:szCs w:val="18"/>
          <w:b w:val="1"/>
          <w:bCs w:val="1"/>
          <w:color w:val="auto"/>
        </w:rPr>
        <w:t>Nine Months Ended</w:t>
      </w:r>
    </w:p>
    <w:p>
      <w:pPr>
        <w:ind w:left="8442"/>
        <w:spacing w:after="0"/>
        <w:rPr>
          <w:sz w:val="20"/>
          <w:szCs w:val="20"/>
          <w:color w:val="auto"/>
        </w:rPr>
      </w:pPr>
      <w:r>
        <w:rPr>
          <w:rFonts w:ascii="Arial" w:cs="Arial" w:eastAsia="Arial" w:hAnsi="Arial"/>
          <w:sz w:val="18"/>
          <w:szCs w:val="18"/>
          <w:b w:val="1"/>
          <w:bCs w:val="1"/>
          <w:color w:val="auto"/>
        </w:rPr>
        <w:t>September 30,</w:t>
      </w:r>
    </w:p>
    <w:p>
      <w:pPr>
        <w:spacing w:after="0" w:line="22" w:lineRule="exact"/>
        <w:rPr>
          <w:sz w:val="20"/>
          <w:szCs w:val="20"/>
          <w:color w:val="auto"/>
        </w:rPr>
      </w:pPr>
    </w:p>
    <w:tbl>
      <w:tblPr>
        <w:tblLayout w:type="fixed"/>
        <w:tblInd w:w="462" w:type="dxa"/>
        <w:tblCellMar>
          <w:top w:w="0" w:type="dxa"/>
          <w:left w:w="0" w:type="dxa"/>
          <w:bottom w:w="0" w:type="dxa"/>
          <w:right w:w="0" w:type="dxa"/>
        </w:tblCellMar>
      </w:tblPr>
      <w:tr>
        <w:trPr>
          <w:trHeight w:val="225"/>
        </w:trPr>
        <w:tc>
          <w:tcPr>
            <w:tcW w:w="7120" w:type="dxa"/>
            <w:vAlign w:val="bottom"/>
            <w:vMerge w:val="restart"/>
          </w:tcPr>
          <w:p>
            <w:pPr>
              <w:spacing w:after="0"/>
              <w:rPr>
                <w:sz w:val="20"/>
                <w:szCs w:val="20"/>
                <w:color w:val="auto"/>
              </w:rPr>
            </w:pPr>
            <w:r>
              <w:rPr>
                <w:rFonts w:ascii="Arial" w:cs="Arial" w:eastAsia="Arial" w:hAnsi="Arial"/>
                <w:sz w:val="16"/>
                <w:szCs w:val="16"/>
                <w:color w:val="auto"/>
              </w:rPr>
              <w:t>Cash payments for lease liabilities within operating activities: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0"/>
        </w:trPr>
        <w:tc>
          <w:tcPr>
            <w:tcW w:w="71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200"/>
              <w:spacing w:after="0"/>
              <w:rPr>
                <w:sz w:val="20"/>
                <w:szCs w:val="20"/>
                <w:color w:val="auto"/>
              </w:rPr>
            </w:pPr>
            <w:r>
              <w:rPr>
                <w:rFonts w:ascii="Arial" w:cs="Arial" w:eastAsia="Arial" w:hAnsi="Arial"/>
                <w:sz w:val="16"/>
                <w:szCs w:val="16"/>
                <w:color w:val="auto"/>
              </w:rPr>
              <w:t>Property operating leases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645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6"/>
                <w:szCs w:val="16"/>
                <w:color w:val="auto"/>
              </w:rPr>
              <w:t>Non-cash activities - increase (decrease) in ROU assets in exchange for lease liabilities: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200"/>
              <w:spacing w:after="0"/>
              <w:rPr>
                <w:sz w:val="20"/>
                <w:szCs w:val="20"/>
                <w:color w:val="auto"/>
              </w:rPr>
            </w:pPr>
            <w:r>
              <w:rPr>
                <w:rFonts w:ascii="Arial" w:cs="Arial" w:eastAsia="Arial" w:hAnsi="Arial"/>
                <w:sz w:val="16"/>
                <w:szCs w:val="16"/>
                <w:color w:val="auto"/>
              </w:rPr>
              <w:t>Property operating leases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342" w:hanging="342"/>
        <w:spacing w:after="0"/>
        <w:tabs>
          <w:tab w:leader="none" w:pos="34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Related Charges</w:t>
      </w:r>
    </w:p>
    <w:p>
      <w:pPr>
        <w:spacing w:after="0" w:line="262" w:lineRule="exact"/>
        <w:rPr>
          <w:sz w:val="20"/>
          <w:szCs w:val="20"/>
          <w:color w:val="auto"/>
        </w:rPr>
      </w:pPr>
    </w:p>
    <w:p>
      <w:pPr>
        <w:jc w:val="both"/>
        <w:ind w:left="442"/>
        <w:spacing w:after="0" w:line="258" w:lineRule="auto"/>
        <w:rPr>
          <w:sz w:val="20"/>
          <w:szCs w:val="20"/>
          <w:color w:val="auto"/>
        </w:rPr>
      </w:pPr>
      <w:r>
        <w:rPr>
          <w:rFonts w:ascii="Arial" w:cs="Arial" w:eastAsia="Arial" w:hAnsi="Arial"/>
          <w:sz w:val="18"/>
          <w:szCs w:val="18"/>
          <w:color w:val="auto"/>
        </w:rPr>
        <w:t>During second quarter 2022, we initiated a restructuring plan to focus on consolidating our global operations by designing new processes and implementing new systems (“Cost Optimization”). As of September 30, 2023, we formally communicated the termination of employment to approximately 300 employees as part of this process and terminated approximately 275 of these employees. We expect further restructuring expense of approximately $1 million related to this initiative to be incurred this year.</w:t>
      </w:r>
    </w:p>
    <w:p>
      <w:pPr>
        <w:spacing w:after="0" w:line="217" w:lineRule="exact"/>
        <w:rPr>
          <w:sz w:val="20"/>
          <w:szCs w:val="20"/>
          <w:color w:val="auto"/>
        </w:rPr>
      </w:pPr>
    </w:p>
    <w:p>
      <w:pPr>
        <w:jc w:val="both"/>
        <w:ind w:left="442" w:right="20"/>
        <w:spacing w:after="0" w:line="275" w:lineRule="auto"/>
        <w:rPr>
          <w:sz w:val="20"/>
          <w:szCs w:val="20"/>
          <w:color w:val="auto"/>
        </w:rPr>
      </w:pPr>
      <w:r>
        <w:rPr>
          <w:rFonts w:ascii="Arial" w:cs="Arial" w:eastAsia="Arial" w:hAnsi="Arial"/>
          <w:sz w:val="18"/>
          <w:szCs w:val="18"/>
          <w:color w:val="auto"/>
        </w:rPr>
        <w:t>The following table presents our restructuring liabilities and related activities by reportable segment as it relates to our Cost Optimization plan, which are all personnel related in nature:</w:t>
      </w:r>
    </w:p>
    <w:p>
      <w:pPr>
        <w:spacing w:after="0" w:line="96" w:lineRule="exact"/>
        <w:rPr>
          <w:sz w:val="20"/>
          <w:szCs w:val="20"/>
          <w:color w:val="auto"/>
        </w:rPr>
      </w:pPr>
    </w:p>
    <w:tbl>
      <w:tblPr>
        <w:tblLayout w:type="fixed"/>
        <w:tblInd w:w="462" w:type="dxa"/>
        <w:tblCellMar>
          <w:top w:w="0" w:type="dxa"/>
          <w:left w:w="0" w:type="dxa"/>
          <w:bottom w:w="0" w:type="dxa"/>
          <w:right w:w="0" w:type="dxa"/>
        </w:tblCellMar>
      </w:tblPr>
      <w:tr>
        <w:trPr>
          <w:trHeight w:val="239"/>
        </w:trPr>
        <w:tc>
          <w:tcPr>
            <w:tcW w:w="5100" w:type="dxa"/>
            <w:vAlign w:val="bottom"/>
            <w:vMerge w:val="restart"/>
          </w:tcPr>
          <w:p>
            <w:pPr>
              <w:spacing w:after="0"/>
              <w:rPr>
                <w:sz w:val="20"/>
                <w:szCs w:val="20"/>
                <w:color w:val="auto"/>
              </w:rPr>
            </w:pPr>
            <w:r>
              <w:rPr>
                <w:rFonts w:ascii="Arial" w:cs="Arial" w:eastAsia="Arial" w:hAnsi="Arial"/>
                <w:sz w:val="18"/>
                <w:szCs w:val="18"/>
                <w:color w:val="auto"/>
              </w:rPr>
              <w:t>Balance as of January 1, 2023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Americas</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International</w:t>
            </w:r>
          </w:p>
        </w:tc>
        <w:tc>
          <w:tcPr>
            <w:tcW w:w="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100" w:type="dxa"/>
            <w:vAlign w:val="bottom"/>
            <w:vMerge w:val="continue"/>
          </w:tcPr>
          <w:p>
            <w:pPr>
              <w:spacing w:after="0"/>
              <w:rPr>
                <w:sz w:val="19"/>
                <w:szCs w:val="19"/>
                <w:color w:val="auto"/>
              </w:rPr>
            </w:pP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ind w:left="91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30"/>
        </w:trPr>
        <w:tc>
          <w:tcPr>
            <w:tcW w:w="5100" w:type="dxa"/>
            <w:vAlign w:val="bottom"/>
          </w:tcPr>
          <w:p>
            <w:pPr>
              <w:ind w:left="300"/>
              <w:spacing w:after="0"/>
              <w:rPr>
                <w:sz w:val="20"/>
                <w:szCs w:val="20"/>
                <w:color w:val="auto"/>
              </w:rPr>
            </w:pPr>
            <w:r>
              <w:rPr>
                <w:rFonts w:ascii="Arial" w:cs="Arial" w:eastAsia="Arial" w:hAnsi="Arial"/>
                <w:sz w:val="18"/>
                <w:szCs w:val="18"/>
                <w:color w:val="auto"/>
              </w:rPr>
              <w:t>Restructuring expense</w:t>
            </w:r>
          </w:p>
        </w:tc>
        <w:tc>
          <w:tcPr>
            <w:tcW w:w="1280" w:type="dxa"/>
            <w:vAlign w:val="bottom"/>
          </w:tcPr>
          <w:p>
            <w:pPr>
              <w:spacing w:after="0"/>
              <w:rPr>
                <w:sz w:val="19"/>
                <w:szCs w:val="19"/>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center"/>
              <w:ind w:left="91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29"/>
        </w:trPr>
        <w:tc>
          <w:tcPr>
            <w:tcW w:w="5100" w:type="dxa"/>
            <w:vAlign w:val="bottom"/>
          </w:tcPr>
          <w:p>
            <w:pPr>
              <w:ind w:left="300"/>
              <w:spacing w:after="0"/>
              <w:rPr>
                <w:sz w:val="20"/>
                <w:szCs w:val="20"/>
                <w:color w:val="auto"/>
              </w:rPr>
            </w:pPr>
            <w:r>
              <w:rPr>
                <w:rFonts w:ascii="Arial" w:cs="Arial" w:eastAsia="Arial" w:hAnsi="Arial"/>
                <w:sz w:val="18"/>
                <w:szCs w:val="18"/>
                <w:color w:val="auto"/>
              </w:rPr>
              <w:t>Restructuring payments and utilization</w:t>
            </w:r>
          </w:p>
        </w:tc>
        <w:tc>
          <w:tcPr>
            <w:tcW w:w="12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Balance as of September 30, 2023</w:t>
            </w:r>
          </w:p>
        </w:tc>
        <w:tc>
          <w:tcPr>
            <w:tcW w:w="12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342" w:hanging="342"/>
        <w:spacing w:after="0"/>
        <w:tabs>
          <w:tab w:leader="none" w:pos="34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6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following table sets forth the computation of basic and diluted earnings per share (“EPS”) (shares in millions):</w:t>
      </w:r>
    </w:p>
    <w:p>
      <w:pPr>
        <w:spacing w:after="0" w:line="17" w:lineRule="exact"/>
        <w:rPr>
          <w:sz w:val="20"/>
          <w:szCs w:val="20"/>
          <w:color w:val="auto"/>
        </w:rPr>
      </w:pPr>
    </w:p>
    <w:tbl>
      <w:tblPr>
        <w:tblLayout w:type="fixed"/>
        <w:tblInd w:w="462" w:type="dxa"/>
        <w:tblCellMar>
          <w:top w:w="0" w:type="dxa"/>
          <w:left w:w="0" w:type="dxa"/>
          <w:bottom w:w="0" w:type="dxa"/>
          <w:right w:w="0" w:type="dxa"/>
        </w:tblCellMar>
      </w:tblPr>
      <w:tr>
        <w:trPr>
          <w:trHeight w:val="207"/>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Three Months Ended</w:t>
            </w:r>
          </w:p>
        </w:tc>
        <w:tc>
          <w:tcPr>
            <w:tcW w:w="260" w:type="dxa"/>
            <w:vAlign w:val="bottom"/>
          </w:tcPr>
          <w:p>
            <w:pPr>
              <w:spacing w:after="0"/>
              <w:rPr>
                <w:sz w:val="18"/>
                <w:szCs w:val="18"/>
                <w:color w:val="auto"/>
              </w:rPr>
            </w:pPr>
          </w:p>
        </w:tc>
        <w:tc>
          <w:tcPr>
            <w:tcW w:w="22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5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September 30,</w:t>
            </w:r>
          </w:p>
        </w:tc>
        <w:tc>
          <w:tcPr>
            <w:tcW w:w="260" w:type="dxa"/>
            <w:vAlign w:val="bottom"/>
          </w:tcPr>
          <w:p>
            <w:pPr>
              <w:spacing w:after="0"/>
              <w:rPr>
                <w:sz w:val="21"/>
                <w:szCs w:val="21"/>
                <w:color w:val="auto"/>
              </w:rPr>
            </w:pPr>
          </w:p>
        </w:tc>
        <w:tc>
          <w:tcPr>
            <w:tcW w:w="22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060" w:type="dxa"/>
            <w:vAlign w:val="bottom"/>
            <w:vMerge w:val="restart"/>
          </w:tcPr>
          <w:p>
            <w:pPr>
              <w:spacing w:after="0"/>
              <w:rPr>
                <w:sz w:val="20"/>
                <w:szCs w:val="20"/>
                <w:color w:val="auto"/>
              </w:rPr>
            </w:pPr>
            <w:r>
              <w:rPr>
                <w:rFonts w:ascii="Arial" w:cs="Arial" w:eastAsia="Arial" w:hAnsi="Arial"/>
                <w:sz w:val="18"/>
                <w:szCs w:val="18"/>
                <w:color w:val="auto"/>
              </w:rPr>
              <w:t>Net income attributable to Avis Budget Group, Inc. for basic</w:t>
            </w: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56"/>
        </w:trPr>
        <w:tc>
          <w:tcPr>
            <w:tcW w:w="5060" w:type="dxa"/>
            <w:vAlign w:val="bottom"/>
            <w:vMerge w:val="continue"/>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1,373</w:t>
            </w:r>
          </w:p>
        </w:tc>
        <w:tc>
          <w:tcPr>
            <w:tcW w:w="12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20"/>
        </w:trPr>
        <w:tc>
          <w:tcPr>
            <w:tcW w:w="5060" w:type="dxa"/>
            <w:vAlign w:val="bottom"/>
          </w:tcPr>
          <w:p>
            <w:pPr>
              <w:ind w:left="160"/>
              <w:spacing w:after="0"/>
              <w:rPr>
                <w:sz w:val="20"/>
                <w:szCs w:val="20"/>
                <w:color w:val="auto"/>
              </w:rPr>
            </w:pPr>
            <w:r>
              <w:rPr>
                <w:rFonts w:ascii="Arial" w:cs="Arial" w:eastAsia="Arial" w:hAnsi="Arial"/>
                <w:sz w:val="18"/>
                <w:szCs w:val="18"/>
                <w:color w:val="auto"/>
              </w:rPr>
              <w:t>and diluted EPS</w:t>
            </w:r>
          </w:p>
        </w:tc>
        <w:tc>
          <w:tcPr>
            <w:tcW w:w="24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9"/>
        </w:trPr>
        <w:tc>
          <w:tcPr>
            <w:tcW w:w="506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35"/>
        </w:trPr>
        <w:tc>
          <w:tcPr>
            <w:tcW w:w="5060" w:type="dxa"/>
            <w:vAlign w:val="bottom"/>
          </w:tcPr>
          <w:p>
            <w:pPr>
              <w:spacing w:after="0" w:line="235" w:lineRule="exact"/>
              <w:rPr>
                <w:sz w:val="20"/>
                <w:szCs w:val="20"/>
                <w:color w:val="auto"/>
              </w:rPr>
            </w:pPr>
            <w:r>
              <w:rPr>
                <w:rFonts w:ascii="Arial" w:cs="Arial" w:eastAsia="Arial" w:hAnsi="Arial"/>
                <w:sz w:val="18"/>
                <w:szCs w:val="18"/>
                <w:color w:val="auto"/>
              </w:rPr>
              <w:t xml:space="preserve">Non-vested stock </w:t>
            </w:r>
            <w:r>
              <w:rPr>
                <w:rFonts w:ascii="Arial" w:cs="Arial" w:eastAsia="Arial" w:hAnsi="Arial"/>
                <w:sz w:val="23"/>
                <w:szCs w:val="23"/>
                <w:color w:val="auto"/>
                <w:vertAlign w:val="superscript"/>
              </w:rPr>
              <w:t>(a)</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i w:val="1"/>
                <w:iCs w:val="1"/>
                <w:color w:val="auto"/>
              </w:rPr>
              <w:t>Earnings per share:</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5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8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22.08</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35.11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47.34</w:t>
            </w:r>
          </w:p>
        </w:tc>
        <w:tc>
          <w:tcPr>
            <w:tcW w:w="0" w:type="dxa"/>
            <w:vAlign w:val="bottom"/>
          </w:tcPr>
          <w:p>
            <w:pPr>
              <w:spacing w:after="0"/>
              <w:rPr>
                <w:sz w:val="1"/>
                <w:szCs w:val="1"/>
                <w:color w:val="auto"/>
              </w:rPr>
            </w:pPr>
          </w:p>
        </w:tc>
      </w:tr>
      <w:tr>
        <w:trPr>
          <w:trHeight w:val="230"/>
        </w:trPr>
        <w:tc>
          <w:tcPr>
            <w:tcW w:w="5060" w:type="dxa"/>
            <w:vAlign w:val="bottom"/>
          </w:tcPr>
          <w:p>
            <w:pPr>
              <w:ind w:left="8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21.67</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34.71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46.32</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442"/>
        <w:spacing w:after="0"/>
        <w:rPr>
          <w:sz w:val="20"/>
          <w:szCs w:val="20"/>
          <w:color w:val="auto"/>
        </w:rPr>
      </w:pPr>
      <w:r>
        <w:rPr>
          <w:rFonts w:ascii="Arial" w:cs="Arial" w:eastAsia="Arial" w:hAnsi="Arial"/>
          <w:sz w:val="18"/>
          <w:szCs w:val="18"/>
          <w:color w:val="auto"/>
        </w:rPr>
        <w:t>________</w:t>
      </w:r>
    </w:p>
    <w:p>
      <w:pPr>
        <w:spacing w:after="0" w:line="30" w:lineRule="exact"/>
        <w:rPr>
          <w:sz w:val="20"/>
          <w:szCs w:val="20"/>
          <w:color w:val="auto"/>
        </w:rPr>
      </w:pPr>
    </w:p>
    <w:p>
      <w:pPr>
        <w:ind w:left="722" w:hanging="286"/>
        <w:spacing w:after="0"/>
        <w:tabs>
          <w:tab w:leader="none" w:pos="722" w:val="left"/>
        </w:tabs>
        <w:numPr>
          <w:ilvl w:val="0"/>
          <w:numId w:val="12"/>
        </w:numPr>
        <w:rPr>
          <w:rFonts w:ascii="Arial" w:cs="Arial" w:eastAsia="Arial" w:hAnsi="Arial"/>
          <w:sz w:val="9"/>
          <w:szCs w:val="9"/>
          <w:color w:val="auto"/>
        </w:rPr>
      </w:pPr>
      <w:r>
        <w:rPr>
          <w:rFonts w:ascii="Arial" w:cs="Arial" w:eastAsia="Arial" w:hAnsi="Arial"/>
          <w:sz w:val="14"/>
          <w:szCs w:val="14"/>
          <w:color w:val="auto"/>
        </w:rPr>
        <w:t>For the three and nine months ended September 30, 2023, an immaterial amount and 0.1 million non-vested stock awards, respectively, have an anti-dilutive effect</w:t>
      </w:r>
    </w:p>
    <w:p>
      <w:pPr>
        <w:spacing w:after="0" w:line="41" w:lineRule="exact"/>
        <w:rPr>
          <w:rFonts w:ascii="Arial" w:cs="Arial" w:eastAsia="Arial" w:hAnsi="Arial"/>
          <w:sz w:val="9"/>
          <w:szCs w:val="9"/>
          <w:color w:val="auto"/>
        </w:rPr>
      </w:pPr>
    </w:p>
    <w:p>
      <w:pPr>
        <w:jc w:val="both"/>
        <w:ind w:left="762"/>
        <w:spacing w:after="0" w:line="303" w:lineRule="auto"/>
        <w:rPr>
          <w:rFonts w:ascii="Arial" w:cs="Arial" w:eastAsia="Arial" w:hAnsi="Arial"/>
          <w:sz w:val="9"/>
          <w:szCs w:val="9"/>
          <w:color w:val="auto"/>
        </w:rPr>
      </w:pPr>
      <w:r>
        <w:rPr>
          <w:rFonts w:ascii="Arial" w:cs="Arial" w:eastAsia="Arial" w:hAnsi="Arial"/>
          <w:sz w:val="14"/>
          <w:szCs w:val="14"/>
          <w:color w:val="auto"/>
        </w:rPr>
        <w:t>and therefore are excluded from the computation of diluted weighted average shares outstanding. For the three and nine months ended September 30, 2022, 0.1 million non-vested stock awards, in each period, have an anti-dilutive effect and therefore are excluded from the computation of diluted weighted average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69850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7" w:right="339" w:bottom="1440" w:gutter="0" w:footer="0" w:header="0"/>
        </w:sectPr>
      </w:pPr>
    </w:p>
    <w:bookmarkStart w:id="15" w:name="page16"/>
    <w:bookmarkEnd w:id="15"/>
    <w:tbl>
      <w:tblPr>
        <w:tblLayout w:type="fixed"/>
        <w:tblInd w:w="2" w:type="dxa"/>
        <w:tblCellMar>
          <w:top w:w="0" w:type="dxa"/>
          <w:left w:w="0" w:type="dxa"/>
          <w:bottom w:w="0" w:type="dxa"/>
          <w:right w:w="0" w:type="dxa"/>
        </w:tblCellMar>
      </w:tblPr>
      <w:tr>
        <w:trPr>
          <w:trHeight w:val="251"/>
        </w:trPr>
        <w:tc>
          <w:tcPr>
            <w:tcW w:w="7260" w:type="dxa"/>
            <w:vAlign w:val="bottom"/>
          </w:tcPr>
          <w:p>
            <w:pPr>
              <w:spacing w:after="0"/>
              <w:rPr>
                <w:sz w:val="20"/>
                <w:szCs w:val="20"/>
                <w:color w:val="auto"/>
              </w:rPr>
            </w:pPr>
            <w:r>
              <w:rPr>
                <w:rFonts w:ascii="Arial" w:cs="Arial" w:eastAsia="Arial" w:hAnsi="Arial"/>
                <w:sz w:val="18"/>
                <w:szCs w:val="18"/>
                <w:b w:val="1"/>
                <w:bCs w:val="1"/>
                <w:color w:val="auto"/>
              </w:rPr>
              <w:t>5.  Other Current Assets</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447"/>
        </w:trPr>
        <w:tc>
          <w:tcPr>
            <w:tcW w:w="7260" w:type="dxa"/>
            <w:vAlign w:val="bottom"/>
          </w:tcPr>
          <w:p>
            <w:pPr>
              <w:ind w:left="440"/>
              <w:spacing w:after="0"/>
              <w:rPr>
                <w:sz w:val="20"/>
                <w:szCs w:val="20"/>
                <w:color w:val="auto"/>
              </w:rPr>
            </w:pPr>
            <w:r>
              <w:rPr>
                <w:rFonts w:ascii="Arial" w:cs="Arial" w:eastAsia="Arial" w:hAnsi="Arial"/>
                <w:sz w:val="18"/>
                <w:szCs w:val="18"/>
                <w:color w:val="auto"/>
              </w:rPr>
              <w:t>Other current assets consisted of:</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2"/>
        </w:trPr>
        <w:tc>
          <w:tcPr>
            <w:tcW w:w="7260" w:type="dxa"/>
            <w:vAlign w:val="bottom"/>
          </w:tcPr>
          <w:p>
            <w:pPr>
              <w:spacing w:after="0"/>
              <w:rPr>
                <w:sz w:val="17"/>
                <w:szCs w:val="17"/>
                <w:color w:val="auto"/>
              </w:rPr>
            </w:pPr>
          </w:p>
        </w:tc>
        <w:tc>
          <w:tcPr>
            <w:tcW w:w="1740" w:type="dxa"/>
            <w:vAlign w:val="bottom"/>
            <w:gridSpan w:val="3"/>
          </w:tcPr>
          <w:p>
            <w:pPr>
              <w:ind w:left="80"/>
              <w:spacing w:after="0" w:line="202" w:lineRule="exact"/>
              <w:rPr>
                <w:sz w:val="20"/>
                <w:szCs w:val="20"/>
                <w:color w:val="auto"/>
              </w:rPr>
            </w:pPr>
            <w:r>
              <w:rPr>
                <w:rFonts w:ascii="Arial" w:cs="Arial" w:eastAsia="Arial" w:hAnsi="Arial"/>
                <w:sz w:val="18"/>
                <w:szCs w:val="18"/>
                <w:b w:val="1"/>
                <w:bCs w:val="1"/>
                <w:color w:val="auto"/>
              </w:rPr>
              <w:t>As of September</w:t>
            </w:r>
          </w:p>
        </w:tc>
        <w:tc>
          <w:tcPr>
            <w:tcW w:w="120" w:type="dxa"/>
            <w:vAlign w:val="bottom"/>
          </w:tcPr>
          <w:p>
            <w:pPr>
              <w:spacing w:after="0"/>
              <w:rPr>
                <w:sz w:val="17"/>
                <w:szCs w:val="17"/>
                <w:color w:val="auto"/>
              </w:rPr>
            </w:pPr>
          </w:p>
        </w:tc>
        <w:tc>
          <w:tcPr>
            <w:tcW w:w="14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w w:val="97"/>
              </w:rPr>
              <w:t>As of December</w:t>
            </w:r>
          </w:p>
        </w:tc>
      </w:tr>
      <w:tr>
        <w:trPr>
          <w:trHeight w:val="243"/>
        </w:trPr>
        <w:tc>
          <w:tcPr>
            <w:tcW w:w="7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30, 2023</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31, 2022</w:t>
            </w:r>
          </w:p>
        </w:tc>
      </w:tr>
      <w:tr>
        <w:trPr>
          <w:trHeight w:val="223"/>
        </w:trPr>
        <w:tc>
          <w:tcPr>
            <w:tcW w:w="7260" w:type="dxa"/>
            <w:vAlign w:val="bottom"/>
          </w:tcPr>
          <w:p>
            <w:pPr>
              <w:ind w:left="460"/>
              <w:spacing w:after="0"/>
              <w:rPr>
                <w:sz w:val="20"/>
                <w:szCs w:val="20"/>
                <w:color w:val="auto"/>
              </w:rPr>
            </w:pPr>
            <w:r>
              <w:rPr>
                <w:rFonts w:ascii="Arial" w:cs="Arial" w:eastAsia="Arial" w:hAnsi="Arial"/>
                <w:sz w:val="18"/>
                <w:szCs w:val="18"/>
                <w:color w:val="auto"/>
              </w:rPr>
              <w:t>Prepaid expenses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29"/>
        </w:trPr>
        <w:tc>
          <w:tcPr>
            <w:tcW w:w="7260" w:type="dxa"/>
            <w:vAlign w:val="bottom"/>
          </w:tcPr>
          <w:p>
            <w:pPr>
              <w:ind w:left="460"/>
              <w:spacing w:after="0"/>
              <w:rPr>
                <w:sz w:val="20"/>
                <w:szCs w:val="20"/>
                <w:color w:val="auto"/>
              </w:rPr>
            </w:pPr>
            <w:r>
              <w:rPr>
                <w:rFonts w:ascii="Arial" w:cs="Arial" w:eastAsia="Arial" w:hAnsi="Arial"/>
                <w:sz w:val="18"/>
                <w:szCs w:val="18"/>
                <w:color w:val="auto"/>
              </w:rPr>
              <w:t>Sales and use taxes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29"/>
        </w:trPr>
        <w:tc>
          <w:tcPr>
            <w:tcW w:w="7260" w:type="dxa"/>
            <w:vAlign w:val="bottom"/>
          </w:tcPr>
          <w:p>
            <w:pPr>
              <w:ind w:left="4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7260" w:type="dxa"/>
            <w:vAlign w:val="bottom"/>
          </w:tcPr>
          <w:p>
            <w:pPr>
              <w:ind w:left="46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r>
      <w:tr>
        <w:trPr>
          <w:trHeight w:val="20"/>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342" w:hanging="342"/>
        <w:spacing w:after="0"/>
        <w:tabs>
          <w:tab w:leader="none" w:pos="34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62" w:lineRule="exact"/>
        <w:rPr>
          <w:sz w:val="20"/>
          <w:szCs w:val="20"/>
          <w:color w:val="auto"/>
        </w:rPr>
      </w:pPr>
    </w:p>
    <w:p>
      <w:pPr>
        <w:jc w:val="both"/>
        <w:ind w:left="442"/>
        <w:spacing w:after="0" w:line="255" w:lineRule="auto"/>
        <w:rPr>
          <w:sz w:val="20"/>
          <w:szCs w:val="20"/>
          <w:color w:val="auto"/>
        </w:rPr>
      </w:pPr>
      <w:r>
        <w:rPr>
          <w:rFonts w:ascii="Arial" w:cs="Arial" w:eastAsia="Arial" w:hAnsi="Arial"/>
          <w:sz w:val="18"/>
          <w:szCs w:val="18"/>
          <w:color w:val="auto"/>
        </w:rPr>
        <w:t>In June 2023, we completed the acquisition of a licensee in North America for approximately $14 million, plus approximately $20 million for acquired fleet. This investment is in-line with our strategy to re-acquire licensees when advantageous to expand our footprint of Company-operated locations. The acquired fleet was financed under our existing financing arrangements. In connection with this acquisition, approximately $14 million was recorded to other intangibles related to franchise agreements. The license agreements are being amortized over a weighted average useful life of approximately five years. The fair value of the assets acquired and liabilities assumed has not yet been finalized and is therefore subject to change.</w:t>
      </w:r>
    </w:p>
    <w:p>
      <w:pPr>
        <w:spacing w:after="0" w:line="219" w:lineRule="exact"/>
        <w:rPr>
          <w:sz w:val="20"/>
          <w:szCs w:val="20"/>
          <w:color w:val="auto"/>
        </w:rPr>
      </w:pPr>
    </w:p>
    <w:p>
      <w:pPr>
        <w:jc w:val="both"/>
        <w:ind w:left="442"/>
        <w:spacing w:after="0" w:line="258" w:lineRule="auto"/>
        <w:rPr>
          <w:sz w:val="20"/>
          <w:szCs w:val="20"/>
          <w:color w:val="auto"/>
        </w:rPr>
      </w:pPr>
      <w:r>
        <w:rPr>
          <w:rFonts w:ascii="Arial" w:cs="Arial" w:eastAsia="Arial" w:hAnsi="Arial"/>
          <w:sz w:val="18"/>
          <w:szCs w:val="18"/>
          <w:color w:val="auto"/>
        </w:rPr>
        <w:t>In September 2023, we completed the acquisition of McNicoll Vehicle Hire, a vehicle rental company in Scotland specializing in van and car rentals, for approximately $ 17 million, net of acquired cash. The investment enabled the Company to expand its footprint of vehicle rental services in Scotland. The fair value of the assets acquired and liabilities assumed has not yet been finalized and is therefore subject to change.</w:t>
      </w:r>
    </w:p>
    <w:p>
      <w:pPr>
        <w:spacing w:after="0" w:line="207" w:lineRule="exact"/>
        <w:rPr>
          <w:sz w:val="20"/>
          <w:szCs w:val="20"/>
          <w:color w:val="auto"/>
        </w:rPr>
      </w:pPr>
    </w:p>
    <w:p>
      <w:pPr>
        <w:ind w:left="2"/>
        <w:spacing w:after="0"/>
        <w:tabs>
          <w:tab w:leader="none" w:pos="322" w:val="left"/>
        </w:tabs>
        <w:rPr>
          <w:sz w:val="20"/>
          <w:szCs w:val="20"/>
          <w:color w:val="auto"/>
        </w:rPr>
      </w:pPr>
      <w:r>
        <w:rPr>
          <w:rFonts w:ascii="Arial" w:cs="Arial" w:eastAsia="Arial" w:hAnsi="Arial"/>
          <w:sz w:val="18"/>
          <w:szCs w:val="18"/>
          <w:b w:val="1"/>
          <w:bCs w:val="1"/>
          <w:color w:val="auto"/>
        </w:rPr>
        <w:t>7.</w:t>
        <w:tab/>
        <w:t>Intangible Assets</w:t>
      </w:r>
    </w:p>
    <w:p>
      <w:pPr>
        <w:spacing w:after="0" w:line="26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Intangible assets consisted of:</w:t>
      </w:r>
    </w:p>
    <w:p>
      <w:pPr>
        <w:spacing w:after="0" w:line="44" w:lineRule="exact"/>
        <w:rPr>
          <w:sz w:val="20"/>
          <w:szCs w:val="20"/>
          <w:color w:val="auto"/>
        </w:rPr>
      </w:pPr>
    </w:p>
    <w:tbl>
      <w:tblPr>
        <w:tblLayout w:type="fixed"/>
        <w:tblInd w:w="462" w:type="dxa"/>
        <w:tblCellMar>
          <w:top w:w="0" w:type="dxa"/>
          <w:left w:w="0" w:type="dxa"/>
          <w:bottom w:w="0" w:type="dxa"/>
          <w:right w:w="0" w:type="dxa"/>
        </w:tblCellMar>
      </w:tblPr>
      <w:tr>
        <w:trPr>
          <w:trHeight w:val="221"/>
        </w:trPr>
        <w:tc>
          <w:tcPr>
            <w:tcW w:w="2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As of September 30, 2023</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As of December 31, 2022</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3"/>
                <w:szCs w:val="13"/>
                <w:color w:val="auto"/>
              </w:rPr>
            </w:pPr>
          </w:p>
        </w:tc>
        <w:tc>
          <w:tcPr>
            <w:tcW w:w="80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3"/>
                <w:szCs w:val="13"/>
                <w:color w:val="auto"/>
              </w:rPr>
            </w:pPr>
          </w:p>
        </w:tc>
        <w:tc>
          <w:tcPr>
            <w:tcW w:w="80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4"/>
                <w:szCs w:val="14"/>
                <w:color w:val="auto"/>
              </w:rPr>
            </w:pPr>
          </w:p>
        </w:tc>
        <w:tc>
          <w:tcPr>
            <w:tcW w:w="9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16"/>
        </w:trPr>
        <w:tc>
          <w:tcPr>
            <w:tcW w:w="2780" w:type="dxa"/>
            <w:vAlign w:val="bottom"/>
            <w:vMerge w:val="restart"/>
          </w:tcPr>
          <w:p>
            <w:pPr>
              <w:spacing w:after="0"/>
              <w:rPr>
                <w:sz w:val="20"/>
                <w:szCs w:val="20"/>
                <w:color w:val="auto"/>
              </w:rPr>
            </w:pPr>
            <w:r>
              <w:rPr>
                <w:rFonts w:ascii="Arial" w:cs="Arial" w:eastAsia="Arial" w:hAnsi="Arial"/>
                <w:sz w:val="16"/>
                <w:szCs w:val="16"/>
                <w:i w:val="1"/>
                <w:iCs w:val="1"/>
                <w:color w:val="auto"/>
              </w:rPr>
              <w:t>Amortized Intangible Assets</w:t>
            </w:r>
          </w:p>
        </w:tc>
        <w:tc>
          <w:tcPr>
            <w:tcW w:w="16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8"/>
                <w:szCs w:val="18"/>
                <w:color w:val="auto"/>
              </w:rPr>
            </w:pPr>
          </w:p>
        </w:tc>
        <w:tc>
          <w:tcPr>
            <w:tcW w:w="920" w:type="dxa"/>
            <w:vAlign w:val="bottom"/>
          </w:tcPr>
          <w:p>
            <w:pPr>
              <w:jc w:val="center"/>
              <w:ind w:right="5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80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190"/>
        </w:trPr>
        <w:tc>
          <w:tcPr>
            <w:tcW w:w="278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6"/>
                <w:szCs w:val="16"/>
                <w:color w:val="auto"/>
              </w:rPr>
              <w:t>License agreements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301</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6"/>
                <w:szCs w:val="16"/>
                <w:color w:val="auto"/>
              </w:rPr>
              <w:t>Customer relationships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9"/>
        </w:trPr>
        <w:tc>
          <w:tcPr>
            <w:tcW w:w="2780" w:type="dxa"/>
            <w:vAlign w:val="bottom"/>
          </w:tcPr>
          <w:p>
            <w:pPr>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2780" w:type="dxa"/>
            <w:vAlign w:val="bottom"/>
          </w:tcPr>
          <w:p>
            <w:pPr>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595</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585</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463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Arial" w:cs="Arial" w:eastAsia="Arial" w:hAnsi="Arial"/>
                <w:sz w:val="16"/>
                <w:szCs w:val="16"/>
                <w:i w:val="1"/>
                <w:iCs w:val="1"/>
                <w:color w:val="auto"/>
              </w:rPr>
              <w:t>Unamortized Intangible Assets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780" w:type="dxa"/>
            <w:vAlign w:val="bottom"/>
            <w:vMerge w:val="continue"/>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1,081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1,070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780" w:type="dxa"/>
            <w:vAlign w:val="bottom"/>
          </w:tcPr>
          <w:p>
            <w:pPr>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780" w:type="dxa"/>
            <w:vAlign w:val="bottom"/>
          </w:tcPr>
          <w:p>
            <w:pPr>
              <w:spacing w:after="0"/>
              <w:rPr>
                <w:sz w:val="20"/>
                <w:szCs w:val="20"/>
                <w:color w:val="auto"/>
              </w:rPr>
            </w:pPr>
            <w:r>
              <w:rPr>
                <w:rFonts w:ascii="Arial" w:cs="Arial" w:eastAsia="Arial" w:hAnsi="Arial"/>
                <w:sz w:val="16"/>
                <w:szCs w:val="16"/>
                <w:color w:val="auto"/>
              </w:rPr>
              <w:t>Trademarks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2" w:lineRule="exact"/>
        <w:rPr>
          <w:sz w:val="20"/>
          <w:szCs w:val="20"/>
          <w:color w:val="auto"/>
        </w:rPr>
      </w:pPr>
    </w:p>
    <w:p>
      <w:pPr>
        <w:jc w:val="both"/>
        <w:ind w:left="442"/>
        <w:spacing w:after="0" w:line="255" w:lineRule="auto"/>
        <w:rPr>
          <w:sz w:val="20"/>
          <w:szCs w:val="20"/>
          <w:color w:val="auto"/>
        </w:rPr>
      </w:pPr>
      <w:r>
        <w:rPr>
          <w:rFonts w:ascii="Arial" w:cs="Arial" w:eastAsia="Arial" w:hAnsi="Arial"/>
          <w:sz w:val="18"/>
          <w:szCs w:val="18"/>
          <w:color w:val="auto"/>
        </w:rPr>
        <w:t>For the three months ended September 30, 2023 and 2022, amortization expense related to amortizable intangible assets was approximately $6 million and $9 million, respectively. For the nine months ended September 30, 2023 and 2022, amortization expense related to amortizable intangible assets was approximately $20 million and $35 million, respectively. Based on our amortizable intangible assets at September 30, 2023, we expect amortization expense of approximately $7 million for the remainder of 2023, $25 million for 2024, $19 million for 2025, $17 million for 2026, $14 million for 2027 and $10 million for 2028, excluding effects of currency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69850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27" w:right="339" w:bottom="1440" w:gutter="0" w:footer="0" w:header="0"/>
        </w:sectPr>
      </w:pPr>
    </w:p>
    <w:bookmarkStart w:id="16" w:name="page17"/>
    <w:bookmarkEnd w:id="16"/>
    <w:p>
      <w:pPr>
        <w:ind w:left="342" w:hanging="342"/>
        <w:spacing w:after="0"/>
        <w:tabs>
          <w:tab w:leader="none" w:pos="34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26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components of vehicles, net within assets under vehicle programs are as follows:</w:t>
      </w:r>
    </w:p>
    <w:p>
      <w:pPr>
        <w:spacing w:after="0" w:line="44" w:lineRule="exact"/>
        <w:rPr>
          <w:sz w:val="20"/>
          <w:szCs w:val="20"/>
          <w:color w:val="auto"/>
        </w:rPr>
      </w:pPr>
    </w:p>
    <w:tbl>
      <w:tblPr>
        <w:tblLayout w:type="fixed"/>
        <w:tblInd w:w="462"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As of</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r>
      <w:tr>
        <w:trPr>
          <w:trHeight w:val="216"/>
        </w:trPr>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440" w:type="dxa"/>
            <w:vAlign w:val="bottom"/>
          </w:tcPr>
          <w:p>
            <w:pPr>
              <w:jc w:val="center"/>
              <w:ind w:right="139"/>
              <w:spacing w:after="0"/>
              <w:rPr>
                <w:sz w:val="20"/>
                <w:szCs w:val="20"/>
                <w:color w:val="auto"/>
              </w:rPr>
            </w:pPr>
            <w:r>
              <w:rPr>
                <w:rFonts w:ascii="Arial" w:cs="Arial" w:eastAsia="Arial" w:hAnsi="Arial"/>
                <w:sz w:val="16"/>
                <w:szCs w:val="16"/>
                <w:b w:val="1"/>
                <w:bCs w:val="1"/>
                <w:color w:val="auto"/>
              </w:rPr>
              <w:t>December 31,</w:t>
            </w:r>
          </w:p>
        </w:tc>
      </w:tr>
      <w:tr>
        <w:trPr>
          <w:trHeight w:val="221"/>
        </w:trPr>
        <w:tc>
          <w:tcPr>
            <w:tcW w:w="6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2022</w:t>
            </w:r>
          </w:p>
        </w:tc>
      </w:tr>
      <w:tr>
        <w:trPr>
          <w:trHeight w:val="204"/>
        </w:trPr>
        <w:tc>
          <w:tcPr>
            <w:tcW w:w="6700" w:type="dxa"/>
            <w:vAlign w:val="bottom"/>
          </w:tcPr>
          <w:p>
            <w:pPr>
              <w:spacing w:after="0"/>
              <w:rPr>
                <w:sz w:val="20"/>
                <w:szCs w:val="20"/>
                <w:color w:val="auto"/>
              </w:rPr>
            </w:pPr>
            <w:r>
              <w:rPr>
                <w:rFonts w:ascii="Arial" w:cs="Arial" w:eastAsia="Arial" w:hAnsi="Arial"/>
                <w:sz w:val="16"/>
                <w:szCs w:val="16"/>
                <w:color w:val="auto"/>
              </w:rPr>
              <w:t>Rental vehicles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23,168</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17,819</w:t>
            </w:r>
          </w:p>
        </w:tc>
      </w:tr>
      <w:tr>
        <w:trPr>
          <w:trHeight w:val="219"/>
        </w:trPr>
        <w:tc>
          <w:tcPr>
            <w:tcW w:w="6700" w:type="dxa"/>
            <w:vAlign w:val="bottom"/>
          </w:tcPr>
          <w:p>
            <w:pPr>
              <w:spacing w:after="0"/>
              <w:rPr>
                <w:sz w:val="20"/>
                <w:szCs w:val="20"/>
                <w:color w:val="auto"/>
              </w:rPr>
            </w:pPr>
            <w:r>
              <w:rPr>
                <w:rFonts w:ascii="Arial" w:cs="Arial" w:eastAsia="Arial" w:hAnsi="Arial"/>
                <w:sz w:val="16"/>
                <w:szCs w:val="16"/>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(2,211)</w:t>
            </w:r>
          </w:p>
        </w:tc>
      </w:tr>
      <w:tr>
        <w:trPr>
          <w:trHeight w:val="207"/>
        </w:trPr>
        <w:tc>
          <w:tcPr>
            <w:tcW w:w="6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20,658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15,608</w:t>
            </w:r>
          </w:p>
        </w:tc>
      </w:tr>
      <w:tr>
        <w:trPr>
          <w:trHeight w:val="216"/>
        </w:trPr>
        <w:tc>
          <w:tcPr>
            <w:tcW w:w="6700" w:type="dxa"/>
            <w:vAlign w:val="bottom"/>
          </w:tcPr>
          <w:p>
            <w:pPr>
              <w:spacing w:after="0"/>
              <w:rPr>
                <w:sz w:val="20"/>
                <w:szCs w:val="20"/>
                <w:color w:val="auto"/>
              </w:rPr>
            </w:pPr>
            <w:r>
              <w:rPr>
                <w:rFonts w:ascii="Arial" w:cs="Arial" w:eastAsia="Arial" w:hAnsi="Arial"/>
                <w:sz w:val="16"/>
                <w:szCs w:val="16"/>
                <w:color w:val="auto"/>
              </w:rPr>
              <w:t>Vehicles held for sale</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317</w:t>
            </w:r>
          </w:p>
        </w:tc>
      </w:tr>
      <w:tr>
        <w:trPr>
          <w:trHeight w:val="222"/>
        </w:trPr>
        <w:tc>
          <w:tcPr>
            <w:tcW w:w="6700" w:type="dxa"/>
            <w:vAlign w:val="bottom"/>
          </w:tcPr>
          <w:p>
            <w:pPr>
              <w:spacing w:after="0" w:line="222" w:lineRule="exact"/>
              <w:rPr>
                <w:sz w:val="20"/>
                <w:szCs w:val="20"/>
                <w:color w:val="auto"/>
              </w:rPr>
            </w:pPr>
            <w:r>
              <w:rPr>
                <w:rFonts w:ascii="Arial" w:cs="Arial" w:eastAsia="Arial" w:hAnsi="Arial"/>
                <w:sz w:val="16"/>
                <w:szCs w:val="16"/>
                <w:color w:val="auto"/>
              </w:rPr>
              <w:t xml:space="preserve">Vehicles, net investment in lease </w:t>
            </w:r>
            <w:r>
              <w:rPr>
                <w:rFonts w:ascii="Arial" w:cs="Arial" w:eastAsia="Arial" w:hAnsi="Arial"/>
                <w:sz w:val="21"/>
                <w:szCs w:val="21"/>
                <w:color w:val="auto"/>
                <w:vertAlign w:val="superscript"/>
              </w:rPr>
              <w:t>(a)</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09"/>
        </w:trPr>
        <w:tc>
          <w:tcPr>
            <w:tcW w:w="6700" w:type="dxa"/>
            <w:vAlign w:val="bottom"/>
          </w:tcPr>
          <w:p>
            <w:pPr>
              <w:spacing w:after="0"/>
              <w:rPr>
                <w:sz w:val="20"/>
                <w:szCs w:val="20"/>
                <w:color w:val="auto"/>
              </w:rPr>
            </w:pPr>
            <w:r>
              <w:rPr>
                <w:rFonts w:ascii="Arial" w:cs="Arial" w:eastAsia="Arial" w:hAnsi="Arial"/>
                <w:sz w:val="16"/>
                <w:szCs w:val="16"/>
                <w:color w:val="auto"/>
              </w:rPr>
              <w:t>Vehicles,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21,247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15,961</w:t>
            </w:r>
          </w:p>
        </w:tc>
      </w:tr>
      <w:tr>
        <w:trPr>
          <w:trHeight w:val="21"/>
        </w:trPr>
        <w:tc>
          <w:tcPr>
            <w:tcW w:w="6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________</w:t>
      </w:r>
    </w:p>
    <w:p>
      <w:pPr>
        <w:ind w:left="662" w:hanging="226"/>
        <w:spacing w:after="0" w:line="233" w:lineRule="auto"/>
        <w:tabs>
          <w:tab w:leader="none" w:pos="662"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See Note 15 – Related Party Transactions.</w:t>
      </w:r>
    </w:p>
    <w:p>
      <w:pPr>
        <w:spacing w:after="0" w:line="229"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27" w:lineRule="exact"/>
        <w:rPr>
          <w:sz w:val="20"/>
          <w:szCs w:val="20"/>
          <w:color w:val="auto"/>
        </w:rPr>
      </w:pPr>
    </w:p>
    <w:tbl>
      <w:tblPr>
        <w:tblLayout w:type="fixed"/>
        <w:tblInd w:w="462"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254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40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b w:val="1"/>
                <w:bCs w:val="1"/>
                <w:color w:val="auto"/>
              </w:rPr>
              <w:t>September 30,</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r>
      <w:tr>
        <w:trPr>
          <w:trHeight w:val="209"/>
        </w:trPr>
        <w:tc>
          <w:tcPr>
            <w:tcW w:w="40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204"/>
        </w:trPr>
        <w:tc>
          <w:tcPr>
            <w:tcW w:w="4000" w:type="dxa"/>
            <w:vAlign w:val="bottom"/>
          </w:tcPr>
          <w:p>
            <w:pPr>
              <w:spacing w:after="0"/>
              <w:rPr>
                <w:sz w:val="20"/>
                <w:szCs w:val="20"/>
                <w:color w:val="auto"/>
              </w:rPr>
            </w:pPr>
            <w:r>
              <w:rPr>
                <w:rFonts w:ascii="Arial" w:cs="Arial" w:eastAsia="Arial" w:hAnsi="Arial"/>
                <w:sz w:val="16"/>
                <w:szCs w:val="16"/>
                <w:color w:val="auto"/>
              </w:rPr>
              <w:t>Depreciation expense</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614</w:t>
            </w:r>
          </w:p>
        </w:tc>
        <w:tc>
          <w:tcPr>
            <w:tcW w:w="80" w:type="dxa"/>
            <w:vAlign w:val="bottom"/>
          </w:tcPr>
          <w:p>
            <w:pPr>
              <w:spacing w:after="0"/>
              <w:rPr>
                <w:sz w:val="17"/>
                <w:szCs w:val="17"/>
                <w:color w:val="auto"/>
              </w:rPr>
            </w:pP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455</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1,631</w:t>
            </w:r>
          </w:p>
        </w:tc>
        <w:tc>
          <w:tcPr>
            <w:tcW w:w="100" w:type="dxa"/>
            <w:vAlign w:val="bottom"/>
          </w:tcPr>
          <w:p>
            <w:pPr>
              <w:spacing w:after="0"/>
              <w:rPr>
                <w:sz w:val="17"/>
                <w:szCs w:val="17"/>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1,232</w:t>
            </w:r>
          </w:p>
        </w:tc>
      </w:tr>
      <w:tr>
        <w:trPr>
          <w:trHeight w:val="216"/>
        </w:trPr>
        <w:tc>
          <w:tcPr>
            <w:tcW w:w="4000" w:type="dxa"/>
            <w:vAlign w:val="bottom"/>
          </w:tcPr>
          <w:p>
            <w:pPr>
              <w:spacing w:after="0"/>
              <w:rPr>
                <w:sz w:val="20"/>
                <w:szCs w:val="20"/>
                <w:color w:val="auto"/>
              </w:rPr>
            </w:pPr>
            <w:r>
              <w:rPr>
                <w:rFonts w:ascii="Arial" w:cs="Arial" w:eastAsia="Arial" w:hAnsi="Arial"/>
                <w:sz w:val="16"/>
                <w:szCs w:val="16"/>
                <w:color w:val="auto"/>
              </w:rPr>
              <w:t>Lease charges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19"/>
        </w:trPr>
        <w:tc>
          <w:tcPr>
            <w:tcW w:w="4000" w:type="dxa"/>
            <w:vAlign w:val="bottom"/>
          </w:tcPr>
          <w:p>
            <w:pPr>
              <w:spacing w:after="0"/>
              <w:rPr>
                <w:sz w:val="20"/>
                <w:szCs w:val="20"/>
                <w:color w:val="auto"/>
              </w:rPr>
            </w:pPr>
            <w:r>
              <w:rPr>
                <w:rFonts w:ascii="Arial" w:cs="Arial" w:eastAsia="Arial" w:hAnsi="Arial"/>
                <w:sz w:val="16"/>
                <w:szCs w:val="16"/>
                <w:color w:val="auto"/>
              </w:rPr>
              <w:t>(Gain) loss on sale of vehicles, net</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w:t>
            </w:r>
          </w:p>
        </w:tc>
      </w:tr>
      <w:tr>
        <w:trPr>
          <w:trHeight w:val="213"/>
        </w:trPr>
        <w:tc>
          <w:tcPr>
            <w:tcW w:w="4000" w:type="dxa"/>
            <w:vAlign w:val="bottom"/>
          </w:tcPr>
          <w:p>
            <w:pPr>
              <w:spacing w:after="0"/>
              <w:rPr>
                <w:sz w:val="20"/>
                <w:szCs w:val="20"/>
                <w:color w:val="auto"/>
              </w:rPr>
            </w:pPr>
            <w:r>
              <w:rPr>
                <w:rFonts w:ascii="Arial" w:cs="Arial" w:eastAsia="Arial" w:hAnsi="Arial"/>
                <w:sz w:val="16"/>
                <w:szCs w:val="16"/>
                <w:color w:val="auto"/>
              </w:rPr>
              <w:t>Vehicle depreciation and lease charges, net</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w:t>
            </w:r>
          </w:p>
        </w:tc>
        <w:tc>
          <w:tcPr>
            <w:tcW w:w="80" w:type="dxa"/>
            <w:vAlign w:val="bottom"/>
          </w:tcPr>
          <w:p>
            <w:pPr>
              <w:spacing w:after="0"/>
              <w:rPr>
                <w:sz w:val="18"/>
                <w:szCs w:val="18"/>
                <w:color w:val="auto"/>
              </w:rPr>
            </w:pP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w:t>
            </w:r>
          </w:p>
        </w:tc>
      </w:tr>
      <w:tr>
        <w:trPr>
          <w:trHeight w:val="21"/>
        </w:trPr>
        <w:tc>
          <w:tcPr>
            <w:tcW w:w="4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jc w:val="both"/>
        <w:ind w:left="442"/>
        <w:spacing w:after="0" w:line="263" w:lineRule="auto"/>
        <w:rPr>
          <w:sz w:val="20"/>
          <w:szCs w:val="20"/>
          <w:color w:val="auto"/>
        </w:rPr>
      </w:pPr>
      <w:r>
        <w:rPr>
          <w:rFonts w:ascii="Arial" w:cs="Arial" w:eastAsia="Arial" w:hAnsi="Arial"/>
          <w:sz w:val="18"/>
          <w:szCs w:val="18"/>
          <w:color w:val="auto"/>
        </w:rPr>
        <w:t>At September 30, 2023 and 2022, we had payables related to vehicle purchases included in liabilities under vehicle programs - other of $206 million and $154 million, respectively, and receivables related to vehicle sales included in assets under vehicle programs - receivables from vehicle manufacturers and other of $252 million and $225 million, respectively.</w:t>
      </w:r>
    </w:p>
    <w:p>
      <w:pPr>
        <w:spacing w:after="0" w:line="201" w:lineRule="exact"/>
        <w:rPr>
          <w:sz w:val="20"/>
          <w:szCs w:val="20"/>
          <w:color w:val="auto"/>
        </w:rPr>
      </w:pPr>
    </w:p>
    <w:p>
      <w:pPr>
        <w:ind w:left="342" w:hanging="342"/>
        <w:spacing w:after="0"/>
        <w:tabs>
          <w:tab w:leader="none" w:pos="34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62" w:lineRule="exact"/>
        <w:rPr>
          <w:sz w:val="20"/>
          <w:szCs w:val="20"/>
          <w:color w:val="auto"/>
        </w:rPr>
      </w:pPr>
    </w:p>
    <w:p>
      <w:pPr>
        <w:jc w:val="both"/>
        <w:ind w:left="442" w:right="20"/>
        <w:spacing w:after="0" w:line="263" w:lineRule="auto"/>
        <w:rPr>
          <w:sz w:val="20"/>
          <w:szCs w:val="20"/>
          <w:color w:val="auto"/>
        </w:rPr>
      </w:pPr>
      <w:r>
        <w:rPr>
          <w:rFonts w:ascii="Arial" w:cs="Arial" w:eastAsia="Arial" w:hAnsi="Arial"/>
          <w:sz w:val="18"/>
          <w:szCs w:val="18"/>
          <w:color w:val="auto"/>
        </w:rPr>
        <w:t>Our effective tax rate for the nine months ended September 30, 2023 was a provision of 21.5%. Such rate differed from the Federal Statutory rate of 21.0% primarily due to foreign taxes on our International operations and state taxes, partially offset by the effect of certain tax credits and favorable adjustments related to stock-based compensation.</w:t>
      </w:r>
    </w:p>
    <w:p>
      <w:pPr>
        <w:spacing w:after="0" w:line="211" w:lineRule="exact"/>
        <w:rPr>
          <w:sz w:val="20"/>
          <w:szCs w:val="20"/>
          <w:color w:val="auto"/>
        </w:rPr>
      </w:pPr>
    </w:p>
    <w:p>
      <w:pPr>
        <w:jc w:val="both"/>
        <w:ind w:left="442" w:right="20"/>
        <w:spacing w:after="0" w:line="275" w:lineRule="auto"/>
        <w:rPr>
          <w:sz w:val="20"/>
          <w:szCs w:val="20"/>
          <w:color w:val="auto"/>
        </w:rPr>
      </w:pPr>
      <w:r>
        <w:rPr>
          <w:rFonts w:ascii="Arial" w:cs="Arial" w:eastAsia="Arial" w:hAnsi="Arial"/>
          <w:sz w:val="18"/>
          <w:szCs w:val="18"/>
          <w:color w:val="auto"/>
        </w:rPr>
        <w:t>Our effective tax rate for the nine months ended September 30, 2022 was a provision of 25.3%. Such rate differed from the Federal Statutory rate of 21.0% primarily due to foreign taxes on our International operations and state taxes.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69850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27" w:right="339" w:bottom="1440" w:gutter="0" w:footer="0" w:header="0"/>
        </w:sectPr>
      </w:pPr>
    </w:p>
    <w:bookmarkStart w:id="17" w:name="page18"/>
    <w:bookmarkEnd w:id="17"/>
    <w:p>
      <w:pPr>
        <w:ind w:left="2"/>
        <w:spacing w:after="0"/>
        <w:tabs>
          <w:tab w:leader="none" w:pos="422" w:val="left"/>
        </w:tabs>
        <w:rPr>
          <w:sz w:val="20"/>
          <w:szCs w:val="20"/>
          <w:color w:val="auto"/>
        </w:rPr>
      </w:pPr>
      <w:r>
        <w:rPr>
          <w:rFonts w:ascii="Arial" w:cs="Arial" w:eastAsia="Arial" w:hAnsi="Arial"/>
          <w:sz w:val="18"/>
          <w:szCs w:val="18"/>
          <w:b w:val="1"/>
          <w:bCs w:val="1"/>
          <w:color w:val="auto"/>
        </w:rPr>
        <w:t>10.</w:t>
        <w:tab/>
        <w:t>Accounts Payable and Other Current Liabilities</w:t>
      </w:r>
    </w:p>
    <w:p>
      <w:pPr>
        <w:spacing w:after="0" w:line="26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Accounts payable and other current liabilities consisted of:</w:t>
      </w:r>
    </w:p>
    <w:p>
      <w:pPr>
        <w:spacing w:after="0" w:line="44" w:lineRule="exact"/>
        <w:rPr>
          <w:sz w:val="20"/>
          <w:szCs w:val="20"/>
          <w:color w:val="auto"/>
        </w:rPr>
      </w:pPr>
    </w:p>
    <w:tbl>
      <w:tblPr>
        <w:tblLayout w:type="fixed"/>
        <w:tblInd w:w="462"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As of</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r>
      <w:tr>
        <w:trPr>
          <w:trHeight w:val="216"/>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December 31,</w:t>
            </w:r>
          </w:p>
        </w:tc>
      </w:tr>
      <w:tr>
        <w:trPr>
          <w:trHeight w:val="221"/>
        </w:trPr>
        <w:tc>
          <w:tcPr>
            <w:tcW w:w="6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2022</w:t>
            </w:r>
          </w:p>
        </w:tc>
      </w:tr>
      <w:tr>
        <w:trPr>
          <w:trHeight w:val="204"/>
        </w:trPr>
        <w:tc>
          <w:tcPr>
            <w:tcW w:w="6760" w:type="dxa"/>
            <w:vAlign w:val="bottom"/>
          </w:tcPr>
          <w:p>
            <w:pPr>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466</w:t>
            </w:r>
          </w:p>
        </w:tc>
      </w:tr>
      <w:tr>
        <w:trPr>
          <w:trHeight w:val="216"/>
        </w:trPr>
        <w:tc>
          <w:tcPr>
            <w:tcW w:w="6760" w:type="dxa"/>
            <w:vAlign w:val="bottom"/>
          </w:tcPr>
          <w:p>
            <w:pPr>
              <w:spacing w:after="0"/>
              <w:rPr>
                <w:sz w:val="20"/>
                <w:szCs w:val="20"/>
                <w:color w:val="auto"/>
              </w:rPr>
            </w:pPr>
            <w:r>
              <w:rPr>
                <w:rFonts w:ascii="Arial" w:cs="Arial" w:eastAsia="Arial" w:hAnsi="Arial"/>
                <w:sz w:val="16"/>
                <w:szCs w:val="16"/>
                <w:color w:val="auto"/>
              </w:rPr>
              <w:t>Short-term operating lease liabilities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555</w:t>
            </w:r>
          </w:p>
        </w:tc>
      </w:tr>
      <w:tr>
        <w:trPr>
          <w:trHeight w:val="216"/>
        </w:trPr>
        <w:tc>
          <w:tcPr>
            <w:tcW w:w="6760" w:type="dxa"/>
            <w:vAlign w:val="bottom"/>
          </w:tcPr>
          <w:p>
            <w:pPr>
              <w:spacing w:after="0"/>
              <w:rPr>
                <w:sz w:val="20"/>
                <w:szCs w:val="20"/>
                <w:color w:val="auto"/>
              </w:rPr>
            </w:pPr>
            <w:r>
              <w:rPr>
                <w:rFonts w:ascii="Arial" w:cs="Arial" w:eastAsia="Arial" w:hAnsi="Arial"/>
                <w:sz w:val="16"/>
                <w:szCs w:val="16"/>
                <w:color w:val="auto"/>
              </w:rPr>
              <w:t>Accrued sales and use taxes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16"/>
        </w:trPr>
        <w:tc>
          <w:tcPr>
            <w:tcW w:w="6760" w:type="dxa"/>
            <w:vAlign w:val="bottom"/>
          </w:tcPr>
          <w:p>
            <w:pPr>
              <w:spacing w:after="0"/>
              <w:rPr>
                <w:sz w:val="20"/>
                <w:szCs w:val="20"/>
                <w:color w:val="auto"/>
              </w:rPr>
            </w:pPr>
            <w:r>
              <w:rPr>
                <w:rFonts w:ascii="Arial" w:cs="Arial" w:eastAsia="Arial" w:hAnsi="Arial"/>
                <w:sz w:val="16"/>
                <w:szCs w:val="16"/>
                <w:color w:val="auto"/>
              </w:rPr>
              <w:t>Accrued advertising and marketing</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268</w:t>
            </w:r>
          </w:p>
        </w:tc>
      </w:tr>
      <w:tr>
        <w:trPr>
          <w:trHeight w:val="216"/>
        </w:trPr>
        <w:tc>
          <w:tcPr>
            <w:tcW w:w="6760" w:type="dxa"/>
            <w:vAlign w:val="bottom"/>
          </w:tcPr>
          <w:p>
            <w:pPr>
              <w:spacing w:after="0"/>
              <w:rPr>
                <w:sz w:val="20"/>
                <w:szCs w:val="20"/>
                <w:color w:val="auto"/>
              </w:rPr>
            </w:pPr>
            <w:r>
              <w:rPr>
                <w:rFonts w:ascii="Arial" w:cs="Arial" w:eastAsia="Arial" w:hAnsi="Arial"/>
                <w:sz w:val="16"/>
                <w:szCs w:val="16"/>
                <w:color w:val="auto"/>
              </w:rPr>
              <w:t>Deferred lease revenues - current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216"/>
        </w:trPr>
        <w:tc>
          <w:tcPr>
            <w:tcW w:w="6760" w:type="dxa"/>
            <w:vAlign w:val="bottom"/>
          </w:tcPr>
          <w:p>
            <w:pPr>
              <w:spacing w:after="0"/>
              <w:rPr>
                <w:sz w:val="20"/>
                <w:szCs w:val="20"/>
                <w:color w:val="auto"/>
              </w:rPr>
            </w:pPr>
            <w:r>
              <w:rPr>
                <w:rFonts w:ascii="Arial" w:cs="Arial" w:eastAsia="Arial" w:hAnsi="Arial"/>
                <w:sz w:val="16"/>
                <w:szCs w:val="16"/>
                <w:color w:val="auto"/>
              </w:rPr>
              <w:t>Accrued payroll and related</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216"/>
        </w:trPr>
        <w:tc>
          <w:tcPr>
            <w:tcW w:w="6760" w:type="dxa"/>
            <w:vAlign w:val="bottom"/>
          </w:tcPr>
          <w:p>
            <w:pPr>
              <w:spacing w:after="0"/>
              <w:rPr>
                <w:sz w:val="20"/>
                <w:szCs w:val="20"/>
                <w:color w:val="auto"/>
              </w:rPr>
            </w:pPr>
            <w:r>
              <w:rPr>
                <w:rFonts w:ascii="Arial" w:cs="Arial" w:eastAsia="Arial" w:hAnsi="Arial"/>
                <w:sz w:val="16"/>
                <w:szCs w:val="16"/>
                <w:color w:val="auto"/>
              </w:rPr>
              <w:t>Public liability and property damage insurance liabilities – current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174</w:t>
            </w:r>
          </w:p>
        </w:tc>
      </w:tr>
      <w:tr>
        <w:trPr>
          <w:trHeight w:val="219"/>
        </w:trPr>
        <w:tc>
          <w:tcPr>
            <w:tcW w:w="6760" w:type="dxa"/>
            <w:vAlign w:val="bottom"/>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w:t>
            </w:r>
          </w:p>
        </w:tc>
      </w:tr>
      <w:tr>
        <w:trPr>
          <w:trHeight w:val="213"/>
        </w:trPr>
        <w:tc>
          <w:tcPr>
            <w:tcW w:w="6760" w:type="dxa"/>
            <w:vAlign w:val="bottom"/>
          </w:tcPr>
          <w:p>
            <w:pPr>
              <w:spacing w:after="0"/>
              <w:rPr>
                <w:sz w:val="20"/>
                <w:szCs w:val="20"/>
                <w:color w:val="auto"/>
              </w:rPr>
            </w:pPr>
            <w:r>
              <w:rPr>
                <w:rFonts w:ascii="Arial" w:cs="Arial" w:eastAsia="Arial" w:hAnsi="Arial"/>
                <w:sz w:val="16"/>
                <w:szCs w:val="16"/>
                <w:color w:val="auto"/>
              </w:rPr>
              <w:t>Accounts payable and other current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2,547</w:t>
            </w:r>
          </w:p>
        </w:tc>
      </w:tr>
      <w:tr>
        <w:trPr>
          <w:trHeight w:val="21"/>
        </w:trPr>
        <w:tc>
          <w:tcPr>
            <w:tcW w:w="6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442" w:right="5300" w:hanging="442"/>
        <w:spacing w:after="0" w:line="417" w:lineRule="auto"/>
        <w:tabs>
          <w:tab w:leader="none" w:pos="426"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Corporate Debt and Borrowing Arrangements </w:t>
      </w:r>
      <w:r>
        <w:rPr>
          <w:rFonts w:ascii="Arial" w:cs="Arial" w:eastAsia="Arial" w:hAnsi="Arial"/>
          <w:sz w:val="18"/>
          <w:szCs w:val="18"/>
          <w:color w:val="auto"/>
        </w:rPr>
        <w:t>Long-term corporate debt and borrowing arrangements consisted of:</w:t>
      </w:r>
    </w:p>
    <w:p>
      <w:pPr>
        <w:spacing w:after="0" w:line="1" w:lineRule="exact"/>
        <w:rPr>
          <w:sz w:val="20"/>
          <w:szCs w:val="20"/>
          <w:color w:val="auto"/>
        </w:rPr>
      </w:pPr>
    </w:p>
    <w:tbl>
      <w:tblPr>
        <w:tblLayout w:type="fixed"/>
        <w:tblInd w:w="462"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As of</w:t>
            </w:r>
          </w:p>
        </w:tc>
        <w:tc>
          <w:tcPr>
            <w:tcW w:w="200" w:type="dxa"/>
            <w:vAlign w:val="bottom"/>
          </w:tcPr>
          <w:p>
            <w:pPr>
              <w:spacing w:after="0"/>
              <w:rPr>
                <w:sz w:val="18"/>
                <w:szCs w:val="18"/>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As of</w:t>
            </w:r>
          </w:p>
        </w:tc>
      </w:tr>
      <w:tr>
        <w:trPr>
          <w:trHeight w:val="221"/>
        </w:trPr>
        <w:tc>
          <w:tcPr>
            <w:tcW w:w="5080" w:type="dxa"/>
            <w:vAlign w:val="bottom"/>
          </w:tcPr>
          <w:p>
            <w:pPr>
              <w:spacing w:after="0"/>
              <w:rPr>
                <w:sz w:val="19"/>
                <w:szCs w:val="19"/>
                <w:color w:val="auto"/>
              </w:rPr>
            </w:pPr>
          </w:p>
        </w:tc>
        <w:tc>
          <w:tcPr>
            <w:tcW w:w="1700" w:type="dxa"/>
            <w:vAlign w:val="bottom"/>
            <w:gridSpan w:val="2"/>
          </w:tcPr>
          <w:p>
            <w:pPr>
              <w:ind w:left="480"/>
              <w:spacing w:after="0"/>
              <w:rPr>
                <w:sz w:val="20"/>
                <w:szCs w:val="20"/>
                <w:color w:val="auto"/>
              </w:rPr>
            </w:pPr>
            <w:r>
              <w:rPr>
                <w:rFonts w:ascii="Arial" w:cs="Arial" w:eastAsia="Arial" w:hAnsi="Arial"/>
                <w:sz w:val="16"/>
                <w:szCs w:val="16"/>
                <w:b w:val="1"/>
                <w:bCs w:val="1"/>
                <w:color w:val="auto"/>
              </w:rPr>
              <w:t>Maturity</w:t>
            </w:r>
          </w:p>
        </w:tc>
        <w:tc>
          <w:tcPr>
            <w:tcW w:w="180" w:type="dxa"/>
            <w:vAlign w:val="bottom"/>
          </w:tcPr>
          <w:p>
            <w:pPr>
              <w:spacing w:after="0"/>
              <w:rPr>
                <w:sz w:val="19"/>
                <w:szCs w:val="19"/>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9"/>
                <w:szCs w:val="19"/>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5080" w:type="dxa"/>
            <w:vAlign w:val="bottom"/>
          </w:tcPr>
          <w:p>
            <w:pPr>
              <w:spacing w:after="0"/>
              <w:rPr>
                <w:sz w:val="18"/>
                <w:szCs w:val="18"/>
                <w:color w:val="auto"/>
              </w:rPr>
            </w:pPr>
          </w:p>
        </w:tc>
        <w:tc>
          <w:tcPr>
            <w:tcW w:w="15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Date</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2022</w:t>
            </w:r>
          </w:p>
        </w:tc>
      </w:tr>
      <w:tr>
        <w:trPr>
          <w:trHeight w:val="204"/>
        </w:trPr>
        <w:tc>
          <w:tcPr>
            <w:tcW w:w="5080" w:type="dxa"/>
            <w:vAlign w:val="bottom"/>
          </w:tcPr>
          <w:p>
            <w:pPr>
              <w:spacing w:after="0"/>
              <w:rPr>
                <w:sz w:val="20"/>
                <w:szCs w:val="20"/>
                <w:color w:val="auto"/>
              </w:rPr>
            </w:pPr>
            <w:r>
              <w:rPr>
                <w:rFonts w:ascii="Arial" w:cs="Arial" w:eastAsia="Arial" w:hAnsi="Arial"/>
                <w:sz w:val="16"/>
                <w:szCs w:val="16"/>
                <w:color w:val="auto"/>
              </w:rPr>
              <w:t>4.125% euro-denominated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2024</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321</w:t>
            </w: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4.500% euro-denominated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May 2025</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268</w:t>
            </w: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4.750% euro-denominated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2026</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375</w:t>
            </w: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5.750%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July 2027</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732</w:t>
            </w: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4.750%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2028</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5.375%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2029</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7.250% euro-denominated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July 2030</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5"/>
        </w:trPr>
        <w:tc>
          <w:tcPr>
            <w:tcW w:w="5080" w:type="dxa"/>
            <w:vAlign w:val="bottom"/>
          </w:tcPr>
          <w:p>
            <w:pPr>
              <w:spacing w:after="0" w:line="226" w:lineRule="exact"/>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(a)</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August 2027</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1,176</w:t>
            </w:r>
          </w:p>
        </w:tc>
      </w:tr>
      <w:tr>
        <w:trPr>
          <w:trHeight w:val="216"/>
        </w:trPr>
        <w:tc>
          <w:tcPr>
            <w:tcW w:w="5080" w:type="dxa"/>
            <w:vAlign w:val="bottom"/>
          </w:tcPr>
          <w:p>
            <w:pPr>
              <w:spacing w:after="0" w:line="216" w:lineRule="exact"/>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(b)</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2029</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725</w:t>
            </w:r>
          </w:p>
        </w:tc>
      </w:tr>
      <w:tr>
        <w:trPr>
          <w:trHeight w:val="216"/>
        </w:trPr>
        <w:tc>
          <w:tcPr>
            <w:tcW w:w="5080" w:type="dxa"/>
            <w:vAlign w:val="bottom"/>
          </w:tcPr>
          <w:p>
            <w:pPr>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(c)</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07"/>
        </w:trPr>
        <w:tc>
          <w:tcPr>
            <w:tcW w:w="5080" w:type="dxa"/>
            <w:vAlign w:val="bottom"/>
          </w:tcPr>
          <w:p>
            <w:pPr>
              <w:spacing w:after="0"/>
              <w:rPr>
                <w:sz w:val="20"/>
                <w:szCs w:val="20"/>
                <w:color w:val="auto"/>
              </w:rPr>
            </w:pPr>
            <w:r>
              <w:rPr>
                <w:rFonts w:ascii="Arial" w:cs="Arial" w:eastAsia="Arial" w:hAnsi="Arial"/>
                <w:sz w:val="16"/>
                <w:szCs w:val="16"/>
                <w:color w:val="auto"/>
              </w:rPr>
              <w:t>Deferred financing fees</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210"/>
        </w:trPr>
        <w:tc>
          <w:tcPr>
            <w:tcW w:w="5080" w:type="dxa"/>
            <w:vAlign w:val="bottom"/>
          </w:tcPr>
          <w:p>
            <w:pPr>
              <w:spacing w:after="0"/>
              <w:rPr>
                <w:sz w:val="20"/>
                <w:szCs w:val="20"/>
                <w:color w:val="auto"/>
              </w:rPr>
            </w:pPr>
            <w:r>
              <w:rPr>
                <w:rFonts w:ascii="Arial" w:cs="Arial" w:eastAsia="Arial" w:hAnsi="Arial"/>
                <w:sz w:val="16"/>
                <w:szCs w:val="16"/>
                <w:color w:val="auto"/>
              </w:rPr>
              <w:t>Total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4,766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4,671</w:t>
            </w: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Less: Short-term debt and current portion of long-term debt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13"/>
        </w:trPr>
        <w:tc>
          <w:tcPr>
            <w:tcW w:w="5080" w:type="dxa"/>
            <w:vAlign w:val="bottom"/>
          </w:tcPr>
          <w:p>
            <w:pPr>
              <w:spacing w:after="0"/>
              <w:rPr>
                <w:sz w:val="20"/>
                <w:szCs w:val="20"/>
                <w:color w:val="auto"/>
              </w:rPr>
            </w:pPr>
            <w:r>
              <w:rPr>
                <w:rFonts w:ascii="Arial" w:cs="Arial" w:eastAsia="Arial" w:hAnsi="Arial"/>
                <w:sz w:val="16"/>
                <w:szCs w:val="16"/>
                <w:color w:val="auto"/>
              </w:rPr>
              <w:t>Long-term debt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4,644</w:t>
            </w:r>
          </w:p>
        </w:tc>
      </w:tr>
      <w:tr>
        <w:trPr>
          <w:trHeight w:val="23"/>
        </w:trPr>
        <w:tc>
          <w:tcPr>
            <w:tcW w:w="5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98"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p>
    <w:p>
      <w:pPr>
        <w:jc w:val="both"/>
        <w:ind w:left="762" w:hanging="326"/>
        <w:spacing w:after="0" w:line="260" w:lineRule="auto"/>
        <w:tabs>
          <w:tab w:leader="none" w:pos="755" w:val="left"/>
        </w:tabs>
        <w:numPr>
          <w:ilvl w:val="0"/>
          <w:numId w:val="18"/>
        </w:numPr>
        <w:rPr>
          <w:rFonts w:ascii="Arial" w:cs="Arial" w:eastAsia="Arial" w:hAnsi="Arial"/>
          <w:sz w:val="9"/>
          <w:szCs w:val="9"/>
          <w:color w:val="auto"/>
        </w:rPr>
      </w:pPr>
      <w:r>
        <w:rPr>
          <w:rFonts w:ascii="Arial" w:cs="Arial" w:eastAsia="Arial" w:hAnsi="Arial"/>
          <w:sz w:val="14"/>
          <w:szCs w:val="14"/>
          <w:color w:val="auto"/>
        </w:rPr>
        <w:t>The floating rate term loan is part of our senior revolving credit facility, which is secured by pledges of capital stock of certain of our subsidiaries, and liens on substantially all of our intellectual property and certain other real and personal property. As of September 30, 2023, the floating rate term loan due 2027 bears interest at one-month Secured Overnight Financing Rate (“SOFR”) plus 175 basis points, for an aggregate rate of 7.18%. We have entered into a swap to hedge $750 million of interest rate exposure related to the floating rate term loan at an aggregate rate of 3.26%.</w:t>
      </w:r>
    </w:p>
    <w:p>
      <w:pPr>
        <w:spacing w:after="0" w:line="1" w:lineRule="exact"/>
        <w:rPr>
          <w:rFonts w:ascii="Arial" w:cs="Arial" w:eastAsia="Arial" w:hAnsi="Arial"/>
          <w:sz w:val="9"/>
          <w:szCs w:val="9"/>
          <w:color w:val="auto"/>
        </w:rPr>
      </w:pPr>
    </w:p>
    <w:p>
      <w:pPr>
        <w:jc w:val="both"/>
        <w:ind w:left="762" w:hanging="326"/>
        <w:spacing w:after="0" w:line="227" w:lineRule="auto"/>
        <w:tabs>
          <w:tab w:leader="none" w:pos="755"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The floating rate term loan is part of our senior revolving credit facility, which is secured by pledges of capital stock of certain of our subsidiaries, and liens on substantially all of our intellectual property and certain other real and personal property. As of September 30, 2023, the floating rate term loan due 2029 bears interest at one-month SOFR plus 350 basis points for an aggregate rate of 8.92%.</w:t>
      </w:r>
    </w:p>
    <w:p>
      <w:pPr>
        <w:spacing w:after="0" w:line="1" w:lineRule="exact"/>
        <w:rPr>
          <w:rFonts w:ascii="Arial" w:cs="Arial" w:eastAsia="Arial" w:hAnsi="Arial"/>
          <w:sz w:val="19"/>
          <w:szCs w:val="19"/>
          <w:color w:val="auto"/>
          <w:vertAlign w:val="superscript"/>
        </w:rPr>
      </w:pPr>
    </w:p>
    <w:p>
      <w:pPr>
        <w:ind w:left="742" w:hanging="306"/>
        <w:spacing w:after="0" w:line="192" w:lineRule="auto"/>
        <w:tabs>
          <w:tab w:leader="none" w:pos="742"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Primarily includes finance leases, which are secured by liens on the related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27" w:right="339" w:bottom="1440" w:gutter="0" w:footer="0" w:header="0"/>
        </w:sectPr>
      </w:pPr>
    </w:p>
    <w:bookmarkStart w:id="18" w:name="page19"/>
    <w:bookmarkEnd w:id="18"/>
    <w:p>
      <w:pPr>
        <w:jc w:val="both"/>
        <w:ind w:left="442"/>
        <w:spacing w:after="0" w:line="263" w:lineRule="auto"/>
        <w:rPr>
          <w:sz w:val="20"/>
          <w:szCs w:val="20"/>
          <w:color w:val="auto"/>
        </w:rPr>
      </w:pPr>
      <w:r>
        <w:rPr>
          <w:rFonts w:ascii="Arial" w:cs="Arial" w:eastAsia="Arial" w:hAnsi="Arial"/>
          <w:sz w:val="18"/>
          <w:szCs w:val="18"/>
          <w:color w:val="auto"/>
        </w:rPr>
        <w:t>In July 2023, we issued €400 million of 7.25% euro-denominated Senior Notes due July 2030, at par, with interest payable semi-annually. In September 2023, we used net proceeds from the offering primarily to redeem €300 million of our outstanding 4.125% euro-denominated Senior Notes due November 2024 plus accrued interest.</w:t>
      </w:r>
    </w:p>
    <w:p>
      <w:pPr>
        <w:spacing w:after="0" w:line="201"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6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As of September 30, 2023, the committed corporate credit facilities available to us and/or our subsidiaries were as follows:</w:t>
      </w:r>
    </w:p>
    <w:p>
      <w:pPr>
        <w:spacing w:after="0" w:line="27" w:lineRule="exact"/>
        <w:rPr>
          <w:sz w:val="20"/>
          <w:szCs w:val="20"/>
          <w:color w:val="auto"/>
        </w:rPr>
      </w:pPr>
    </w:p>
    <w:tbl>
      <w:tblPr>
        <w:tblLayout w:type="fixed"/>
        <w:tblInd w:w="442"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Total</w:t>
            </w:r>
          </w:p>
        </w:tc>
        <w:tc>
          <w:tcPr>
            <w:tcW w:w="180" w:type="dxa"/>
            <w:vAlign w:val="bottom"/>
          </w:tcPr>
          <w:p>
            <w:pPr>
              <w:spacing w:after="0"/>
              <w:rPr>
                <w:sz w:val="16"/>
                <w:szCs w:val="16"/>
                <w:color w:val="auto"/>
              </w:rPr>
            </w:pPr>
          </w:p>
        </w:tc>
        <w:tc>
          <w:tcPr>
            <w:tcW w:w="150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rPr>
              <w:t>Outstanding</w:t>
            </w: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Letters of</w:t>
            </w:r>
          </w:p>
        </w:tc>
        <w:tc>
          <w:tcPr>
            <w:tcW w:w="220" w:type="dxa"/>
            <w:vAlign w:val="bottom"/>
          </w:tcPr>
          <w:p>
            <w:pPr>
              <w:spacing w:after="0"/>
              <w:rPr>
                <w:sz w:val="16"/>
                <w:szCs w:val="16"/>
                <w:color w:val="auto"/>
              </w:rPr>
            </w:pPr>
          </w:p>
        </w:tc>
        <w:tc>
          <w:tcPr>
            <w:tcW w:w="1180" w:type="dxa"/>
            <w:vAlign w:val="bottom"/>
          </w:tcPr>
          <w:p>
            <w:pPr>
              <w:ind w:left="120"/>
              <w:spacing w:after="0"/>
              <w:rPr>
                <w:sz w:val="20"/>
                <w:szCs w:val="20"/>
                <w:color w:val="auto"/>
              </w:rPr>
            </w:pPr>
            <w:r>
              <w:rPr>
                <w:rFonts w:ascii="Arial" w:cs="Arial" w:eastAsia="Arial" w:hAnsi="Arial"/>
                <w:sz w:val="16"/>
                <w:szCs w:val="16"/>
                <w:b w:val="1"/>
                <w:bCs w:val="1"/>
                <w:color w:val="auto"/>
              </w:rPr>
              <w:t>Available</w:t>
            </w:r>
          </w:p>
        </w:tc>
      </w:tr>
      <w:tr>
        <w:trPr>
          <w:trHeight w:val="216"/>
        </w:trPr>
        <w:tc>
          <w:tcPr>
            <w:tcW w:w="4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Capacity</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Credit Issued</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Capacity</w:t>
            </w:r>
          </w:p>
        </w:tc>
      </w:tr>
      <w:tr>
        <w:trPr>
          <w:trHeight w:val="274"/>
        </w:trPr>
        <w:tc>
          <w:tcPr>
            <w:tcW w:w="420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2026 </w:t>
            </w:r>
            <w:r>
              <w:rPr>
                <w:rFonts w:ascii="Arial" w:cs="Arial" w:eastAsia="Arial" w:hAnsi="Arial"/>
                <w:sz w:val="21"/>
                <w:szCs w:val="21"/>
                <w:color w:val="auto"/>
                <w:vertAlign w:val="superscript"/>
              </w:rPr>
              <w:t>(a)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3"/>
          </w:tcPr>
          <w:p>
            <w:pPr>
              <w:ind w:left="1000"/>
              <w:spacing w:after="0"/>
              <w:rPr>
                <w:sz w:val="20"/>
                <w:szCs w:val="20"/>
                <w:color w:val="auto"/>
              </w:rPr>
            </w:pPr>
            <w:r>
              <w:rPr>
                <w:rFonts w:ascii="Arial" w:cs="Arial" w:eastAsia="Arial" w:hAnsi="Arial"/>
                <w:sz w:val="16"/>
                <w:szCs w:val="16"/>
                <w:color w:val="auto"/>
              </w:rPr>
              <w:t>—  $</w:t>
            </w:r>
          </w:p>
        </w:tc>
        <w:tc>
          <w:tcPr>
            <w:tcW w:w="1260" w:type="dxa"/>
            <w:vAlign w:val="bottom"/>
          </w:tcPr>
          <w:p>
            <w:pPr>
              <w:jc w:val="right"/>
              <w:spacing w:after="0"/>
              <w:rPr>
                <w:sz w:val="20"/>
                <w:szCs w:val="20"/>
                <w:color w:val="auto"/>
              </w:rPr>
            </w:pPr>
            <w:r>
              <w:rPr>
                <w:rFonts w:ascii="Arial" w:cs="Arial" w:eastAsia="Arial" w:hAnsi="Arial"/>
                <w:sz w:val="16"/>
                <w:szCs w:val="16"/>
                <w:color w:val="auto"/>
              </w:rPr>
              <w:t>1,536</w:t>
            </w:r>
          </w:p>
        </w:tc>
        <w:tc>
          <w:tcPr>
            <w:tcW w:w="12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464</w:t>
            </w:r>
          </w:p>
        </w:tc>
      </w:tr>
      <w:tr>
        <w:trPr>
          <w:trHeight w:val="240"/>
        </w:trPr>
        <w:tc>
          <w:tcPr>
            <w:tcW w:w="4200" w:type="dxa"/>
            <w:vAlign w:val="bottom"/>
          </w:tcPr>
          <w:p>
            <w:pPr>
              <w:spacing w:after="0"/>
              <w:rPr>
                <w:sz w:val="20"/>
                <w:szCs w:val="20"/>
                <w:color w:val="auto"/>
              </w:rPr>
            </w:pPr>
            <w:r>
              <w:rPr>
                <w:rFonts w:ascii="Arial" w:cs="Arial" w:eastAsia="Arial" w:hAnsi="Arial"/>
                <w:sz w:val="16"/>
                <w:szCs w:val="16"/>
                <w:color w:val="auto"/>
              </w:rPr>
              <w:t>__________</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1" w:lineRule="exact"/>
        <w:rPr>
          <w:sz w:val="20"/>
          <w:szCs w:val="20"/>
          <w:color w:val="auto"/>
        </w:rPr>
      </w:pPr>
    </w:p>
    <w:p>
      <w:pPr>
        <w:jc w:val="both"/>
        <w:ind w:left="762" w:hanging="326"/>
        <w:spacing w:after="0" w:line="206" w:lineRule="auto"/>
        <w:tabs>
          <w:tab w:leader="none" w:pos="755"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The senior revolving credit facility bears interest at one-month SOFR plus 175 basis points and is part of our senior credit facilities, which include the floating rate term loan and the senior revolving credit facility, and which are secured by pledges of capital stock of certain of our subsidiaries, liens on substantially all of our intellectual property and certain other real and personal property.</w:t>
      </w:r>
    </w:p>
    <w:p>
      <w:pPr>
        <w:spacing w:after="0" w:line="207"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Debt Covenants</w:t>
      </w:r>
    </w:p>
    <w:p>
      <w:pPr>
        <w:spacing w:after="0" w:line="262" w:lineRule="exact"/>
        <w:rPr>
          <w:sz w:val="20"/>
          <w:szCs w:val="20"/>
          <w:color w:val="auto"/>
        </w:rPr>
      </w:pPr>
    </w:p>
    <w:p>
      <w:pPr>
        <w:jc w:val="both"/>
        <w:ind w:left="442"/>
        <w:spacing w:after="0" w:line="258" w:lineRule="auto"/>
        <w:rPr>
          <w:sz w:val="20"/>
          <w:szCs w:val="20"/>
          <w:color w:val="auto"/>
        </w:rPr>
      </w:pPr>
      <w:r>
        <w:rPr>
          <w:rFonts w:ascii="Arial" w:cs="Arial" w:eastAsia="Arial" w:hAnsi="Arial"/>
          <w:sz w:val="18"/>
          <w:szCs w:val="18"/>
          <w:color w:val="auto"/>
        </w:rPr>
        <w:t>The agreements governing our indebtedness contain restrictive covenants, including restrictions on dividends paid to us by certain of our subsidiaries, the incurrence of additional indebtedness and/or liens by us and certain of our subsidiaries, acquisitions, mergers, liquidations, and sale and leaseback transactions. Our senior credit facility also contains a maximum leverage ratio requirement. As of September 30, 2023, we were in compliance with the financial covenants governing our indebtedness.</w:t>
      </w:r>
    </w:p>
    <w:p>
      <w:pPr>
        <w:spacing w:after="0" w:line="207" w:lineRule="exact"/>
        <w:rPr>
          <w:sz w:val="20"/>
          <w:szCs w:val="20"/>
          <w:color w:val="auto"/>
        </w:rPr>
      </w:pPr>
    </w:p>
    <w:p>
      <w:pPr>
        <w:ind w:left="442" w:hanging="442"/>
        <w:spacing w:after="0"/>
        <w:tabs>
          <w:tab w:leader="none" w:pos="44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262" w:lineRule="exact"/>
        <w:rPr>
          <w:rFonts w:ascii="Arial" w:cs="Arial" w:eastAsia="Arial" w:hAnsi="Arial"/>
          <w:sz w:val="18"/>
          <w:szCs w:val="18"/>
          <w:b w:val="1"/>
          <w:bCs w:val="1"/>
          <w:color w:val="auto"/>
        </w:rPr>
      </w:pPr>
    </w:p>
    <w:p>
      <w:pPr>
        <w:ind w:left="442"/>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tbl>
      <w:tblPr>
        <w:tblLayout w:type="fixed"/>
        <w:tblInd w:w="462" w:type="dxa"/>
        <w:tblCellMar>
          <w:top w:w="0" w:type="dxa"/>
          <w:left w:w="0" w:type="dxa"/>
          <w:bottom w:w="0" w:type="dxa"/>
          <w:right w:w="0" w:type="dxa"/>
        </w:tblCellMar>
      </w:tblPr>
      <w:tr>
        <w:trPr>
          <w:trHeight w:val="230"/>
        </w:trPr>
        <w:tc>
          <w:tcPr>
            <w:tcW w:w="6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As of</w:t>
            </w:r>
          </w:p>
        </w:tc>
        <w:tc>
          <w:tcPr>
            <w:tcW w:w="180" w:type="dxa"/>
            <w:vAlign w:val="bottom"/>
          </w:tcPr>
          <w:p>
            <w:pPr>
              <w:spacing w:after="0"/>
              <w:rPr>
                <w:sz w:val="19"/>
                <w:szCs w:val="19"/>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As of</w:t>
            </w:r>
          </w:p>
        </w:tc>
      </w:tr>
      <w:tr>
        <w:trPr>
          <w:trHeight w:val="230"/>
        </w:trPr>
        <w:tc>
          <w:tcPr>
            <w:tcW w:w="6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9"/>
                <w:szCs w:val="19"/>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December 31,</w:t>
            </w:r>
          </w:p>
        </w:tc>
      </w:tr>
      <w:tr>
        <w:trPr>
          <w:trHeight w:val="239"/>
        </w:trPr>
        <w:tc>
          <w:tcPr>
            <w:tcW w:w="6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2022</w:t>
            </w: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Americas - Debt due to Avis Budget Rental Car Funding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15,182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11,322</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Americas - Debt borrowings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International - Debt borrowings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1,700</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International - Finance leases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24"/>
        </w:trPr>
        <w:tc>
          <w:tcPr>
            <w:tcW w:w="676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5"/>
        </w:trPr>
        <w:tc>
          <w:tcPr>
            <w:tcW w:w="6760" w:type="dxa"/>
            <w:vAlign w:val="bottom"/>
          </w:tcPr>
          <w:p>
            <w:pPr>
              <w:spacing w:after="0" w:line="235" w:lineRule="exact"/>
              <w:rPr>
                <w:sz w:val="20"/>
                <w:szCs w:val="20"/>
                <w:color w:val="auto"/>
              </w:rPr>
            </w:pPr>
            <w:r>
              <w:rPr>
                <w:rFonts w:ascii="Arial" w:cs="Arial" w:eastAsia="Arial" w:hAnsi="Arial"/>
                <w:sz w:val="18"/>
                <w:szCs w:val="18"/>
                <w:color w:val="auto"/>
              </w:rPr>
              <w:t xml:space="preserve">Deferred financing fees </w:t>
            </w:r>
            <w:r>
              <w:rPr>
                <w:rFonts w:ascii="Arial" w:cs="Arial" w:eastAsia="Arial" w:hAnsi="Arial"/>
                <w:sz w:val="23"/>
                <w:szCs w:val="23"/>
                <w:color w:val="auto"/>
                <w:vertAlign w:val="superscript"/>
              </w:rPr>
              <w:t>(a)</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13,809</w:t>
            </w:r>
          </w:p>
        </w:tc>
      </w:tr>
      <w:tr>
        <w:trPr>
          <w:trHeight w:val="20"/>
        </w:trPr>
        <w:tc>
          <w:tcPr>
            <w:tcW w:w="6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p>
    <w:p>
      <w:pPr>
        <w:ind w:left="762" w:hanging="326"/>
        <w:spacing w:after="0" w:line="278" w:lineRule="auto"/>
        <w:tabs>
          <w:tab w:leader="none" w:pos="755" w:val="left"/>
        </w:tabs>
        <w:numPr>
          <w:ilvl w:val="0"/>
          <w:numId w:val="21"/>
        </w:numPr>
        <w:rPr>
          <w:rFonts w:ascii="Arial" w:cs="Arial" w:eastAsia="Arial" w:hAnsi="Arial"/>
          <w:sz w:val="9"/>
          <w:szCs w:val="9"/>
          <w:color w:val="auto"/>
        </w:rPr>
      </w:pPr>
      <w:r>
        <w:rPr>
          <w:rFonts w:ascii="Arial" w:cs="Arial" w:eastAsia="Arial" w:hAnsi="Arial"/>
          <w:sz w:val="14"/>
          <w:szCs w:val="14"/>
          <w:color w:val="auto"/>
        </w:rPr>
        <w:t>Deferred financing fees related to Debt due to Avis Budget Rental Car Funding as of September 30, 2023 and December 31, 2022 were $67 million and $47 million, respectively.</w:t>
      </w:r>
    </w:p>
    <w:p>
      <w:pPr>
        <w:spacing w:after="0" w:line="203" w:lineRule="exact"/>
        <w:rPr>
          <w:sz w:val="20"/>
          <w:szCs w:val="20"/>
          <w:color w:val="auto"/>
        </w:rPr>
      </w:pPr>
    </w:p>
    <w:p>
      <w:pPr>
        <w:jc w:val="both"/>
        <w:ind w:left="442"/>
        <w:spacing w:after="0" w:line="263" w:lineRule="auto"/>
        <w:rPr>
          <w:sz w:val="20"/>
          <w:szCs w:val="20"/>
          <w:color w:val="auto"/>
        </w:rPr>
      </w:pPr>
      <w:r>
        <w:rPr>
          <w:rFonts w:ascii="Arial" w:cs="Arial" w:eastAsia="Arial" w:hAnsi="Arial"/>
          <w:sz w:val="18"/>
          <w:szCs w:val="18"/>
          <w:color w:val="auto"/>
        </w:rPr>
        <w:t>In January 2023, our Avis Budget Rental Car Funding (AESOP) LLC subsidiary issued $500 million and $350 million of asset-backed notes to investors with an expected final payment date of April 2028 and October 2026, respectively, and a weighted average interest rate of 5.36% and 5.31%, respectively.</w:t>
      </w:r>
    </w:p>
    <w:p>
      <w:pPr>
        <w:spacing w:after="0" w:line="211" w:lineRule="exact"/>
        <w:rPr>
          <w:sz w:val="20"/>
          <w:szCs w:val="20"/>
          <w:color w:val="auto"/>
        </w:rPr>
      </w:pPr>
    </w:p>
    <w:p>
      <w:pPr>
        <w:jc w:val="both"/>
        <w:ind w:left="442"/>
        <w:spacing w:after="0" w:line="263" w:lineRule="auto"/>
        <w:rPr>
          <w:sz w:val="20"/>
          <w:szCs w:val="20"/>
          <w:color w:val="auto"/>
        </w:rPr>
      </w:pPr>
      <w:r>
        <w:rPr>
          <w:rFonts w:ascii="Arial" w:cs="Arial" w:eastAsia="Arial" w:hAnsi="Arial"/>
          <w:sz w:val="18"/>
          <w:szCs w:val="18"/>
          <w:color w:val="auto"/>
        </w:rPr>
        <w:t>In April 2023, our Avis Budget Rental Car Funding (AESOP) LLC subsidiary issued $450 million and $ 550 million of asset-backed notes to investors with an expected final payment date of February 2027 and June 2028, respectively, and a weighted average interest rate of 5.67% and 5.76%, respectively.</w:t>
      </w:r>
    </w:p>
    <w:p>
      <w:pPr>
        <w:spacing w:after="0" w:line="211" w:lineRule="exact"/>
        <w:rPr>
          <w:sz w:val="20"/>
          <w:szCs w:val="20"/>
          <w:color w:val="auto"/>
        </w:rPr>
      </w:pPr>
    </w:p>
    <w:p>
      <w:pPr>
        <w:jc w:val="both"/>
        <w:ind w:left="442"/>
        <w:spacing w:after="0" w:line="263" w:lineRule="auto"/>
        <w:rPr>
          <w:sz w:val="20"/>
          <w:szCs w:val="20"/>
          <w:color w:val="auto"/>
        </w:rPr>
      </w:pPr>
      <w:r>
        <w:rPr>
          <w:rFonts w:ascii="Arial" w:cs="Arial" w:eastAsia="Arial" w:hAnsi="Arial"/>
          <w:sz w:val="18"/>
          <w:szCs w:val="18"/>
          <w:color w:val="auto"/>
        </w:rPr>
        <w:t>In June 2023, our Avis Budget Rental Car Funding (AESOP) LLC subsidiary issued $ 476 million and $526 million of asset-backed notes to investors with an expected final payment date of April 2027 and December 2028, respectively, and a weighted average interest rate of 5.91% and 5.98%, respectively.</w:t>
      </w:r>
    </w:p>
    <w:p>
      <w:pPr>
        <w:spacing w:after="0" w:line="211" w:lineRule="exact"/>
        <w:rPr>
          <w:sz w:val="20"/>
          <w:szCs w:val="20"/>
          <w:color w:val="auto"/>
        </w:rPr>
      </w:pPr>
    </w:p>
    <w:p>
      <w:pPr>
        <w:ind w:left="442"/>
        <w:spacing w:after="0"/>
        <w:rPr>
          <w:sz w:val="20"/>
          <w:szCs w:val="20"/>
          <w:color w:val="auto"/>
        </w:rPr>
      </w:pPr>
      <w:r>
        <w:rPr>
          <w:rFonts w:ascii="Arial" w:cs="Arial" w:eastAsia="Arial" w:hAnsi="Arial"/>
          <w:sz w:val="18"/>
          <w:szCs w:val="18"/>
          <w:color w:val="auto"/>
        </w:rPr>
        <w:t>In September 2023, our Avis Budget Rental Car Funding (AESOP) LLC subsidiary issued $300 million and</w:t>
      </w:r>
    </w:p>
    <w:p>
      <w:pPr>
        <w:sectPr>
          <w:pgSz w:w="11900" w:h="16838" w:orient="portrait"/>
          <w:cols w:equalWidth="0" w:num="1">
            <w:col w:w="11182"/>
          </w:cols>
          <w:pgMar w:left="378" w:top="9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8"/>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76835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7" w:right="339" w:bottom="1440" w:gutter="0" w:footer="0" w:header="0"/>
          <w:type w:val="continuous"/>
        </w:sectPr>
      </w:pPr>
    </w:p>
    <w:bookmarkStart w:id="19" w:name="page20"/>
    <w:bookmarkEnd w:id="19"/>
    <w:p>
      <w:pPr>
        <w:ind w:left="442"/>
        <w:spacing w:after="0" w:line="275" w:lineRule="auto"/>
        <w:rPr>
          <w:sz w:val="20"/>
          <w:szCs w:val="20"/>
          <w:color w:val="auto"/>
        </w:rPr>
      </w:pPr>
      <w:r>
        <w:rPr>
          <w:rFonts w:ascii="Arial" w:cs="Arial" w:eastAsia="Arial" w:hAnsi="Arial"/>
          <w:sz w:val="18"/>
          <w:szCs w:val="18"/>
          <w:color w:val="auto"/>
        </w:rPr>
        <w:t>$700 million of asset-backed notes to investors with an expected final payment date of August 2027 and February 2029, respectively, and a weighted average interest rate of 6.09% and 6.21%, respectively.</w:t>
      </w:r>
    </w:p>
    <w:p>
      <w:pPr>
        <w:spacing w:after="0" w:line="191"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Debt Maturities</w:t>
      </w:r>
    </w:p>
    <w:p>
      <w:pPr>
        <w:spacing w:after="0" w:line="262" w:lineRule="exact"/>
        <w:rPr>
          <w:sz w:val="20"/>
          <w:szCs w:val="20"/>
          <w:color w:val="auto"/>
        </w:rPr>
      </w:pPr>
    </w:p>
    <w:p>
      <w:pPr>
        <w:ind w:left="442" w:right="20"/>
        <w:spacing w:after="0" w:line="268" w:lineRule="auto"/>
        <w:rPr>
          <w:sz w:val="20"/>
          <w:szCs w:val="20"/>
          <w:color w:val="auto"/>
        </w:rPr>
      </w:pPr>
      <w:r>
        <w:rPr>
          <w:rFonts w:ascii="Arial" w:cs="Arial" w:eastAsia="Arial" w:hAnsi="Arial"/>
          <w:sz w:val="18"/>
          <w:szCs w:val="18"/>
          <w:color w:val="auto"/>
        </w:rPr>
        <w:t>The following table provides the contractual maturities of our debt under vehicle programs, including related party debt due to Avis Budget Rental Car Funding, at September 30, 2023:</w:t>
      </w:r>
    </w:p>
    <w:p>
      <w:pPr>
        <w:jc w:val="center"/>
        <w:ind w:left="8440"/>
        <w:spacing w:after="0" w:line="229" w:lineRule="auto"/>
        <w:rPr>
          <w:sz w:val="20"/>
          <w:szCs w:val="20"/>
          <w:color w:val="auto"/>
        </w:rPr>
      </w:pPr>
      <w:r>
        <w:rPr>
          <w:rFonts w:ascii="Arial" w:cs="Arial" w:eastAsia="Arial" w:hAnsi="Arial"/>
          <w:sz w:val="18"/>
          <w:szCs w:val="18"/>
          <w:b w:val="1"/>
          <w:bCs w:val="1"/>
          <w:color w:val="auto"/>
        </w:rPr>
        <w:t>Debt under</w:t>
      </w:r>
    </w:p>
    <w:p>
      <w:pPr>
        <w:jc w:val="center"/>
        <w:ind w:left="8440"/>
        <w:spacing w:after="0" w:line="200" w:lineRule="auto"/>
        <w:rPr>
          <w:sz w:val="20"/>
          <w:szCs w:val="20"/>
          <w:color w:val="auto"/>
        </w:rPr>
      </w:pPr>
      <w:r>
        <w:rPr>
          <w:rFonts w:ascii="Arial" w:cs="Arial" w:eastAsia="Arial" w:hAnsi="Arial"/>
          <w:sz w:val="13"/>
          <w:szCs w:val="13"/>
          <w:b w:val="1"/>
          <w:bCs w:val="1"/>
          <w:color w:val="auto"/>
        </w:rPr>
        <w:t>Vehicle Programs</w:t>
      </w:r>
    </w:p>
    <w:p>
      <w:pPr>
        <w:ind w:left="9722"/>
        <w:spacing w:after="0"/>
        <w:rPr>
          <w:sz w:val="20"/>
          <w:szCs w:val="20"/>
          <w:color w:val="auto"/>
        </w:rPr>
      </w:pPr>
      <w:r>
        <w:rPr>
          <w:rFonts w:ascii="Arial" w:cs="Arial" w:eastAsia="Arial" w:hAnsi="Arial"/>
          <w:sz w:val="12"/>
          <w:szCs w:val="12"/>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5694680</wp:posOffset>
            </wp:positionH>
            <wp:positionV relativeFrom="paragraph">
              <wp:posOffset>48260</wp:posOffset>
            </wp:positionV>
            <wp:extent cx="10369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ectPr>
          <w:pgSz w:w="11900" w:h="16838" w:orient="portrait"/>
          <w:cols w:equalWidth="0" w:num="1">
            <w:col w:w="11182"/>
          </w:cols>
          <w:pgMar w:left="378" w:top="937" w:right="339" w:bottom="1440" w:gutter="0" w:footer="0" w:header="0"/>
        </w:sectPr>
      </w:pPr>
    </w:p>
    <w:p>
      <w:pPr>
        <w:spacing w:after="0" w:line="57" w:lineRule="exact"/>
        <w:rPr>
          <w:sz w:val="20"/>
          <w:szCs w:val="20"/>
          <w:color w:val="auto"/>
        </w:rPr>
      </w:pPr>
    </w:p>
    <w:p>
      <w:pPr>
        <w:ind w:left="462"/>
        <w:spacing w:after="0"/>
        <w:rPr>
          <w:sz w:val="20"/>
          <w:szCs w:val="20"/>
          <w:color w:val="auto"/>
        </w:rPr>
      </w:pPr>
      <w:r>
        <w:rPr>
          <w:rFonts w:ascii="Arial" w:cs="Arial" w:eastAsia="Arial" w:hAnsi="Arial"/>
          <w:sz w:val="18"/>
          <w:szCs w:val="18"/>
          <w:color w:val="auto"/>
        </w:rPr>
        <w:t xml:space="preserve">Within 1 year </w:t>
      </w:r>
      <w:r>
        <w:rPr>
          <w:rFonts w:ascii="Arial" w:cs="Arial" w:eastAsia="Arial" w:hAnsi="Arial"/>
          <w:sz w:val="23"/>
          <w:szCs w:val="23"/>
          <w:color w:val="auto"/>
          <w:vertAlign w:val="superscript"/>
        </w:rPr>
        <w:t>(b)</w:t>
      </w:r>
    </w:p>
    <w:p>
      <w:pPr>
        <w:ind w:left="462"/>
        <w:spacing w:after="0" w:line="217" w:lineRule="auto"/>
        <w:rPr>
          <w:sz w:val="20"/>
          <w:szCs w:val="20"/>
          <w:color w:val="auto"/>
        </w:rPr>
      </w:pPr>
      <w:r>
        <w:rPr>
          <w:rFonts w:ascii="Arial" w:cs="Arial" w:eastAsia="Arial" w:hAnsi="Arial"/>
          <w:sz w:val="18"/>
          <w:szCs w:val="18"/>
          <w:color w:val="auto"/>
        </w:rPr>
        <w:t xml:space="preserve">Between 1 and 2 years </w:t>
      </w:r>
      <w:r>
        <w:rPr>
          <w:rFonts w:ascii="Arial" w:cs="Arial" w:eastAsia="Arial" w:hAnsi="Arial"/>
          <w:sz w:val="23"/>
          <w:szCs w:val="23"/>
          <w:color w:val="auto"/>
          <w:vertAlign w:val="superscript"/>
        </w:rPr>
        <w:t>(c)</w:t>
      </w:r>
    </w:p>
    <w:p>
      <w:pPr>
        <w:spacing w:after="0" w:line="1" w:lineRule="exact"/>
        <w:rPr>
          <w:sz w:val="20"/>
          <w:szCs w:val="20"/>
          <w:color w:val="auto"/>
        </w:rPr>
      </w:pPr>
    </w:p>
    <w:p>
      <w:pPr>
        <w:ind w:left="462"/>
        <w:spacing w:after="0"/>
        <w:rPr>
          <w:sz w:val="20"/>
          <w:szCs w:val="20"/>
          <w:color w:val="auto"/>
        </w:rPr>
      </w:pPr>
      <w:r>
        <w:rPr>
          <w:rFonts w:ascii="Arial" w:cs="Arial" w:eastAsia="Arial" w:hAnsi="Arial"/>
          <w:sz w:val="18"/>
          <w:szCs w:val="18"/>
          <w:color w:val="auto"/>
        </w:rPr>
        <w:t>Between 2 and 3 years</w:t>
      </w:r>
    </w:p>
    <w:p>
      <w:pPr>
        <w:spacing w:after="0" w:line="11" w:lineRule="exact"/>
        <w:rPr>
          <w:sz w:val="20"/>
          <w:szCs w:val="20"/>
          <w:color w:val="auto"/>
        </w:rPr>
      </w:pPr>
    </w:p>
    <w:p>
      <w:pPr>
        <w:ind w:left="462"/>
        <w:spacing w:after="0"/>
        <w:rPr>
          <w:sz w:val="20"/>
          <w:szCs w:val="20"/>
          <w:color w:val="auto"/>
        </w:rPr>
      </w:pPr>
      <w:r>
        <w:rPr>
          <w:rFonts w:ascii="Arial" w:cs="Arial" w:eastAsia="Arial" w:hAnsi="Arial"/>
          <w:sz w:val="18"/>
          <w:szCs w:val="18"/>
          <w:color w:val="auto"/>
        </w:rPr>
        <w:t>Between 3 and 4 years</w:t>
      </w:r>
    </w:p>
    <w:p>
      <w:pPr>
        <w:ind w:left="462"/>
        <w:spacing w:after="0"/>
        <w:rPr>
          <w:sz w:val="20"/>
          <w:szCs w:val="20"/>
          <w:color w:val="auto"/>
        </w:rPr>
      </w:pPr>
      <w:r>
        <w:rPr>
          <w:rFonts w:ascii="Arial" w:cs="Arial" w:eastAsia="Arial" w:hAnsi="Arial"/>
          <w:sz w:val="18"/>
          <w:szCs w:val="18"/>
          <w:color w:val="auto"/>
        </w:rPr>
        <w:t xml:space="preserve">Between 4 and 5 years </w:t>
      </w:r>
      <w:r>
        <w:rPr>
          <w:rFonts w:ascii="Arial" w:cs="Arial" w:eastAsia="Arial" w:hAnsi="Arial"/>
          <w:sz w:val="23"/>
          <w:szCs w:val="23"/>
          <w:color w:val="auto"/>
          <w:vertAlign w:val="superscript"/>
        </w:rPr>
        <w:t>(d)</w:t>
      </w:r>
    </w:p>
    <w:p>
      <w:pPr>
        <w:ind w:left="462"/>
        <w:spacing w:after="0"/>
        <w:rPr>
          <w:sz w:val="20"/>
          <w:szCs w:val="20"/>
          <w:color w:val="auto"/>
        </w:rPr>
      </w:pPr>
      <w:r>
        <w:rPr>
          <w:rFonts w:ascii="Arial" w:cs="Arial" w:eastAsia="Arial" w:hAnsi="Arial"/>
          <w:sz w:val="18"/>
          <w:szCs w:val="18"/>
          <w:color w:val="auto"/>
        </w:rPr>
        <w:t>Thereafter</w:t>
      </w:r>
    </w:p>
    <w:p>
      <w:pPr>
        <w:spacing w:after="0" w:line="51" w:lineRule="exact"/>
        <w:rPr>
          <w:sz w:val="20"/>
          <w:szCs w:val="20"/>
          <w:color w:val="auto"/>
        </w:rPr>
      </w:pPr>
    </w:p>
    <w:p>
      <w:pPr>
        <w:ind w:left="462"/>
        <w:spacing w:after="0"/>
        <w:rPr>
          <w:sz w:val="20"/>
          <w:szCs w:val="20"/>
          <w:color w:val="auto"/>
        </w:rPr>
      </w:pPr>
      <w:r>
        <w:rPr>
          <w:rFonts w:ascii="Arial" w:cs="Arial" w:eastAsia="Arial" w:hAnsi="Arial"/>
          <w:sz w:val="18"/>
          <w:szCs w:val="18"/>
          <w:color w:val="auto"/>
        </w:rPr>
        <w:t>Total</w:t>
      </w:r>
    </w:p>
    <w:p>
      <w:pPr>
        <w:spacing w:after="0" w:line="147"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p>
    <w:p>
      <w:pPr>
        <w:ind w:left="702" w:hanging="266"/>
        <w:spacing w:after="0"/>
        <w:tabs>
          <w:tab w:leader="none" w:pos="702" w:val="left"/>
        </w:tabs>
        <w:numPr>
          <w:ilvl w:val="0"/>
          <w:numId w:val="22"/>
        </w:numPr>
        <w:rPr>
          <w:rFonts w:ascii="Arial" w:cs="Arial" w:eastAsia="Arial" w:hAnsi="Arial"/>
          <w:sz w:val="9"/>
          <w:szCs w:val="9"/>
          <w:color w:val="auto"/>
        </w:rPr>
      </w:pPr>
      <w:r>
        <w:rPr>
          <w:rFonts w:ascii="Arial" w:cs="Arial" w:eastAsia="Arial" w:hAnsi="Arial"/>
          <w:sz w:val="14"/>
          <w:szCs w:val="14"/>
          <w:color w:val="auto"/>
        </w:rPr>
        <w:t>Vehicle-backed debt primarily represents asset-backed securities.</w:t>
      </w:r>
    </w:p>
    <w:p>
      <w:pPr>
        <w:spacing w:after="0" w:line="11" w:lineRule="exact"/>
        <w:rPr>
          <w:rFonts w:ascii="Arial" w:cs="Arial" w:eastAsia="Arial" w:hAnsi="Arial"/>
          <w:sz w:val="9"/>
          <w:szCs w:val="9"/>
          <w:color w:val="auto"/>
        </w:rPr>
      </w:pPr>
    </w:p>
    <w:p>
      <w:pPr>
        <w:ind w:left="702" w:hanging="266"/>
        <w:spacing w:after="0" w:line="192" w:lineRule="auto"/>
        <w:tabs>
          <w:tab w:leader="none" w:pos="702"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Includes $2.7 billion of bank and bank-sponsored facilities.</w:t>
      </w:r>
    </w:p>
    <w:p>
      <w:pPr>
        <w:spacing w:after="0" w:line="3" w:lineRule="exact"/>
        <w:rPr>
          <w:rFonts w:ascii="Arial" w:cs="Arial" w:eastAsia="Arial" w:hAnsi="Arial"/>
          <w:sz w:val="19"/>
          <w:szCs w:val="19"/>
          <w:color w:val="auto"/>
          <w:vertAlign w:val="superscript"/>
        </w:rPr>
      </w:pPr>
    </w:p>
    <w:p>
      <w:pPr>
        <w:ind w:left="702" w:hanging="266"/>
        <w:spacing w:after="0" w:line="189" w:lineRule="auto"/>
        <w:tabs>
          <w:tab w:leader="none" w:pos="702"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Includes $3.7 billion of bank and bank-sponsored facilities.</w:t>
      </w:r>
    </w:p>
    <w:p>
      <w:pPr>
        <w:spacing w:after="0" w:line="3" w:lineRule="exact"/>
        <w:rPr>
          <w:rFonts w:ascii="Arial" w:cs="Arial" w:eastAsia="Arial" w:hAnsi="Arial"/>
          <w:sz w:val="19"/>
          <w:szCs w:val="19"/>
          <w:color w:val="auto"/>
          <w:vertAlign w:val="superscript"/>
        </w:rPr>
      </w:pPr>
    </w:p>
    <w:p>
      <w:pPr>
        <w:ind w:left="702" w:hanging="266"/>
        <w:spacing w:after="0" w:line="189" w:lineRule="auto"/>
        <w:tabs>
          <w:tab w:leader="none" w:pos="702"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Includes $0.1 billion of bank and bank-sponsored facilities.</w:t>
      </w:r>
    </w:p>
    <w:p>
      <w:pPr>
        <w:spacing w:after="0" w:line="219" w:lineRule="exact"/>
        <w:rPr>
          <w:sz w:val="20"/>
          <w:szCs w:val="20"/>
          <w:color w:val="auto"/>
        </w:rPr>
      </w:pPr>
    </w:p>
    <w:p>
      <w:pPr>
        <w:ind w:left="442"/>
        <w:spacing w:after="0"/>
        <w:rPr>
          <w:sz w:val="20"/>
          <w:szCs w:val="20"/>
          <w:color w:val="auto"/>
        </w:rPr>
      </w:pPr>
      <w:r>
        <w:rPr>
          <w:rFonts w:ascii="Arial" w:cs="Arial" w:eastAsia="Arial" w:hAnsi="Arial"/>
          <w:sz w:val="17"/>
          <w:szCs w:val="17"/>
          <w:b w:val="1"/>
          <w:bCs w:val="1"/>
          <w:i w:val="1"/>
          <w:iCs w:val="1"/>
          <w:color w:val="auto"/>
        </w:rPr>
        <w:t>Committed Credit Facilities and Available Funding Arrangements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1096" w:hanging="1096"/>
        <w:spacing w:after="0"/>
        <w:tabs>
          <w:tab w:leader="none" w:pos="1096" w:val="left"/>
        </w:tabs>
        <w:numPr>
          <w:ilvl w:val="0"/>
          <w:numId w:val="23"/>
        </w:numPr>
        <w:rPr>
          <w:rFonts w:ascii="Arial" w:cs="Arial" w:eastAsia="Arial" w:hAnsi="Arial"/>
          <w:sz w:val="17"/>
          <w:szCs w:val="17"/>
          <w:color w:val="auto"/>
        </w:rPr>
      </w:pPr>
      <w:r>
        <w:rPr>
          <w:rFonts w:ascii="Arial" w:cs="Arial" w:eastAsia="Arial" w:hAnsi="Arial"/>
          <w:sz w:val="17"/>
          <w:szCs w:val="17"/>
          <w:color w:val="auto"/>
        </w:rPr>
        <w:t>4,343</w:t>
      </w:r>
    </w:p>
    <w:p>
      <w:pPr>
        <w:spacing w:after="0" w:line="34" w:lineRule="exact"/>
        <w:rPr>
          <w:rFonts w:ascii="Arial" w:cs="Arial" w:eastAsia="Arial" w:hAnsi="Arial"/>
          <w:sz w:val="17"/>
          <w:szCs w:val="17"/>
          <w:color w:val="auto"/>
        </w:rPr>
      </w:pPr>
    </w:p>
    <w:p>
      <w:pPr>
        <w:ind w:left="1096"/>
        <w:spacing w:after="0"/>
        <w:rPr>
          <w:rFonts w:ascii="Arial" w:cs="Arial" w:eastAsia="Arial" w:hAnsi="Arial"/>
          <w:sz w:val="17"/>
          <w:szCs w:val="17"/>
          <w:color w:val="auto"/>
        </w:rPr>
      </w:pPr>
      <w:r>
        <w:rPr>
          <w:rFonts w:ascii="Arial" w:cs="Arial" w:eastAsia="Arial" w:hAnsi="Arial"/>
          <w:sz w:val="17"/>
          <w:szCs w:val="17"/>
          <w:color w:val="auto"/>
        </w:rPr>
        <w:t>5,646</w:t>
      </w:r>
    </w:p>
    <w:p>
      <w:pPr>
        <w:spacing w:after="0" w:line="34" w:lineRule="exact"/>
        <w:rPr>
          <w:rFonts w:ascii="Arial" w:cs="Arial" w:eastAsia="Arial" w:hAnsi="Arial"/>
          <w:sz w:val="17"/>
          <w:szCs w:val="17"/>
          <w:color w:val="auto"/>
        </w:rPr>
      </w:pPr>
    </w:p>
    <w:p>
      <w:pPr>
        <w:ind w:left="1096"/>
        <w:spacing w:after="0"/>
        <w:rPr>
          <w:rFonts w:ascii="Arial" w:cs="Arial" w:eastAsia="Arial" w:hAnsi="Arial"/>
          <w:sz w:val="17"/>
          <w:szCs w:val="17"/>
          <w:color w:val="auto"/>
        </w:rPr>
      </w:pPr>
      <w:r>
        <w:rPr>
          <w:rFonts w:ascii="Arial" w:cs="Arial" w:eastAsia="Arial" w:hAnsi="Arial"/>
          <w:sz w:val="17"/>
          <w:szCs w:val="17"/>
          <w:color w:val="auto"/>
        </w:rPr>
        <w:t>2,924</w:t>
      </w:r>
    </w:p>
    <w:p>
      <w:pPr>
        <w:spacing w:after="0" w:line="34" w:lineRule="exact"/>
        <w:rPr>
          <w:rFonts w:ascii="Arial" w:cs="Arial" w:eastAsia="Arial" w:hAnsi="Arial"/>
          <w:sz w:val="17"/>
          <w:szCs w:val="17"/>
          <w:color w:val="auto"/>
        </w:rPr>
      </w:pPr>
    </w:p>
    <w:p>
      <w:pPr>
        <w:ind w:left="1096"/>
        <w:spacing w:after="0"/>
        <w:rPr>
          <w:rFonts w:ascii="Arial" w:cs="Arial" w:eastAsia="Arial" w:hAnsi="Arial"/>
          <w:sz w:val="17"/>
          <w:szCs w:val="17"/>
          <w:color w:val="auto"/>
        </w:rPr>
      </w:pPr>
      <w:r>
        <w:rPr>
          <w:rFonts w:ascii="Arial" w:cs="Arial" w:eastAsia="Arial" w:hAnsi="Arial"/>
          <w:sz w:val="17"/>
          <w:szCs w:val="17"/>
          <w:color w:val="auto"/>
        </w:rPr>
        <w:t>2,794</w:t>
      </w:r>
    </w:p>
    <w:p>
      <w:pPr>
        <w:spacing w:after="0" w:line="34" w:lineRule="exact"/>
        <w:rPr>
          <w:rFonts w:ascii="Arial" w:cs="Arial" w:eastAsia="Arial" w:hAnsi="Arial"/>
          <w:sz w:val="17"/>
          <w:szCs w:val="17"/>
          <w:color w:val="auto"/>
        </w:rPr>
      </w:pPr>
    </w:p>
    <w:p>
      <w:pPr>
        <w:ind w:left="1096"/>
        <w:spacing w:after="0"/>
        <w:rPr>
          <w:rFonts w:ascii="Arial" w:cs="Arial" w:eastAsia="Arial" w:hAnsi="Arial"/>
          <w:sz w:val="17"/>
          <w:szCs w:val="17"/>
          <w:color w:val="auto"/>
        </w:rPr>
      </w:pPr>
      <w:r>
        <w:rPr>
          <w:rFonts w:ascii="Arial" w:cs="Arial" w:eastAsia="Arial" w:hAnsi="Arial"/>
          <w:sz w:val="17"/>
          <w:szCs w:val="17"/>
          <w:color w:val="auto"/>
        </w:rPr>
        <w:t>1,939</w:t>
      </w:r>
    </w:p>
    <w:p>
      <w:pPr>
        <w:spacing w:after="0" w:line="34" w:lineRule="exact"/>
        <w:rPr>
          <w:rFonts w:ascii="Arial" w:cs="Arial" w:eastAsia="Arial" w:hAnsi="Arial"/>
          <w:sz w:val="17"/>
          <w:szCs w:val="17"/>
          <w:color w:val="auto"/>
        </w:rPr>
      </w:pPr>
    </w:p>
    <w:p>
      <w:pPr>
        <w:ind w:left="1096"/>
        <w:spacing w:after="0"/>
        <w:rPr>
          <w:rFonts w:ascii="Arial" w:cs="Arial" w:eastAsia="Arial" w:hAnsi="Arial"/>
          <w:sz w:val="17"/>
          <w:szCs w:val="17"/>
          <w:color w:val="auto"/>
        </w:rPr>
      </w:pPr>
      <w:r>
        <w:rPr>
          <w:rFonts w:ascii="Arial" w:cs="Arial" w:eastAsia="Arial" w:hAnsi="Arial"/>
          <w:sz w:val="17"/>
          <w:szCs w:val="17"/>
          <w:color w:val="auto"/>
        </w:rPr>
        <w:t>1,080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20955</wp:posOffset>
            </wp:positionV>
            <wp:extent cx="10369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8" w:lineRule="exact"/>
        <w:rPr>
          <w:sz w:val="20"/>
          <w:szCs w:val="20"/>
          <w:color w:val="auto"/>
        </w:rPr>
      </w:pPr>
    </w:p>
    <w:p>
      <w:pPr>
        <w:ind w:left="996" w:hanging="996"/>
        <w:spacing w:after="0"/>
        <w:tabs>
          <w:tab w:leader="none" w:pos="9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18,726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20955</wp:posOffset>
            </wp:positionV>
            <wp:extent cx="10369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369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46990</wp:posOffset>
            </wp:positionV>
            <wp:extent cx="10369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1701" w:lineRule="exact"/>
        <w:rPr>
          <w:sz w:val="20"/>
          <w:szCs w:val="20"/>
          <w:color w:val="auto"/>
        </w:rPr>
      </w:pPr>
    </w:p>
    <w:p>
      <w:pPr>
        <w:sectPr>
          <w:pgSz w:w="11900" w:h="16838" w:orient="portrait"/>
          <w:cols w:equalWidth="0" w:num="2">
            <w:col w:w="8266" w:space="720"/>
            <w:col w:w="2196"/>
          </w:cols>
          <w:pgMar w:left="378" w:top="937" w:right="339" w:bottom="1440" w:gutter="0" w:footer="0" w:header="0"/>
          <w:type w:val="continuous"/>
        </w:sectPr>
      </w:pPr>
    </w:p>
    <w:p>
      <w:pPr>
        <w:spacing w:after="0" w:line="74" w:lineRule="exact"/>
        <w:rPr>
          <w:sz w:val="20"/>
          <w:szCs w:val="20"/>
          <w:color w:val="auto"/>
        </w:rPr>
      </w:pPr>
    </w:p>
    <w:p>
      <w:pPr>
        <w:ind w:left="442"/>
        <w:spacing w:after="0" w:line="270" w:lineRule="auto"/>
        <w:rPr>
          <w:sz w:val="20"/>
          <w:szCs w:val="20"/>
          <w:color w:val="auto"/>
        </w:rPr>
      </w:pPr>
      <w:r>
        <w:rPr>
          <w:rFonts w:ascii="Arial" w:cs="Arial" w:eastAsia="Arial" w:hAnsi="Arial"/>
          <w:sz w:val="18"/>
          <w:szCs w:val="18"/>
          <w:color w:val="auto"/>
        </w:rPr>
        <w:t>As of September 30, 2023, available funding under our debt arrangements related to our vehicle programs, including related party debt due to Avis Budget Rental Car Funding, consisted of:</w:t>
      </w:r>
    </w:p>
    <w:p>
      <w:pPr>
        <w:spacing w:after="0" w:line="2" w:lineRule="exact"/>
        <w:rPr>
          <w:sz w:val="20"/>
          <w:szCs w:val="20"/>
          <w:color w:val="auto"/>
        </w:rPr>
      </w:pPr>
    </w:p>
    <w:tbl>
      <w:tblPr>
        <w:tblLayout w:type="fixed"/>
        <w:tblInd w:w="462" w:type="dxa"/>
        <w:tblCellMar>
          <w:top w:w="0" w:type="dxa"/>
          <w:left w:w="0" w:type="dxa"/>
          <w:bottom w:w="0" w:type="dxa"/>
          <w:right w:w="0" w:type="dxa"/>
        </w:tblCellMar>
      </w:tblPr>
      <w:tr>
        <w:trPr>
          <w:trHeight w:val="221"/>
        </w:trPr>
        <w:tc>
          <w:tcPr>
            <w:tcW w:w="5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Total</w:t>
            </w:r>
          </w:p>
        </w:tc>
        <w:tc>
          <w:tcPr>
            <w:tcW w:w="200" w:type="dxa"/>
            <w:vAlign w:val="bottom"/>
          </w:tcPr>
          <w:p>
            <w:pPr>
              <w:spacing w:after="0"/>
              <w:rPr>
                <w:sz w:val="19"/>
                <w:szCs w:val="19"/>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Outstanding</w:t>
            </w:r>
          </w:p>
        </w:tc>
        <w:tc>
          <w:tcPr>
            <w:tcW w:w="260" w:type="dxa"/>
            <w:vAlign w:val="bottom"/>
          </w:tcPr>
          <w:p>
            <w:pPr>
              <w:spacing w:after="0"/>
              <w:rPr>
                <w:sz w:val="19"/>
                <w:szCs w:val="19"/>
                <w:color w:val="auto"/>
              </w:rPr>
            </w:pPr>
          </w:p>
        </w:tc>
        <w:tc>
          <w:tcPr>
            <w:tcW w:w="1300" w:type="dxa"/>
            <w:vAlign w:val="bottom"/>
          </w:tcPr>
          <w:p>
            <w:pPr>
              <w:jc w:val="right"/>
              <w:ind w:right="359"/>
              <w:spacing w:after="0"/>
              <w:rPr>
                <w:sz w:val="20"/>
                <w:szCs w:val="20"/>
                <w:color w:val="auto"/>
              </w:rPr>
            </w:pPr>
            <w:r>
              <w:rPr>
                <w:rFonts w:ascii="Arial" w:cs="Arial" w:eastAsia="Arial" w:hAnsi="Arial"/>
                <w:sz w:val="16"/>
                <w:szCs w:val="16"/>
                <w:b w:val="1"/>
                <w:bCs w:val="1"/>
                <w:color w:val="auto"/>
              </w:rPr>
              <w:t>Available</w:t>
            </w:r>
          </w:p>
        </w:tc>
      </w:tr>
      <w:tr>
        <w:trPr>
          <w:trHeight w:val="216"/>
        </w:trPr>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40"/>
              <w:spacing w:after="0" w:line="216" w:lineRule="exact"/>
              <w:rPr>
                <w:sz w:val="20"/>
                <w:szCs w:val="20"/>
                <w:color w:val="auto"/>
              </w:rPr>
            </w:pPr>
            <w:r>
              <w:rPr>
                <w:rFonts w:ascii="Arial" w:cs="Arial" w:eastAsia="Arial" w:hAnsi="Arial"/>
                <w:sz w:val="16"/>
                <w:szCs w:val="16"/>
                <w:b w:val="1"/>
                <w:bCs w:val="1"/>
                <w:color w:val="auto"/>
                <w:w w:val="97"/>
              </w:rPr>
              <w:t xml:space="preserve">Capacity </w:t>
            </w:r>
            <w:r>
              <w:rPr>
                <w:rFonts w:ascii="Arial" w:cs="Arial" w:eastAsia="Arial" w:hAnsi="Arial"/>
                <w:sz w:val="21"/>
                <w:szCs w:val="21"/>
                <w:color w:val="auto"/>
                <w:w w:val="97"/>
                <w:vertAlign w:val="superscript"/>
              </w:rPr>
              <w:t>(a)</w:t>
            </w:r>
          </w:p>
        </w:tc>
        <w:tc>
          <w:tcPr>
            <w:tcW w:w="200" w:type="dxa"/>
            <w:vAlign w:val="bottom"/>
          </w:tcPr>
          <w:p>
            <w:pPr>
              <w:spacing w:after="0"/>
              <w:rPr>
                <w:sz w:val="18"/>
                <w:szCs w:val="18"/>
                <w:color w:val="auto"/>
              </w:rPr>
            </w:pPr>
          </w:p>
        </w:tc>
        <w:tc>
          <w:tcPr>
            <w:tcW w:w="1520" w:type="dxa"/>
            <w:vAlign w:val="bottom"/>
            <w:gridSpan w:val="2"/>
          </w:tcPr>
          <w:p>
            <w:pPr>
              <w:jc w:val="center"/>
              <w:ind w:right="300"/>
              <w:spacing w:after="0" w:line="216" w:lineRule="exact"/>
              <w:rPr>
                <w:sz w:val="20"/>
                <w:szCs w:val="20"/>
                <w:color w:val="auto"/>
              </w:rPr>
            </w:pPr>
            <w:r>
              <w:rPr>
                <w:rFonts w:ascii="Arial" w:cs="Arial" w:eastAsia="Arial" w:hAnsi="Arial"/>
                <w:sz w:val="16"/>
                <w:szCs w:val="16"/>
                <w:b w:val="1"/>
                <w:bCs w:val="1"/>
                <w:color w:val="auto"/>
                <w:w w:val="95"/>
              </w:rPr>
              <w:t xml:space="preserve">Borrowings </w:t>
            </w:r>
            <w:r>
              <w:rPr>
                <w:rFonts w:ascii="Arial" w:cs="Arial" w:eastAsia="Arial" w:hAnsi="Arial"/>
                <w:sz w:val="21"/>
                <w:szCs w:val="21"/>
                <w:color w:val="auto"/>
                <w:w w:val="95"/>
                <w:vertAlign w:val="superscript"/>
              </w:rPr>
              <w:t>(b)</w:t>
            </w:r>
          </w:p>
        </w:tc>
        <w:tc>
          <w:tcPr>
            <w:tcW w:w="260" w:type="dxa"/>
            <w:vAlign w:val="bottom"/>
          </w:tcPr>
          <w:p>
            <w:pPr>
              <w:spacing w:after="0"/>
              <w:rPr>
                <w:sz w:val="18"/>
                <w:szCs w:val="18"/>
                <w:color w:val="auto"/>
              </w:rPr>
            </w:pPr>
          </w:p>
        </w:tc>
        <w:tc>
          <w:tcPr>
            <w:tcW w:w="1300" w:type="dxa"/>
            <w:vAlign w:val="bottom"/>
          </w:tcPr>
          <w:p>
            <w:pPr>
              <w:jc w:val="right"/>
              <w:ind w:right="359"/>
              <w:spacing w:after="0"/>
              <w:rPr>
                <w:sz w:val="20"/>
                <w:szCs w:val="20"/>
                <w:color w:val="auto"/>
              </w:rPr>
            </w:pPr>
            <w:r>
              <w:rPr>
                <w:rFonts w:ascii="Arial" w:cs="Arial" w:eastAsia="Arial" w:hAnsi="Arial"/>
                <w:sz w:val="16"/>
                <w:szCs w:val="16"/>
                <w:b w:val="1"/>
                <w:bCs w:val="1"/>
                <w:color w:val="auto"/>
              </w:rPr>
              <w:t>Capacity</w:t>
            </w:r>
          </w:p>
        </w:tc>
      </w:tr>
      <w:tr>
        <w:trPr>
          <w:trHeight w:val="203"/>
        </w:trPr>
        <w:tc>
          <w:tcPr>
            <w:tcW w:w="5180" w:type="dxa"/>
            <w:vAlign w:val="bottom"/>
          </w:tcPr>
          <w:p>
            <w:pPr>
              <w:spacing w:after="0"/>
              <w:rPr>
                <w:sz w:val="20"/>
                <w:szCs w:val="20"/>
                <w:color w:val="auto"/>
              </w:rPr>
            </w:pPr>
            <w:r>
              <w:rPr>
                <w:rFonts w:ascii="Arial" w:cs="Arial" w:eastAsia="Arial" w:hAnsi="Arial"/>
                <w:sz w:val="16"/>
                <w:szCs w:val="16"/>
                <w:color w:val="auto"/>
              </w:rPr>
              <w:t>Americas - Debt due to Avis Budget Rental Car Funding</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15,896</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15,182</w:t>
            </w:r>
          </w:p>
        </w:tc>
        <w:tc>
          <w:tcPr>
            <w:tcW w:w="120" w:type="dxa"/>
            <w:vAlign w:val="bottom"/>
          </w:tcPr>
          <w:p>
            <w:pPr>
              <w:spacing w:after="0"/>
              <w:rPr>
                <w:sz w:val="17"/>
                <w:szCs w:val="17"/>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714</w:t>
            </w: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Americas - Debt borrowings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International - Debt borrowings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International - Finance leases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9"/>
        </w:trPr>
        <w:tc>
          <w:tcPr>
            <w:tcW w:w="5180" w:type="dxa"/>
            <w:vAlign w:val="bottom"/>
          </w:tcPr>
          <w:p>
            <w:pPr>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180" w:type="dxa"/>
            <w:vAlign w:val="bottom"/>
          </w:tcPr>
          <w:p>
            <w:pPr>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19,796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18,726</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w:t>
            </w: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__________</w:t>
      </w:r>
    </w:p>
    <w:p>
      <w:pPr>
        <w:spacing w:after="0" w:line="37" w:lineRule="exact"/>
        <w:rPr>
          <w:sz w:val="20"/>
          <w:szCs w:val="20"/>
          <w:color w:val="auto"/>
        </w:rPr>
      </w:pPr>
    </w:p>
    <w:p>
      <w:pPr>
        <w:jc w:val="both"/>
        <w:ind w:left="762" w:hanging="326"/>
        <w:spacing w:after="0" w:line="224" w:lineRule="auto"/>
        <w:tabs>
          <w:tab w:leader="none" w:pos="770"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Capacity is subject to maintaining sufficient assets to collateralize debt. The total capacity for Americas - Debt due to Avis Budget Rental Car Funding includes increases from an amendment and renewal of our asset-backed variable-funding financing facilities during March 2023 and was subsequently amended during July 2023.</w:t>
      </w:r>
    </w:p>
    <w:p>
      <w:pPr>
        <w:spacing w:after="0" w:line="1" w:lineRule="exact"/>
        <w:rPr>
          <w:rFonts w:ascii="Arial" w:cs="Arial" w:eastAsia="Arial" w:hAnsi="Arial"/>
          <w:sz w:val="19"/>
          <w:szCs w:val="19"/>
          <w:color w:val="auto"/>
          <w:vertAlign w:val="superscript"/>
        </w:rPr>
      </w:pPr>
    </w:p>
    <w:p>
      <w:pPr>
        <w:ind w:left="762" w:right="20" w:hanging="326"/>
        <w:spacing w:after="0" w:line="221" w:lineRule="auto"/>
        <w:tabs>
          <w:tab w:leader="none" w:pos="752"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The outstanding debt is collateralized by vehicles and related assets of $17.5 billion for Americas - Debt due to Avis Budget Rental Car Funding; $1.4 billion for Americas - Debt borrowings; $3.1 billion for International - Debt borrowings; and $0.2 billion for International - Finance leases.</w:t>
      </w:r>
    </w:p>
    <w:p>
      <w:pPr>
        <w:spacing w:after="0" w:line="207"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Debt Covenants</w:t>
      </w:r>
    </w:p>
    <w:p>
      <w:pPr>
        <w:spacing w:after="0" w:line="262" w:lineRule="exact"/>
        <w:rPr>
          <w:sz w:val="20"/>
          <w:szCs w:val="20"/>
          <w:color w:val="auto"/>
        </w:rPr>
      </w:pPr>
    </w:p>
    <w:p>
      <w:pPr>
        <w:jc w:val="both"/>
        <w:ind w:left="442"/>
        <w:spacing w:after="0" w:line="256" w:lineRule="auto"/>
        <w:rPr>
          <w:sz w:val="20"/>
          <w:szCs w:val="20"/>
          <w:color w:val="auto"/>
        </w:rPr>
      </w:pPr>
      <w:r>
        <w:rPr>
          <w:rFonts w:ascii="Arial" w:cs="Arial" w:eastAsia="Arial" w:hAnsi="Arial"/>
          <w:sz w:val="18"/>
          <w:szCs w:val="18"/>
          <w:color w:val="auto"/>
        </w:rPr>
        <w:t>The agreements under our vehicle-backed funding programs contain restrictive covenants, including restrictions on dividends paid to us by certain of our subsidiaries and restrictions on indebtedness, mergers, liens, liquidations, and sale and leaseback transactions and in some cases also require compliance with certain financial requirements. As of September 30, 2023, we are not aware of any instances of non-compliance with any of the financial or restrictive covenants contained in the debt agreements under our vehicle-backed funding programs.</w:t>
      </w:r>
    </w:p>
    <w:p>
      <w:pPr>
        <w:spacing w:after="0" w:line="209" w:lineRule="exact"/>
        <w:rPr>
          <w:sz w:val="20"/>
          <w:szCs w:val="20"/>
          <w:color w:val="auto"/>
        </w:rPr>
      </w:pPr>
    </w:p>
    <w:p>
      <w:pPr>
        <w:ind w:left="442" w:right="7880" w:hanging="442"/>
        <w:spacing w:after="0" w:line="561" w:lineRule="auto"/>
        <w:tabs>
          <w:tab w:leader="none" w:pos="456"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ind w:left="442"/>
        <w:spacing w:after="0"/>
        <w:rPr>
          <w:rFonts w:ascii="Arial" w:cs="Arial" w:eastAsia="Arial" w:hAnsi="Arial"/>
          <w:sz w:val="18"/>
          <w:szCs w:val="18"/>
          <w:b w:val="1"/>
          <w:bCs w:val="1"/>
          <w:color w:val="auto"/>
        </w:rPr>
      </w:pPr>
      <w:r>
        <w:rPr>
          <w:rFonts w:ascii="Arial" w:cs="Arial" w:eastAsia="Arial" w:hAnsi="Arial"/>
          <w:sz w:val="18"/>
          <w:szCs w:val="18"/>
          <w:color w:val="auto"/>
        </w:rPr>
        <w:t>In 2006, we completed the spin-offs of our Realogy and Wyndham subsidiaries (now known as Anywhere</w:t>
      </w:r>
    </w:p>
    <w:p>
      <w:pPr>
        <w:sectPr>
          <w:pgSz w:w="11900" w:h="16838" w:orient="portrait"/>
          <w:cols w:equalWidth="0" w:num="1">
            <w:col w:w="11182"/>
          </w:cols>
          <w:pgMar w:left="378" w:top="93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8"/>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76835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7" w:right="339" w:bottom="1440" w:gutter="0" w:footer="0" w:header="0"/>
          <w:type w:val="continuous"/>
        </w:sectPr>
      </w:pPr>
    </w:p>
    <w:bookmarkStart w:id="20" w:name="page21"/>
    <w:bookmarkEnd w:id="20"/>
    <w:p>
      <w:pPr>
        <w:jc w:val="both"/>
        <w:spacing w:after="0" w:line="243" w:lineRule="auto"/>
        <w:rPr>
          <w:sz w:val="20"/>
          <w:szCs w:val="20"/>
          <w:color w:val="auto"/>
        </w:rPr>
      </w:pPr>
      <w:r>
        <w:rPr>
          <w:rFonts w:ascii="Arial" w:cs="Arial" w:eastAsia="Arial" w:hAnsi="Arial"/>
          <w:sz w:val="18"/>
          <w:szCs w:val="18"/>
          <w:color w:val="auto"/>
        </w:rPr>
        <w:t>Real Estate, Inc., and Wyndham Hotels and Resorts, Inc. and Travel + Leisure Co., respectively). We do not believe that the impact of any resolution of pre-existing contingent liabilities in connection with the spin-offs should result in a material liability to us in relation to our consolidated financial position or liquidity, as Anywhere Real Estate, Inc., Wyndham Hotels and Resorts, Inc. and Travel + Leisure Co. have agreed to assume responsibility for these liabilities.</w:t>
      </w:r>
    </w:p>
    <w:p>
      <w:pPr>
        <w:spacing w:after="0" w:line="2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2023, the California Office of Tax Appeals (“OTA”) issued an opinion in a case involving notices of proposed assessment of California corporation franchise tax for tax year 1999 issued to us. The case involves whether (i) the notices of proposed assessment were barred by the statute of limitations; and (ii) a transaction undertaken by us in tax year 1999 constituted a tax-free reorganization under the Internal Revenue Code (“IRC”). The OTA concluded that the notices of proposed assessment were not barred by the statute of limitations and that the 1999 transaction was not a tax-free reorganization under the IRC. Anywhere Real Estate, Inc. has assumed 62.5%, and Wyndham Hotels and Resorts, Inc. and Travel + Leisure Co. have assumed 37.5% of the potential tax liability in this matter, respectively. We have filed a petition for rehearing and intend to vigorously pursue this matter.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are also named in litigation that is primarily related to the businesses of our former subsidiaries, including Realogy and Wyndham.</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We are entitled to indemnification from such entities for any liability resulting from such litigation.</w:t>
      </w:r>
    </w:p>
    <w:p>
      <w:pPr>
        <w:spacing w:after="0" w:line="227"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In September 2014, Dawn Valli et al. v. Avis Budget Group Inc., et al. was filed in U.S. District Court for the District of New Jersey. The plaintiffs seek to represent a purported nationwide class of certain renters of vehicles from our Avis and Budget subsidiaries from</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September 30, 2008 through the present. The plaintiffs seek damages in connection with claims relating to alleged misrepresentations and omissions concerning charging customers for traffic infractions and related administrative fees. On October 10, 2023, plaintiffs’ motion for class certification was denied as to their proposed nationwide class and granted as to a subclass, created at the Court’s discretion, of Avis Preferred and Budget Fastbreak members. On October 24, 2023, we filed an appeal with the U.S. Court of Appeals for the Third Circuit. We have been named as a defendant in other purported consumer class action lawsuits, including two class actions filed against us in New Jersey, one seeking damages in connection with a breach of contract claim and another related to ancillary charges at our Payless subsidiary.</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currently involved, and in the future may be involved, in claims and/or legal proceedings, including class actions, and governmental inquiries that are incidental to our vehicle rental and car sharing operations, including, among others, contract and licensee disputes, competition matters, employment and wage-and-hour claims, insurance and liability claims, intellectual property claims, business practice disputes and other regulatory, environmental, commercial and tax matters. Litigation is inherently unpredictable and, although we believe that our accruals are adequate and/or that we have valid defenses in these matters, unfavorable resolutions could occur. We estimate that the potential exposure resulting from adverse outcomes of current legal proceedings in which it is reasonably possible that a loss may be incurred could, in the aggregate, be up to approximately $35 million in excess of amounts accrued as of September 30, 2023. We do not believe that the impact should result in a material liability to us in relation to our consolidated financial condition or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2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maintain agreements with vehicle manufacturers under which we have agreed to purchase approximately $ 6.3 billion of vehicles from manufacturers over the next 12 months, a $0.4 billion decrease compared to December 31, 2022,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69850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923" w:right="339" w:bottom="1440" w:gutter="0" w:footer="0" w:header="0"/>
        </w:sectPr>
      </w:pPr>
    </w:p>
    <w:bookmarkStart w:id="21" w:name="page22"/>
    <w:bookmarkEnd w:id="21"/>
    <w:p>
      <w:pPr>
        <w:ind w:left="442"/>
        <w:spacing w:after="0"/>
        <w:rPr>
          <w:sz w:val="20"/>
          <w:szCs w:val="20"/>
          <w:color w:val="auto"/>
        </w:rPr>
      </w:pPr>
      <w:r>
        <w:rPr>
          <w:rFonts w:ascii="Arial" w:cs="Arial" w:eastAsia="Arial" w:hAnsi="Arial"/>
          <w:sz w:val="18"/>
          <w:szCs w:val="18"/>
          <w:b w:val="1"/>
          <w:bCs w:val="1"/>
          <w:i w:val="1"/>
          <w:iCs w:val="1"/>
          <w:color w:val="auto"/>
        </w:rPr>
        <w:t>Concentrations</w:t>
      </w:r>
    </w:p>
    <w:p>
      <w:pPr>
        <w:spacing w:after="0" w:line="262" w:lineRule="exact"/>
        <w:rPr>
          <w:sz w:val="20"/>
          <w:szCs w:val="20"/>
          <w:color w:val="auto"/>
        </w:rPr>
      </w:pPr>
    </w:p>
    <w:p>
      <w:pPr>
        <w:jc w:val="both"/>
        <w:ind w:left="442"/>
        <w:spacing w:after="0" w:line="256" w:lineRule="auto"/>
        <w:rPr>
          <w:sz w:val="20"/>
          <w:szCs w:val="20"/>
          <w:color w:val="auto"/>
        </w:rPr>
      </w:pPr>
      <w:r>
        <w:rPr>
          <w:rFonts w:ascii="Arial" w:cs="Arial" w:eastAsia="Arial" w:hAnsi="Arial"/>
          <w:sz w:val="18"/>
          <w:szCs w:val="18"/>
          <w:color w:val="auto"/>
        </w:rPr>
        <w:t>Concentrations of credit risk as of September 30, 2023 include (i) risks related to our repurchase and guaranteed depreciation agreements with domestic and foreign car manufacturers and primarily with respect to receivables for program cars that have been disposed but for which we have not yet received payment from the manufacturers and (ii) risks related to Realogy and Wyndham, including receivables of $37 million and $22 million, respectively, related to certain contingent, income tax and other corporate liabilities assumed by Realogy and Wyndham in connection with their disposition.</w:t>
      </w:r>
    </w:p>
    <w:p>
      <w:pPr>
        <w:spacing w:after="0" w:line="209" w:lineRule="exact"/>
        <w:rPr>
          <w:sz w:val="20"/>
          <w:szCs w:val="20"/>
          <w:color w:val="auto"/>
        </w:rPr>
      </w:pPr>
    </w:p>
    <w:p>
      <w:pPr>
        <w:ind w:left="442" w:right="8940" w:hanging="442"/>
        <w:spacing w:after="0" w:line="538" w:lineRule="auto"/>
        <w:tabs>
          <w:tab w:leader="none" w:pos="456"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Share Repurchases</w:t>
      </w:r>
    </w:p>
    <w:p>
      <w:pPr>
        <w:jc w:val="both"/>
        <w:ind w:left="442"/>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 xml:space="preserve">Our Board of Directors has authorized the repurchase of up to $8.1 billion of our common stock under a plan originally approved in 2013 and subsequently expanded most recently in February 2023 (the “Stock Repurchase Program”). During the nine months ended September 30, 2023, we repurchased approximately 2.9 million shares of common stock at a cost of approximately $633 million </w:t>
      </w:r>
      <w:r>
        <w:rPr>
          <w:rFonts w:ascii="Arial" w:cs="Arial" w:eastAsia="Arial" w:hAnsi="Arial"/>
          <w:sz w:val="18"/>
          <w:szCs w:val="18"/>
          <w:color w:val="262626"/>
        </w:rPr>
        <w:t xml:space="preserve">(excluding excise taxes due under the Inflation Reduction Act of 2022) </w:t>
      </w:r>
      <w:r>
        <w:rPr>
          <w:rFonts w:ascii="Arial" w:cs="Arial" w:eastAsia="Arial" w:hAnsi="Arial"/>
          <w:sz w:val="18"/>
          <w:szCs w:val="18"/>
          <w:color w:val="000000"/>
        </w:rPr>
        <w:t>under the program. As of September 30, 2023, approximately</w:t>
      </w:r>
      <w:r>
        <w:rPr>
          <w:rFonts w:ascii="Arial" w:cs="Arial" w:eastAsia="Arial" w:hAnsi="Arial"/>
          <w:sz w:val="18"/>
          <w:szCs w:val="18"/>
          <w:color w:val="262626"/>
        </w:rPr>
        <w:t xml:space="preserve"> </w:t>
      </w:r>
      <w:r>
        <w:rPr>
          <w:rFonts w:ascii="Arial" w:cs="Arial" w:eastAsia="Arial" w:hAnsi="Arial"/>
          <w:sz w:val="18"/>
          <w:szCs w:val="18"/>
          <w:color w:val="000000"/>
        </w:rPr>
        <w:t>$1.1 billion of authorization remains available to repurchase common stock under the program.</w:t>
      </w:r>
    </w:p>
    <w:p>
      <w:pPr>
        <w:spacing w:after="0" w:line="209" w:lineRule="exact"/>
        <w:rPr>
          <w:rFonts w:ascii="Arial" w:cs="Arial" w:eastAsia="Arial" w:hAnsi="Arial"/>
          <w:sz w:val="18"/>
          <w:szCs w:val="18"/>
          <w:b w:val="1"/>
          <w:bCs w:val="1"/>
          <w:color w:val="auto"/>
        </w:rPr>
      </w:pPr>
    </w:p>
    <w:p>
      <w:pPr>
        <w:ind w:left="44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Total Comprehensive Income (Loss)</w:t>
      </w:r>
    </w:p>
    <w:p>
      <w:pPr>
        <w:spacing w:after="0" w:line="262" w:lineRule="exact"/>
        <w:rPr>
          <w:rFonts w:ascii="Arial" w:cs="Arial" w:eastAsia="Arial" w:hAnsi="Arial"/>
          <w:sz w:val="18"/>
          <w:szCs w:val="18"/>
          <w:b w:val="1"/>
          <w:bCs w:val="1"/>
          <w:color w:val="auto"/>
        </w:rPr>
      </w:pPr>
    </w:p>
    <w:p>
      <w:pPr>
        <w:ind w:left="442"/>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Comprehensive income (loss) consists of net income and other gains and losses affecting stockholders’ equity that, under GAAP, are excluded from net income.</w:t>
      </w:r>
    </w:p>
    <w:p>
      <w:pPr>
        <w:spacing w:after="0" w:line="200" w:lineRule="exact"/>
        <w:rPr>
          <w:rFonts w:ascii="Arial" w:cs="Arial" w:eastAsia="Arial" w:hAnsi="Arial"/>
          <w:sz w:val="18"/>
          <w:szCs w:val="18"/>
          <w:b w:val="1"/>
          <w:bCs w:val="1"/>
          <w:color w:val="auto"/>
        </w:rPr>
      </w:pPr>
    </w:p>
    <w:p>
      <w:pPr>
        <w:ind w:left="442"/>
        <w:spacing w:after="0"/>
        <w:rPr>
          <w:rFonts w:ascii="Arial" w:cs="Arial" w:eastAsia="Arial" w:hAnsi="Arial"/>
          <w:sz w:val="18"/>
          <w:szCs w:val="18"/>
          <w:b w:val="1"/>
          <w:bCs w:val="1"/>
          <w:color w:val="auto"/>
        </w:rPr>
      </w:pPr>
      <w:r>
        <w:rPr>
          <w:rFonts w:ascii="Arial" w:cs="Arial" w:eastAsia="Arial" w:hAnsi="Arial"/>
          <w:sz w:val="18"/>
          <w:szCs w:val="18"/>
          <w:color w:val="auto"/>
        </w:rPr>
        <w:t>The components of other comprehensive income (loss) were as follows:</w:t>
      </w:r>
    </w:p>
    <w:p>
      <w:pPr>
        <w:spacing w:after="0" w:line="27" w:lineRule="exact"/>
        <w:rPr>
          <w:sz w:val="20"/>
          <w:szCs w:val="20"/>
          <w:color w:val="auto"/>
        </w:rPr>
      </w:pPr>
    </w:p>
    <w:tbl>
      <w:tblPr>
        <w:tblLayout w:type="fixed"/>
        <w:tblInd w:w="462"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232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8"/>
                <w:szCs w:val="18"/>
                <w:color w:val="auto"/>
              </w:rPr>
            </w:pPr>
          </w:p>
        </w:tc>
        <w:tc>
          <w:tcPr>
            <w:tcW w:w="232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4860" w:type="dxa"/>
            <w:vAlign w:val="bottom"/>
            <w:vMerge w:val="restart"/>
          </w:tcPr>
          <w:p>
            <w:pPr>
              <w:spacing w:after="0"/>
              <w:rPr>
                <w:sz w:val="20"/>
                <w:szCs w:val="20"/>
                <w:color w:val="auto"/>
              </w:rPr>
            </w:pPr>
            <w:r>
              <w:rPr>
                <w:rFonts w:ascii="Arial" w:cs="Arial" w:eastAsia="Arial" w:hAnsi="Arial"/>
                <w:sz w:val="16"/>
                <w:szCs w:val="16"/>
                <w:color w:val="auto"/>
              </w:rPr>
              <w:t>Net income</w:t>
            </w: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3"/>
        </w:trPr>
        <w:tc>
          <w:tcPr>
            <w:tcW w:w="4860" w:type="dxa"/>
            <w:vAlign w:val="bottom"/>
            <w:vMerge w:val="continue"/>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627</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1,375</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2,332</w:t>
            </w:r>
          </w:p>
        </w:tc>
        <w:tc>
          <w:tcPr>
            <w:tcW w:w="0" w:type="dxa"/>
            <w:vAlign w:val="bottom"/>
          </w:tcPr>
          <w:p>
            <w:pPr>
              <w:spacing w:after="0"/>
              <w:rPr>
                <w:sz w:val="1"/>
                <w:szCs w:val="1"/>
                <w:color w:val="auto"/>
              </w:rPr>
            </w:pPr>
          </w:p>
        </w:tc>
      </w:tr>
      <w:tr>
        <w:trPr>
          <w:trHeight w:val="216"/>
        </w:trPr>
        <w:tc>
          <w:tcPr>
            <w:tcW w:w="4860" w:type="dxa"/>
            <w:vAlign w:val="bottom"/>
          </w:tcPr>
          <w:p>
            <w:pPr>
              <w:ind w:left="160"/>
              <w:spacing w:after="0"/>
              <w:rPr>
                <w:sz w:val="20"/>
                <w:szCs w:val="20"/>
                <w:color w:val="auto"/>
              </w:rPr>
            </w:pPr>
            <w:r>
              <w:rPr>
                <w:rFonts w:ascii="Arial" w:cs="Arial" w:eastAsia="Arial" w:hAnsi="Arial"/>
                <w:sz w:val="16"/>
                <w:szCs w:val="16"/>
                <w:color w:val="auto"/>
              </w:rPr>
              <w:t>Less: net income (loss) attributable to non-controlling interests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9"/>
        </w:trPr>
        <w:tc>
          <w:tcPr>
            <w:tcW w:w="4860" w:type="dxa"/>
            <w:vAlign w:val="bottom"/>
          </w:tcPr>
          <w:p>
            <w:pPr>
              <w:spacing w:after="0"/>
              <w:rPr>
                <w:sz w:val="20"/>
                <w:szCs w:val="20"/>
                <w:color w:val="auto"/>
              </w:rPr>
            </w:pPr>
            <w:r>
              <w:rPr>
                <w:rFonts w:ascii="Arial" w:cs="Arial" w:eastAsia="Arial" w:hAnsi="Arial"/>
                <w:sz w:val="16"/>
                <w:szCs w:val="16"/>
                <w:color w:val="auto"/>
              </w:rPr>
              <w:t>Net income attributable to Avis Budget Group, Inc.</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2,341</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860" w:type="dxa"/>
            <w:vAlign w:val="bottom"/>
          </w:tcPr>
          <w:p>
            <w:pPr>
              <w:ind w:left="160"/>
              <w:spacing w:after="0" w:line="171" w:lineRule="exact"/>
              <w:rPr>
                <w:sz w:val="20"/>
                <w:szCs w:val="20"/>
                <w:color w:val="auto"/>
              </w:rPr>
            </w:pPr>
            <w:r>
              <w:rPr>
                <w:rFonts w:ascii="Arial" w:cs="Arial" w:eastAsia="Arial" w:hAnsi="Arial"/>
                <w:sz w:val="16"/>
                <w:szCs w:val="16"/>
                <w:color w:val="auto"/>
              </w:rPr>
              <w:t>Currency translation adjustments (net of tax of $(8), $(16), $(3)</w:t>
            </w:r>
          </w:p>
        </w:tc>
        <w:tc>
          <w:tcPr>
            <w:tcW w:w="2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7"/>
        </w:trPr>
        <w:tc>
          <w:tcPr>
            <w:tcW w:w="4860" w:type="dxa"/>
            <w:vAlign w:val="bottom"/>
          </w:tcPr>
          <w:p>
            <w:pPr>
              <w:ind w:left="320"/>
              <w:spacing w:after="0"/>
              <w:rPr>
                <w:sz w:val="20"/>
                <w:szCs w:val="20"/>
                <w:color w:val="auto"/>
              </w:rPr>
            </w:pPr>
            <w:r>
              <w:rPr>
                <w:rFonts w:ascii="Arial" w:cs="Arial" w:eastAsia="Arial" w:hAnsi="Arial"/>
                <w:sz w:val="16"/>
                <w:szCs w:val="16"/>
                <w:color w:val="auto"/>
              </w:rPr>
              <w:t>and $(33), respectively)</w:t>
            </w:r>
          </w:p>
        </w:tc>
        <w:tc>
          <w:tcPr>
            <w:tcW w:w="2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860" w:type="dxa"/>
            <w:vAlign w:val="bottom"/>
          </w:tcPr>
          <w:p>
            <w:pPr>
              <w:ind w:left="160"/>
              <w:spacing w:after="0" w:line="171" w:lineRule="exact"/>
              <w:rPr>
                <w:sz w:val="20"/>
                <w:szCs w:val="20"/>
                <w:color w:val="auto"/>
              </w:rPr>
            </w:pPr>
            <w:r>
              <w:rPr>
                <w:rFonts w:ascii="Arial" w:cs="Arial" w:eastAsia="Arial" w:hAnsi="Arial"/>
                <w:sz w:val="16"/>
                <w:szCs w:val="16"/>
                <w:color w:val="auto"/>
              </w:rPr>
              <w:t>Net unrealized gain (loss) on cash flow hedges (net of tax of $(1),</w:t>
            </w:r>
          </w:p>
        </w:tc>
        <w:tc>
          <w:tcPr>
            <w:tcW w:w="2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7"/>
        </w:trPr>
        <w:tc>
          <w:tcPr>
            <w:tcW w:w="4860" w:type="dxa"/>
            <w:vAlign w:val="bottom"/>
          </w:tcPr>
          <w:p>
            <w:pPr>
              <w:ind w:left="160"/>
              <w:spacing w:after="0"/>
              <w:rPr>
                <w:sz w:val="20"/>
                <w:szCs w:val="20"/>
                <w:color w:val="auto"/>
              </w:rPr>
            </w:pPr>
            <w:r>
              <w:rPr>
                <w:rFonts w:ascii="Arial" w:cs="Arial" w:eastAsia="Arial" w:hAnsi="Arial"/>
                <w:sz w:val="16"/>
                <w:szCs w:val="16"/>
                <w:color w:val="auto"/>
              </w:rPr>
              <w:t>$(8), $(3) and $(23), respectively)</w:t>
            </w:r>
          </w:p>
        </w:tc>
        <w:tc>
          <w:tcPr>
            <w:tcW w:w="2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860" w:type="dxa"/>
            <w:vAlign w:val="bottom"/>
          </w:tcPr>
          <w:p>
            <w:pPr>
              <w:ind w:left="160"/>
              <w:spacing w:after="0" w:line="171" w:lineRule="exact"/>
              <w:rPr>
                <w:sz w:val="20"/>
                <w:szCs w:val="20"/>
                <w:color w:val="auto"/>
              </w:rPr>
            </w:pPr>
            <w:r>
              <w:rPr>
                <w:rFonts w:ascii="Arial" w:cs="Arial" w:eastAsia="Arial" w:hAnsi="Arial"/>
                <w:sz w:val="16"/>
                <w:szCs w:val="16"/>
                <w:color w:val="auto"/>
              </w:rPr>
              <w:t>Minimum pension liability adjustment (net of tax of $(1), $0, $(1),</w:t>
            </w:r>
          </w:p>
        </w:tc>
        <w:tc>
          <w:tcPr>
            <w:tcW w:w="2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4860" w:type="dxa"/>
            <w:vAlign w:val="bottom"/>
          </w:tcPr>
          <w:p>
            <w:pPr>
              <w:ind w:left="320"/>
              <w:spacing w:after="0"/>
              <w:rPr>
                <w:sz w:val="20"/>
                <w:szCs w:val="20"/>
                <w:color w:val="auto"/>
              </w:rPr>
            </w:pPr>
            <w:r>
              <w:rPr>
                <w:rFonts w:ascii="Arial" w:cs="Arial" w:eastAsia="Arial" w:hAnsi="Arial"/>
                <w:sz w:val="16"/>
                <w:szCs w:val="16"/>
                <w:color w:val="auto"/>
              </w:rPr>
              <w:t>$0, respectively)</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2"/>
        </w:trPr>
        <w:tc>
          <w:tcPr>
            <w:tcW w:w="4860" w:type="dxa"/>
            <w:vAlign w:val="bottom"/>
          </w:tcPr>
          <w:p>
            <w:pPr>
              <w:spacing w:after="0"/>
              <w:rPr>
                <w:sz w:val="20"/>
                <w:szCs w:val="20"/>
                <w:color w:val="auto"/>
              </w:rPr>
            </w:pPr>
            <w:r>
              <w:rPr>
                <w:rFonts w:ascii="Arial" w:cs="Arial" w:eastAsia="Arial" w:hAnsi="Arial"/>
                <w:sz w:val="16"/>
                <w:szCs w:val="16"/>
                <w:color w:val="auto"/>
              </w:rPr>
              <w:t>Comprehensive income attributable to Avis Budget Group, Inc.</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2,289</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__________</w:t>
      </w:r>
    </w:p>
    <w:p>
      <w:pPr>
        <w:spacing w:after="0" w:line="118" w:lineRule="exact"/>
        <w:rPr>
          <w:sz w:val="20"/>
          <w:szCs w:val="20"/>
          <w:color w:val="auto"/>
        </w:rPr>
      </w:pPr>
    </w:p>
    <w:p>
      <w:pPr>
        <w:ind w:left="442"/>
        <w:spacing w:after="0"/>
        <w:rPr>
          <w:sz w:val="20"/>
          <w:szCs w:val="20"/>
          <w:color w:val="auto"/>
        </w:rPr>
      </w:pPr>
      <w:r>
        <w:rPr>
          <w:rFonts w:ascii="Arial" w:cs="Arial" w:eastAsia="Arial" w:hAnsi="Arial"/>
          <w:sz w:val="14"/>
          <w:szCs w:val="14"/>
          <w:color w:val="auto"/>
        </w:rPr>
        <w:t>Currency translation adjustments exclude income taxes related to indefinite investments in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69850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27" w:right="339" w:bottom="1440" w:gutter="0" w:footer="0" w:header="0"/>
        </w:sectPr>
      </w:pPr>
    </w:p>
    <w:bookmarkStart w:id="22" w:name="page23"/>
    <w:bookmarkEnd w:id="22"/>
    <w:p>
      <w:pPr>
        <w:ind w:left="442"/>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27"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components of accumulated other comprehensive income (loss) were as follows:</w:t>
      </w:r>
    </w:p>
    <w:p>
      <w:pPr>
        <w:spacing w:after="0" w:line="37" w:lineRule="exact"/>
        <w:rPr>
          <w:sz w:val="20"/>
          <w:szCs w:val="20"/>
          <w:color w:val="auto"/>
        </w:rPr>
      </w:pPr>
    </w:p>
    <w:tbl>
      <w:tblPr>
        <w:tblLayout w:type="fixed"/>
        <w:tblInd w:w="462"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Net Unrealized</w:t>
            </w:r>
          </w:p>
        </w:tc>
        <w:tc>
          <w:tcPr>
            <w:tcW w:w="20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Minimum</w:t>
            </w:r>
          </w:p>
        </w:tc>
        <w:tc>
          <w:tcPr>
            <w:tcW w:w="180" w:type="dxa"/>
            <w:vAlign w:val="bottom"/>
          </w:tcPr>
          <w:p>
            <w:pPr>
              <w:spacing w:after="0"/>
              <w:rPr>
                <w:sz w:val="14"/>
                <w:szCs w:val="14"/>
                <w:color w:val="auto"/>
              </w:rPr>
            </w:pPr>
          </w:p>
        </w:tc>
        <w:tc>
          <w:tcPr>
            <w:tcW w:w="1400" w:type="dxa"/>
            <w:vAlign w:val="bottom"/>
          </w:tcPr>
          <w:p>
            <w:pPr>
              <w:jc w:val="center"/>
              <w:ind w:right="108"/>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rPr>
              <w:t>Gains (Losses)</w:t>
            </w:r>
          </w:p>
        </w:tc>
        <w:tc>
          <w:tcPr>
            <w:tcW w:w="200" w:type="dxa"/>
            <w:vAlign w:val="bottom"/>
          </w:tcPr>
          <w:p>
            <w:pPr>
              <w:spacing w:after="0"/>
              <w:rPr>
                <w:sz w:val="12"/>
                <w:szCs w:val="12"/>
                <w:color w:val="auto"/>
              </w:rPr>
            </w:pPr>
          </w:p>
        </w:tc>
        <w:tc>
          <w:tcPr>
            <w:tcW w:w="148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rPr>
              <w:t>Pension</w:t>
            </w:r>
          </w:p>
        </w:tc>
        <w:tc>
          <w:tcPr>
            <w:tcW w:w="180" w:type="dxa"/>
            <w:vAlign w:val="bottom"/>
          </w:tcPr>
          <w:p>
            <w:pPr>
              <w:spacing w:after="0"/>
              <w:rPr>
                <w:sz w:val="12"/>
                <w:szCs w:val="12"/>
                <w:color w:val="auto"/>
              </w:rPr>
            </w:pPr>
          </w:p>
        </w:tc>
        <w:tc>
          <w:tcPr>
            <w:tcW w:w="1400" w:type="dxa"/>
            <w:vAlign w:val="bottom"/>
          </w:tcPr>
          <w:p>
            <w:pPr>
              <w:jc w:val="center"/>
              <w:ind w:right="108"/>
              <w:spacing w:after="0" w:line="148"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Translation</w:t>
            </w:r>
          </w:p>
        </w:tc>
        <w:tc>
          <w:tcPr>
            <w:tcW w:w="20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on Cash Flow</w:t>
            </w:r>
          </w:p>
        </w:tc>
        <w:tc>
          <w:tcPr>
            <w:tcW w:w="20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Liability</w:t>
            </w:r>
          </w:p>
        </w:tc>
        <w:tc>
          <w:tcPr>
            <w:tcW w:w="180" w:type="dxa"/>
            <w:vAlign w:val="bottom"/>
          </w:tcPr>
          <w:p>
            <w:pPr>
              <w:spacing w:after="0"/>
              <w:rPr>
                <w:sz w:val="12"/>
                <w:szCs w:val="12"/>
                <w:color w:val="auto"/>
              </w:rPr>
            </w:pPr>
          </w:p>
        </w:tc>
        <w:tc>
          <w:tcPr>
            <w:tcW w:w="14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6"/>
                <w:szCs w:val="16"/>
                <w:color w:val="auto"/>
              </w:rPr>
            </w:pPr>
          </w:p>
        </w:tc>
        <w:tc>
          <w:tcPr>
            <w:tcW w:w="1500" w:type="dxa"/>
            <w:vAlign w:val="bottom"/>
            <w:gridSpan w:val="2"/>
          </w:tcPr>
          <w:p>
            <w:pPr>
              <w:jc w:val="center"/>
              <w:ind w:right="300"/>
              <w:spacing w:after="0" w:line="189" w:lineRule="exact"/>
              <w:rPr>
                <w:sz w:val="20"/>
                <w:szCs w:val="20"/>
                <w:color w:val="auto"/>
              </w:rPr>
            </w:pPr>
            <w:r>
              <w:rPr>
                <w:rFonts w:ascii="Arial" w:cs="Arial" w:eastAsia="Arial" w:hAnsi="Arial"/>
                <w:sz w:val="14"/>
                <w:szCs w:val="14"/>
                <w:b w:val="1"/>
                <w:bCs w:val="1"/>
                <w:color w:val="auto"/>
                <w:w w:val="98"/>
              </w:rPr>
              <w:t>Hedges</w:t>
            </w:r>
            <w:r>
              <w:rPr>
                <w:rFonts w:ascii="Arial" w:cs="Arial" w:eastAsia="Arial" w:hAnsi="Arial"/>
                <w:sz w:val="18"/>
                <w:szCs w:val="18"/>
                <w:b w:val="1"/>
                <w:bCs w:val="1"/>
                <w:color w:val="auto"/>
                <w:w w:val="98"/>
                <w:vertAlign w:val="superscript"/>
              </w:rPr>
              <w:t>(a)</w:t>
            </w:r>
          </w:p>
        </w:tc>
        <w:tc>
          <w:tcPr>
            <w:tcW w:w="200" w:type="dxa"/>
            <w:vAlign w:val="bottom"/>
          </w:tcPr>
          <w:p>
            <w:pPr>
              <w:spacing w:after="0"/>
              <w:rPr>
                <w:sz w:val="16"/>
                <w:szCs w:val="16"/>
                <w:color w:val="auto"/>
              </w:rPr>
            </w:pPr>
          </w:p>
        </w:tc>
        <w:tc>
          <w:tcPr>
            <w:tcW w:w="1480" w:type="dxa"/>
            <w:vAlign w:val="bottom"/>
            <w:gridSpan w:val="2"/>
          </w:tcPr>
          <w:p>
            <w:pPr>
              <w:jc w:val="center"/>
              <w:ind w:right="320"/>
              <w:spacing w:after="0" w:line="189" w:lineRule="exact"/>
              <w:rPr>
                <w:sz w:val="20"/>
                <w:szCs w:val="20"/>
                <w:color w:val="auto"/>
              </w:rPr>
            </w:pPr>
            <w:r>
              <w:rPr>
                <w:rFonts w:ascii="Arial" w:cs="Arial" w:eastAsia="Arial" w:hAnsi="Arial"/>
                <w:sz w:val="14"/>
                <w:szCs w:val="14"/>
                <w:b w:val="1"/>
                <w:bCs w:val="1"/>
                <w:color w:val="auto"/>
                <w:w w:val="99"/>
              </w:rPr>
              <w:t>Adjustment</w:t>
            </w:r>
            <w:r>
              <w:rPr>
                <w:rFonts w:ascii="Arial" w:cs="Arial" w:eastAsia="Arial" w:hAnsi="Arial"/>
                <w:sz w:val="18"/>
                <w:szCs w:val="18"/>
                <w:b w:val="1"/>
                <w:bCs w:val="1"/>
                <w:color w:val="auto"/>
                <w:w w:val="99"/>
                <w:vertAlign w:val="superscript"/>
              </w:rPr>
              <w:t>(b)</w:t>
            </w:r>
          </w:p>
        </w:tc>
        <w:tc>
          <w:tcPr>
            <w:tcW w:w="180" w:type="dxa"/>
            <w:vAlign w:val="bottom"/>
          </w:tcPr>
          <w:p>
            <w:pPr>
              <w:spacing w:after="0"/>
              <w:rPr>
                <w:sz w:val="16"/>
                <w:szCs w:val="16"/>
                <w:color w:val="auto"/>
              </w:rPr>
            </w:pPr>
          </w:p>
        </w:tc>
        <w:tc>
          <w:tcPr>
            <w:tcW w:w="1400" w:type="dxa"/>
            <w:vAlign w:val="bottom"/>
          </w:tcPr>
          <w:p>
            <w:pPr>
              <w:jc w:val="center"/>
              <w:ind w:right="108"/>
              <w:spacing w:after="0"/>
              <w:rPr>
                <w:sz w:val="20"/>
                <w:szCs w:val="20"/>
                <w:color w:val="auto"/>
              </w:rPr>
            </w:pPr>
            <w:r>
              <w:rPr>
                <w:rFonts w:ascii="Arial" w:cs="Arial" w:eastAsia="Arial" w:hAnsi="Arial"/>
                <w:sz w:val="14"/>
                <w:szCs w:val="14"/>
                <w:b w:val="1"/>
                <w:bCs w:val="1"/>
                <w:color w:val="auto"/>
              </w:rPr>
              <w:t>Income (Loss)</w:t>
            </w:r>
          </w:p>
        </w:tc>
        <w:tc>
          <w:tcPr>
            <w:tcW w:w="0" w:type="dxa"/>
            <w:vAlign w:val="bottom"/>
          </w:tcPr>
          <w:p>
            <w:pPr>
              <w:spacing w:after="0"/>
              <w:rPr>
                <w:sz w:val="1"/>
                <w:szCs w:val="1"/>
                <w:color w:val="auto"/>
              </w:rPr>
            </w:pPr>
          </w:p>
        </w:tc>
      </w:tr>
      <w:tr>
        <w:trPr>
          <w:trHeight w:val="184"/>
        </w:trPr>
        <w:tc>
          <w:tcPr>
            <w:tcW w:w="3500" w:type="dxa"/>
            <w:vAlign w:val="bottom"/>
          </w:tcPr>
          <w:p>
            <w:pPr>
              <w:spacing w:after="0"/>
              <w:rPr>
                <w:sz w:val="20"/>
                <w:szCs w:val="20"/>
                <w:color w:val="auto"/>
              </w:rPr>
            </w:pPr>
            <w:r>
              <w:rPr>
                <w:rFonts w:ascii="Arial" w:cs="Arial" w:eastAsia="Arial" w:hAnsi="Arial"/>
                <w:sz w:val="14"/>
                <w:szCs w:val="14"/>
                <w:color w:val="auto"/>
              </w:rPr>
              <w:t>Balance, January 1, 2023</w:t>
            </w: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69"/>
        </w:trPr>
        <w:tc>
          <w:tcPr>
            <w:tcW w:w="3500" w:type="dxa"/>
            <w:vAlign w:val="bottom"/>
          </w:tcPr>
          <w:p>
            <w:pPr>
              <w:ind w:left="360"/>
              <w:spacing w:after="0"/>
              <w:rPr>
                <w:sz w:val="20"/>
                <w:szCs w:val="20"/>
                <w:color w:val="auto"/>
              </w:rPr>
            </w:pPr>
            <w:r>
              <w:rPr>
                <w:rFonts w:ascii="Arial" w:cs="Arial" w:eastAsia="Arial" w:hAnsi="Arial"/>
                <w:sz w:val="14"/>
                <w:szCs w:val="14"/>
                <w:color w:val="auto"/>
              </w:rPr>
              <w:t>Other comprehensive income (loss) before</w:t>
            </w:r>
          </w:p>
        </w:tc>
        <w:tc>
          <w:tcPr>
            <w:tcW w:w="2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2"/>
        </w:trPr>
        <w:tc>
          <w:tcPr>
            <w:tcW w:w="3500" w:type="dxa"/>
            <w:vAlign w:val="bottom"/>
          </w:tcPr>
          <w:p>
            <w:pPr>
              <w:ind w:left="360"/>
              <w:spacing w:after="0"/>
              <w:rPr>
                <w:sz w:val="20"/>
                <w:szCs w:val="20"/>
                <w:color w:val="auto"/>
              </w:rPr>
            </w:pPr>
            <w:r>
              <w:rPr>
                <w:rFonts w:ascii="Arial" w:cs="Arial" w:eastAsia="Arial" w:hAnsi="Arial"/>
                <w:sz w:val="14"/>
                <w:szCs w:val="14"/>
                <w:color w:val="auto"/>
              </w:rPr>
              <w:t>reclassifications</w:t>
            </w:r>
          </w:p>
        </w:tc>
        <w:tc>
          <w:tcPr>
            <w:tcW w:w="2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500" w:type="dxa"/>
            <w:vAlign w:val="bottom"/>
          </w:tcPr>
          <w:p>
            <w:pPr>
              <w:ind w:left="360"/>
              <w:spacing w:after="0" w:line="155" w:lineRule="exact"/>
              <w:rPr>
                <w:sz w:val="20"/>
                <w:szCs w:val="20"/>
                <w:color w:val="auto"/>
              </w:rPr>
            </w:pPr>
            <w:r>
              <w:rPr>
                <w:rFonts w:ascii="Arial" w:cs="Arial" w:eastAsia="Arial" w:hAnsi="Arial"/>
                <w:sz w:val="14"/>
                <w:szCs w:val="14"/>
                <w:color w:val="auto"/>
              </w:rPr>
              <w:t>Amounts reclassified from accumulated other</w:t>
            </w:r>
          </w:p>
        </w:tc>
        <w:tc>
          <w:tcPr>
            <w:tcW w:w="220" w:type="dxa"/>
            <w:vAlign w:val="bottom"/>
          </w:tcPr>
          <w:p>
            <w:pPr>
              <w:spacing w:after="0"/>
              <w:rPr>
                <w:sz w:val="13"/>
                <w:szCs w:val="13"/>
                <w:color w:val="auto"/>
              </w:rPr>
            </w:pPr>
          </w:p>
        </w:tc>
        <w:tc>
          <w:tcPr>
            <w:tcW w:w="14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1"/>
        </w:trPr>
        <w:tc>
          <w:tcPr>
            <w:tcW w:w="3500" w:type="dxa"/>
            <w:vAlign w:val="bottom"/>
          </w:tcPr>
          <w:p>
            <w:pPr>
              <w:ind w:left="360"/>
              <w:spacing w:after="0"/>
              <w:rPr>
                <w:sz w:val="20"/>
                <w:szCs w:val="20"/>
                <w:color w:val="auto"/>
              </w:rPr>
            </w:pPr>
            <w:r>
              <w:rPr>
                <w:rFonts w:ascii="Arial" w:cs="Arial" w:eastAsia="Arial" w:hAnsi="Arial"/>
                <w:sz w:val="14"/>
                <w:szCs w:val="14"/>
                <w:color w:val="auto"/>
              </w:rPr>
              <w:t>comprehensive income (loss)</w:t>
            </w:r>
          </w:p>
        </w:tc>
        <w:tc>
          <w:tcPr>
            <w:tcW w:w="2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500" w:type="dxa"/>
            <w:vAlign w:val="bottom"/>
          </w:tcPr>
          <w:p>
            <w:pPr>
              <w:ind w:left="160"/>
              <w:spacing w:after="0" w:line="137" w:lineRule="exact"/>
              <w:rPr>
                <w:sz w:val="20"/>
                <w:szCs w:val="20"/>
                <w:color w:val="auto"/>
              </w:rPr>
            </w:pPr>
            <w:r>
              <w:rPr>
                <w:rFonts w:ascii="Arial" w:cs="Arial" w:eastAsia="Arial" w:hAnsi="Arial"/>
                <w:sz w:val="14"/>
                <w:szCs w:val="14"/>
                <w:color w:val="auto"/>
              </w:rPr>
              <w:t>Net current-period other comprehensive income</w:t>
            </w:r>
          </w:p>
        </w:tc>
        <w:tc>
          <w:tcPr>
            <w:tcW w:w="2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1"/>
        </w:trPr>
        <w:tc>
          <w:tcPr>
            <w:tcW w:w="3500" w:type="dxa"/>
            <w:vAlign w:val="bottom"/>
          </w:tcPr>
          <w:p>
            <w:pPr>
              <w:ind w:left="160"/>
              <w:spacing w:after="0"/>
              <w:rPr>
                <w:sz w:val="20"/>
                <w:szCs w:val="20"/>
                <w:color w:val="auto"/>
              </w:rPr>
            </w:pPr>
            <w:r>
              <w:rPr>
                <w:rFonts w:ascii="Arial" w:cs="Arial" w:eastAsia="Arial" w:hAnsi="Arial"/>
                <w:sz w:val="14"/>
                <w:szCs w:val="14"/>
                <w:color w:val="auto"/>
              </w:rPr>
              <w:t>(loss)</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20"/>
                <w:szCs w:val="20"/>
                <w:color w:val="auto"/>
              </w:rPr>
            </w:pPr>
            <w:r>
              <w:rPr>
                <w:rFonts w:ascii="Arial" w:cs="Arial" w:eastAsia="Arial" w:hAnsi="Arial"/>
                <w:sz w:val="14"/>
                <w:szCs w:val="14"/>
                <w:color w:val="auto"/>
              </w:rPr>
              <w:t>Balance, September 30, 2023</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9"/>
        </w:trPr>
        <w:tc>
          <w:tcPr>
            <w:tcW w:w="3500" w:type="dxa"/>
            <w:vAlign w:val="bottom"/>
          </w:tcPr>
          <w:p>
            <w:pPr>
              <w:spacing w:after="0"/>
              <w:rPr>
                <w:sz w:val="20"/>
                <w:szCs w:val="20"/>
                <w:color w:val="auto"/>
              </w:rPr>
            </w:pPr>
            <w:r>
              <w:rPr>
                <w:rFonts w:ascii="Arial" w:cs="Arial" w:eastAsia="Arial" w:hAnsi="Arial"/>
                <w:sz w:val="14"/>
                <w:szCs w:val="14"/>
                <w:color w:val="auto"/>
              </w:rPr>
              <w:t>Balance, January 1, 2022</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69"/>
        </w:trPr>
        <w:tc>
          <w:tcPr>
            <w:tcW w:w="3500" w:type="dxa"/>
            <w:vAlign w:val="bottom"/>
          </w:tcPr>
          <w:p>
            <w:pPr>
              <w:ind w:left="360"/>
              <w:spacing w:after="0"/>
              <w:rPr>
                <w:sz w:val="20"/>
                <w:szCs w:val="20"/>
                <w:color w:val="auto"/>
              </w:rPr>
            </w:pPr>
            <w:r>
              <w:rPr>
                <w:rFonts w:ascii="Arial" w:cs="Arial" w:eastAsia="Arial" w:hAnsi="Arial"/>
                <w:sz w:val="14"/>
                <w:szCs w:val="14"/>
                <w:color w:val="auto"/>
              </w:rPr>
              <w:t>Other comprehensive income (loss) before</w:t>
            </w:r>
          </w:p>
        </w:tc>
        <w:tc>
          <w:tcPr>
            <w:tcW w:w="2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2"/>
        </w:trPr>
        <w:tc>
          <w:tcPr>
            <w:tcW w:w="3500" w:type="dxa"/>
            <w:vAlign w:val="bottom"/>
          </w:tcPr>
          <w:p>
            <w:pPr>
              <w:ind w:left="360"/>
              <w:spacing w:after="0"/>
              <w:rPr>
                <w:sz w:val="20"/>
                <w:szCs w:val="20"/>
                <w:color w:val="auto"/>
              </w:rPr>
            </w:pPr>
            <w:r>
              <w:rPr>
                <w:rFonts w:ascii="Arial" w:cs="Arial" w:eastAsia="Arial" w:hAnsi="Arial"/>
                <w:sz w:val="14"/>
                <w:szCs w:val="14"/>
                <w:color w:val="auto"/>
              </w:rPr>
              <w:t>reclassifications</w:t>
            </w:r>
          </w:p>
        </w:tc>
        <w:tc>
          <w:tcPr>
            <w:tcW w:w="2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500" w:type="dxa"/>
            <w:vAlign w:val="bottom"/>
          </w:tcPr>
          <w:p>
            <w:pPr>
              <w:ind w:left="360"/>
              <w:spacing w:after="0" w:line="155" w:lineRule="exact"/>
              <w:rPr>
                <w:sz w:val="20"/>
                <w:szCs w:val="20"/>
                <w:color w:val="auto"/>
              </w:rPr>
            </w:pPr>
            <w:r>
              <w:rPr>
                <w:rFonts w:ascii="Arial" w:cs="Arial" w:eastAsia="Arial" w:hAnsi="Arial"/>
                <w:sz w:val="14"/>
                <w:szCs w:val="14"/>
                <w:color w:val="auto"/>
              </w:rPr>
              <w:t>Amounts reclassified from accumulated other</w:t>
            </w:r>
          </w:p>
        </w:tc>
        <w:tc>
          <w:tcPr>
            <w:tcW w:w="220" w:type="dxa"/>
            <w:vAlign w:val="bottom"/>
          </w:tcPr>
          <w:p>
            <w:pPr>
              <w:spacing w:after="0"/>
              <w:rPr>
                <w:sz w:val="13"/>
                <w:szCs w:val="13"/>
                <w:color w:val="auto"/>
              </w:rPr>
            </w:pPr>
          </w:p>
        </w:tc>
        <w:tc>
          <w:tcPr>
            <w:tcW w:w="14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1"/>
        </w:trPr>
        <w:tc>
          <w:tcPr>
            <w:tcW w:w="3500" w:type="dxa"/>
            <w:vAlign w:val="bottom"/>
          </w:tcPr>
          <w:p>
            <w:pPr>
              <w:ind w:left="360"/>
              <w:spacing w:after="0"/>
              <w:rPr>
                <w:sz w:val="20"/>
                <w:szCs w:val="20"/>
                <w:color w:val="auto"/>
              </w:rPr>
            </w:pPr>
            <w:r>
              <w:rPr>
                <w:rFonts w:ascii="Arial" w:cs="Arial" w:eastAsia="Arial" w:hAnsi="Arial"/>
                <w:sz w:val="14"/>
                <w:szCs w:val="14"/>
                <w:color w:val="auto"/>
              </w:rPr>
              <w:t>comprehensive income (loss)</w:t>
            </w:r>
          </w:p>
        </w:tc>
        <w:tc>
          <w:tcPr>
            <w:tcW w:w="2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500" w:type="dxa"/>
            <w:vAlign w:val="bottom"/>
          </w:tcPr>
          <w:p>
            <w:pPr>
              <w:ind w:left="160"/>
              <w:spacing w:after="0" w:line="137" w:lineRule="exact"/>
              <w:rPr>
                <w:sz w:val="20"/>
                <w:szCs w:val="20"/>
                <w:color w:val="auto"/>
              </w:rPr>
            </w:pPr>
            <w:r>
              <w:rPr>
                <w:rFonts w:ascii="Arial" w:cs="Arial" w:eastAsia="Arial" w:hAnsi="Arial"/>
                <w:sz w:val="14"/>
                <w:szCs w:val="14"/>
                <w:color w:val="auto"/>
              </w:rPr>
              <w:t>Net current-period other comprehensive income</w:t>
            </w:r>
          </w:p>
        </w:tc>
        <w:tc>
          <w:tcPr>
            <w:tcW w:w="2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1"/>
        </w:trPr>
        <w:tc>
          <w:tcPr>
            <w:tcW w:w="3500" w:type="dxa"/>
            <w:vAlign w:val="bottom"/>
          </w:tcPr>
          <w:p>
            <w:pPr>
              <w:ind w:left="160"/>
              <w:spacing w:after="0"/>
              <w:rPr>
                <w:sz w:val="20"/>
                <w:szCs w:val="20"/>
                <w:color w:val="auto"/>
              </w:rPr>
            </w:pPr>
            <w:r>
              <w:rPr>
                <w:rFonts w:ascii="Arial" w:cs="Arial" w:eastAsia="Arial" w:hAnsi="Arial"/>
                <w:sz w:val="14"/>
                <w:szCs w:val="14"/>
                <w:color w:val="auto"/>
              </w:rPr>
              <w:t>(loss)</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20"/>
                <w:szCs w:val="20"/>
                <w:color w:val="auto"/>
              </w:rPr>
            </w:pPr>
            <w:r>
              <w:rPr>
                <w:rFonts w:ascii="Arial" w:cs="Arial" w:eastAsia="Arial" w:hAnsi="Arial"/>
                <w:sz w:val="14"/>
                <w:szCs w:val="14"/>
                <w:color w:val="auto"/>
              </w:rPr>
              <w:t>Balance, September 30, 2022</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__________</w:t>
      </w:r>
    </w:p>
    <w:p>
      <w:pPr>
        <w:spacing w:after="0" w:line="118" w:lineRule="exact"/>
        <w:rPr>
          <w:sz w:val="20"/>
          <w:szCs w:val="20"/>
          <w:color w:val="auto"/>
        </w:rPr>
      </w:pPr>
    </w:p>
    <w:p>
      <w:pPr>
        <w:jc w:val="both"/>
        <w:ind w:left="442"/>
        <w:spacing w:after="0" w:line="262"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$123 million gain, net of tax, as of September 30, 2023 related to our hedge of our investment in euro-denominated foreign operations (see Note 17 – Financial Instruments).</w:t>
      </w:r>
    </w:p>
    <w:p>
      <w:pPr>
        <w:spacing w:after="0" w:line="1" w:lineRule="exact"/>
        <w:rPr>
          <w:sz w:val="20"/>
          <w:szCs w:val="20"/>
          <w:color w:val="auto"/>
        </w:rPr>
      </w:pPr>
    </w:p>
    <w:p>
      <w:pPr>
        <w:jc w:val="both"/>
        <w:ind w:left="762" w:hanging="326"/>
        <w:spacing w:after="0" w:line="237" w:lineRule="auto"/>
        <w:tabs>
          <w:tab w:leader="none" w:pos="755" w:val="left"/>
        </w:tabs>
        <w:numPr>
          <w:ilvl w:val="1"/>
          <w:numId w:val="28"/>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September 30, 2023 and 2022, the amounts reclassified from accumulated other comprehensive income (loss) into corporate interest expense were gains of $2 million ($2 million, net of tax) and losses of $1 million ($1 million, net of tax), respectively. For the nine months ended September 30, 2023 and 2022, the amounts reclassified from accumulated other comprehensive income (loss) into corporate interest expense were gains of $10 million ($8 million, net of tax) and losses of $10 million ($8 million, net of tax), respectively.</w:t>
      </w:r>
    </w:p>
    <w:p>
      <w:pPr>
        <w:jc w:val="both"/>
        <w:ind w:left="762" w:hanging="326"/>
        <w:spacing w:after="0" w:line="235" w:lineRule="auto"/>
        <w:tabs>
          <w:tab w:leader="none" w:pos="755" w:val="left"/>
        </w:tabs>
        <w:numPr>
          <w:ilvl w:val="1"/>
          <w:numId w:val="28"/>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September 30, 2023 and 2022, amounts reclassified from accumulated other comprehensive income (loss) into selling, general and administrative expenses were losses of $1 million ($1 million, net of tax) and losses of $1 million ($1 million, net of tax), respectively. For the nine months ended September 30, 2023 and 2022, amounts reclassified from accumulated other comprehensive income (loss) into selling, general and administrative expenses were losses of $4 million ($3 million, net of tax) and losses of $4 million ($3 million, net of tax), respectively.</w:t>
      </w:r>
    </w:p>
    <w:p>
      <w:pPr>
        <w:spacing w:after="0" w:line="220" w:lineRule="exact"/>
        <w:rPr>
          <w:rFonts w:ascii="Arial" w:cs="Arial" w:eastAsia="Arial" w:hAnsi="Arial"/>
          <w:sz w:val="19"/>
          <w:szCs w:val="19"/>
          <w:color w:val="auto"/>
          <w:vertAlign w:val="superscript"/>
        </w:rPr>
      </w:pPr>
    </w:p>
    <w:p>
      <w:pPr>
        <w:jc w:val="both"/>
        <w:ind w:left="442" w:right="8380" w:hanging="442"/>
        <w:spacing w:after="0" w:line="569" w:lineRule="auto"/>
        <w:tabs>
          <w:tab w:leader="none" w:pos="456"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Related Party Transactions </w:t>
      </w:r>
      <w:r>
        <w:rPr>
          <w:rFonts w:ascii="Arial" w:cs="Arial" w:eastAsia="Arial" w:hAnsi="Arial"/>
          <w:sz w:val="17"/>
          <w:szCs w:val="17"/>
          <w:b w:val="1"/>
          <w:bCs w:val="1"/>
          <w:i w:val="1"/>
          <w:iCs w:val="1"/>
          <w:color w:val="auto"/>
        </w:rPr>
        <w:t>SRS Mobility Ventures, LLC</w:t>
      </w:r>
    </w:p>
    <w:p>
      <w:pPr>
        <w:spacing w:after="0" w:line="1" w:lineRule="exact"/>
        <w:rPr>
          <w:rFonts w:ascii="Arial" w:cs="Arial" w:eastAsia="Arial" w:hAnsi="Arial"/>
          <w:sz w:val="17"/>
          <w:szCs w:val="17"/>
          <w:b w:val="1"/>
          <w:bCs w:val="1"/>
          <w:color w:val="auto"/>
        </w:rPr>
      </w:pPr>
    </w:p>
    <w:p>
      <w:pPr>
        <w:ind w:left="442"/>
        <w:spacing w:after="0" w:line="275" w:lineRule="auto"/>
        <w:rPr>
          <w:rFonts w:ascii="Arial" w:cs="Arial" w:eastAsia="Arial" w:hAnsi="Arial"/>
          <w:sz w:val="17"/>
          <w:szCs w:val="17"/>
          <w:b w:val="1"/>
          <w:bCs w:val="1"/>
          <w:color w:val="auto"/>
        </w:rPr>
      </w:pPr>
      <w:r>
        <w:rPr>
          <w:rFonts w:ascii="Arial" w:cs="Arial" w:eastAsia="Arial" w:hAnsi="Arial"/>
          <w:sz w:val="18"/>
          <w:szCs w:val="18"/>
          <w:color w:val="auto"/>
        </w:rPr>
        <w:t>In 2021, SRS Mobility Ventures, LLC acquired a 33 1/3% Class A Membership Interest in one of our subsidiaries at fair value of $37.5 million. SRS Mobility Ventures, LLC is an affiliate of our largest shareholder, SRS Investment Management, LLC.</w:t>
      </w:r>
    </w:p>
    <w:p>
      <w:pPr>
        <w:spacing w:after="0" w:line="200" w:lineRule="exact"/>
        <w:rPr>
          <w:rFonts w:ascii="Arial" w:cs="Arial" w:eastAsia="Arial" w:hAnsi="Arial"/>
          <w:sz w:val="17"/>
          <w:szCs w:val="17"/>
          <w:b w:val="1"/>
          <w:bCs w:val="1"/>
          <w:color w:val="auto"/>
        </w:rPr>
      </w:pPr>
    </w:p>
    <w:p>
      <w:pPr>
        <w:jc w:val="both"/>
        <w:ind w:left="442"/>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On September 1, 2022, through the issuance of Class B Preferred Voting Membership Interests, SRS Mobility Ventures, LLC increased their ownership in this subsidiary to 51% at a fair value of $62 million. As a result, we deconsolidated our former subsidiary, Avis Mobility Ventures LLC (“AMV”), from our financial statements and began reporting our proportional share of the former subsidiary’s income or loss within other (income) expense, net in our Consolidated Condensed Statements of Comprehensive Income as we no longer have the ability to direct the significant activities of the former subsidiary and are therefore no longer primary beneficiary of the VIE. In August 2023, SRS made a capital contribution to AMV, increasing their ownership to approximately 60%.</w:t>
      </w:r>
    </w:p>
    <w:p>
      <w:pPr>
        <w:spacing w:after="0" w:line="219" w:lineRule="exact"/>
        <w:rPr>
          <w:rFonts w:ascii="Arial" w:cs="Arial" w:eastAsia="Arial" w:hAnsi="Arial"/>
          <w:sz w:val="17"/>
          <w:szCs w:val="17"/>
          <w:b w:val="1"/>
          <w:bCs w:val="1"/>
          <w:color w:val="auto"/>
        </w:rPr>
      </w:pPr>
    </w:p>
    <w:p>
      <w:pPr>
        <w:jc w:val="both"/>
        <w:ind w:left="442"/>
        <w:spacing w:after="0" w:line="256" w:lineRule="auto"/>
        <w:rPr>
          <w:rFonts w:ascii="Arial" w:cs="Arial" w:eastAsia="Arial" w:hAnsi="Arial"/>
          <w:sz w:val="17"/>
          <w:szCs w:val="17"/>
          <w:b w:val="1"/>
          <w:bCs w:val="1"/>
          <w:color w:val="auto"/>
        </w:rPr>
      </w:pPr>
      <w:r>
        <w:rPr>
          <w:rFonts w:ascii="Arial" w:cs="Arial" w:eastAsia="Arial" w:hAnsi="Arial"/>
          <w:sz w:val="18"/>
          <w:szCs w:val="18"/>
          <w:color w:val="auto"/>
        </w:rPr>
        <w:t>In accordance with ASC Topic 810-10-40, we must deconsolidate a subsidiary as of the date we cease to have a controlling interest in that subsidiary and recognize the gain or loss in net income at that time. The fair value of our retained investment was determined utilizing a discounted cash flow methodology based on various assumptions, including projections of future cash flows, which include forecast of future revenue and EBITDA. Upon deconsolidation, our former subsidiary had a net asset carrying amount of $49 million resulting in a gain of $10 million.</w:t>
      </w:r>
    </w:p>
    <w:p>
      <w:pPr>
        <w:spacing w:after="0" w:line="200" w:lineRule="exact"/>
        <w:rPr>
          <w:sz w:val="20"/>
          <w:szCs w:val="20"/>
          <w:color w:val="auto"/>
        </w:rPr>
      </w:pPr>
    </w:p>
    <w:p>
      <w:pPr>
        <w:spacing w:after="0" w:line="370"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69850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27" w:right="339" w:bottom="1440" w:gutter="0" w:footer="0" w:header="0"/>
        </w:sectPr>
      </w:pPr>
    </w:p>
    <w:bookmarkStart w:id="23" w:name="page24"/>
    <w:bookmarkEnd w:id="23"/>
    <w:p>
      <w:pPr>
        <w:ind w:left="442"/>
        <w:spacing w:after="0"/>
        <w:rPr>
          <w:sz w:val="20"/>
          <w:szCs w:val="20"/>
          <w:color w:val="auto"/>
        </w:rPr>
      </w:pPr>
      <w:r>
        <w:rPr>
          <w:rFonts w:ascii="Arial" w:cs="Arial" w:eastAsia="Arial" w:hAnsi="Arial"/>
          <w:sz w:val="18"/>
          <w:szCs w:val="18"/>
          <w:color w:val="auto"/>
        </w:rPr>
        <w:t>We continue to provide vehicles, related fleet services, and certain administrative services to AMV to support their operations.</w:t>
      </w:r>
    </w:p>
    <w:p>
      <w:pPr>
        <w:spacing w:after="0" w:line="252" w:lineRule="exact"/>
        <w:rPr>
          <w:sz w:val="20"/>
          <w:szCs w:val="20"/>
          <w:color w:val="auto"/>
        </w:rPr>
      </w:pPr>
    </w:p>
    <w:p>
      <w:pPr>
        <w:jc w:val="both"/>
        <w:ind w:left="442"/>
        <w:spacing w:after="0" w:line="255" w:lineRule="auto"/>
        <w:rPr>
          <w:sz w:val="20"/>
          <w:szCs w:val="20"/>
          <w:color w:val="auto"/>
        </w:rPr>
      </w:pPr>
      <w:r>
        <w:rPr>
          <w:rFonts w:ascii="Arial" w:cs="Arial" w:eastAsia="Arial" w:hAnsi="Arial"/>
          <w:sz w:val="18"/>
          <w:szCs w:val="18"/>
          <w:color w:val="auto"/>
        </w:rPr>
        <w:t>For the three months ended September 30, 2023 and 2022, we recorded $6 million and $2 million of related income within other (income) expense, net, respectively. For the nine months ended September 30, 2023 and 2022, we recorded $20 million and $2 million of related income within other (income) expense, net, respectively. For the three months ended September 30, 2023 and 2022, we recorded losses of $7 million and $3 million related to our equity method investment. For the nine months ended September 30, 2023 and 2022, we recorded losses of $23 million and $3 million within other (income) expense, net, related to our equity investment, respectively.</w:t>
      </w:r>
    </w:p>
    <w:p>
      <w:pPr>
        <w:spacing w:after="0" w:line="219" w:lineRule="exact"/>
        <w:rPr>
          <w:sz w:val="20"/>
          <w:szCs w:val="20"/>
          <w:color w:val="auto"/>
        </w:rPr>
      </w:pPr>
    </w:p>
    <w:p>
      <w:pPr>
        <w:jc w:val="both"/>
        <w:ind w:left="442"/>
        <w:spacing w:after="0" w:line="258" w:lineRule="auto"/>
        <w:rPr>
          <w:sz w:val="20"/>
          <w:szCs w:val="20"/>
          <w:color w:val="auto"/>
        </w:rPr>
      </w:pPr>
      <w:r>
        <w:rPr>
          <w:rFonts w:ascii="Arial" w:cs="Arial" w:eastAsia="Arial" w:hAnsi="Arial"/>
          <w:sz w:val="18"/>
          <w:szCs w:val="18"/>
          <w:color w:val="auto"/>
        </w:rPr>
        <w:t>As of September 30, 2023 and December 31, 2022, receivables from AMV related to these services were $ 6 million, in each period, and our net investment in vehicle finance lease with AMV, which is included in vehicles, net, was $ 26 million and $36 million, respectively. The carrying value of our equity investment in AMV as of September 30, 2023 and December 31, 2022 was approximately $26 million and $49 million, respectively, which is included in other non-current assets.</w:t>
      </w:r>
    </w:p>
    <w:p>
      <w:pPr>
        <w:spacing w:after="0" w:line="207" w:lineRule="exact"/>
        <w:rPr>
          <w:sz w:val="20"/>
          <w:szCs w:val="20"/>
          <w:color w:val="auto"/>
        </w:rPr>
      </w:pPr>
    </w:p>
    <w:p>
      <w:pPr>
        <w:ind w:left="442" w:hanging="442"/>
        <w:spacing w:after="0"/>
        <w:tabs>
          <w:tab w:leader="none" w:pos="44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62" w:lineRule="exact"/>
        <w:rPr>
          <w:rFonts w:ascii="Arial" w:cs="Arial" w:eastAsia="Arial" w:hAnsi="Arial"/>
          <w:sz w:val="18"/>
          <w:szCs w:val="18"/>
          <w:b w:val="1"/>
          <w:bCs w:val="1"/>
          <w:color w:val="auto"/>
        </w:rPr>
      </w:pPr>
    </w:p>
    <w:p>
      <w:pPr>
        <w:jc w:val="both"/>
        <w:ind w:left="442"/>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We recorded stock-based compensation expense of $7 million ($5 million, net of tax) during the three months ended September 30, 2023 and 2022, in each period, and $23 million and $19 million ($16 million and $14 million, net of tax) during the nine months ended September 30, 2023 and 2022, respectively.</w:t>
      </w:r>
    </w:p>
    <w:p>
      <w:pPr>
        <w:spacing w:after="0" w:line="210" w:lineRule="exact"/>
        <w:rPr>
          <w:rFonts w:ascii="Arial" w:cs="Arial" w:eastAsia="Arial" w:hAnsi="Arial"/>
          <w:sz w:val="18"/>
          <w:szCs w:val="18"/>
          <w:b w:val="1"/>
          <w:bCs w:val="1"/>
          <w:color w:val="auto"/>
        </w:rPr>
      </w:pPr>
    </w:p>
    <w:p>
      <w:pPr>
        <w:ind w:left="442"/>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In 2020, we granted market-based restricted stock units (“RSUs”) that vest based on absolute stock price attainment. The grant date fair value of this award is estimated using a Monte Carlo simulation model.</w:t>
      </w:r>
    </w:p>
    <w:p>
      <w:pPr>
        <w:spacing w:after="0" w:line="201"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weighted average assumptions used in the model are as follows:</w:t>
      </w:r>
    </w:p>
    <w:p>
      <w:pPr>
        <w:spacing w:after="0" w:line="52" w:lineRule="exact"/>
        <w:rPr>
          <w:sz w:val="20"/>
          <w:szCs w:val="20"/>
          <w:color w:val="auto"/>
        </w:rPr>
      </w:pPr>
    </w:p>
    <w:tbl>
      <w:tblPr>
        <w:tblLayout w:type="fixed"/>
        <w:tblInd w:w="462"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Arial" w:cs="Arial" w:eastAsia="Arial" w:hAnsi="Arial"/>
                <w:sz w:val="16"/>
                <w:szCs w:val="16"/>
                <w:color w:val="auto"/>
              </w:rPr>
              <w:t>Expected volatility of stock price</w:t>
            </w:r>
          </w:p>
        </w:tc>
        <w:tc>
          <w:tcPr>
            <w:tcW w:w="3860" w:type="dxa"/>
            <w:vAlign w:val="bottom"/>
          </w:tcPr>
          <w:p>
            <w:pPr>
              <w:jc w:val="center"/>
              <w:ind w:left="3239"/>
              <w:spacing w:after="0"/>
              <w:rPr>
                <w:sz w:val="20"/>
                <w:szCs w:val="20"/>
                <w:color w:val="auto"/>
              </w:rPr>
            </w:pPr>
            <w:r>
              <w:rPr>
                <w:rFonts w:ascii="Arial" w:cs="Arial" w:eastAsia="Arial" w:hAnsi="Arial"/>
                <w:sz w:val="16"/>
                <w:szCs w:val="16"/>
                <w:color w:val="auto"/>
              </w:rPr>
              <w:t>91%</w:t>
            </w:r>
          </w:p>
        </w:tc>
      </w:tr>
      <w:tr>
        <w:trPr>
          <w:trHeight w:val="216"/>
        </w:trPr>
        <w:tc>
          <w:tcPr>
            <w:tcW w:w="5620" w:type="dxa"/>
            <w:vAlign w:val="bottom"/>
          </w:tcPr>
          <w:p>
            <w:pPr>
              <w:spacing w:after="0"/>
              <w:rPr>
                <w:sz w:val="20"/>
                <w:szCs w:val="20"/>
                <w:color w:val="auto"/>
              </w:rPr>
            </w:pPr>
            <w:r>
              <w:rPr>
                <w:rFonts w:ascii="Arial" w:cs="Arial" w:eastAsia="Arial" w:hAnsi="Arial"/>
                <w:sz w:val="16"/>
                <w:szCs w:val="16"/>
                <w:color w:val="auto"/>
              </w:rPr>
              <w:t>Risk-free interest rate</w:t>
            </w:r>
          </w:p>
        </w:tc>
        <w:tc>
          <w:tcPr>
            <w:tcW w:w="3860" w:type="dxa"/>
            <w:vAlign w:val="bottom"/>
          </w:tcPr>
          <w:p>
            <w:pPr>
              <w:jc w:val="center"/>
              <w:ind w:left="3239"/>
              <w:spacing w:after="0"/>
              <w:rPr>
                <w:sz w:val="20"/>
                <w:szCs w:val="20"/>
                <w:color w:val="auto"/>
              </w:rPr>
            </w:pPr>
            <w:r>
              <w:rPr>
                <w:rFonts w:ascii="Arial" w:cs="Arial" w:eastAsia="Arial" w:hAnsi="Arial"/>
                <w:sz w:val="16"/>
                <w:szCs w:val="16"/>
                <w:color w:val="auto"/>
              </w:rPr>
              <w:t>0.18%</w:t>
            </w:r>
          </w:p>
        </w:tc>
      </w:tr>
      <w:tr>
        <w:trPr>
          <w:trHeight w:val="216"/>
        </w:trPr>
        <w:tc>
          <w:tcPr>
            <w:tcW w:w="5620" w:type="dxa"/>
            <w:vAlign w:val="bottom"/>
          </w:tcPr>
          <w:p>
            <w:pPr>
              <w:spacing w:after="0"/>
              <w:rPr>
                <w:sz w:val="20"/>
                <w:szCs w:val="20"/>
                <w:color w:val="auto"/>
              </w:rPr>
            </w:pPr>
            <w:r>
              <w:rPr>
                <w:rFonts w:ascii="Arial" w:cs="Arial" w:eastAsia="Arial" w:hAnsi="Arial"/>
                <w:sz w:val="16"/>
                <w:szCs w:val="16"/>
                <w:color w:val="auto"/>
              </w:rPr>
              <w:t>Valuation period</w:t>
            </w:r>
          </w:p>
        </w:tc>
        <w:tc>
          <w:tcPr>
            <w:tcW w:w="3860" w:type="dxa"/>
            <w:vAlign w:val="bottom"/>
          </w:tcPr>
          <w:p>
            <w:pPr>
              <w:ind w:left="3320"/>
              <w:spacing w:after="0"/>
              <w:rPr>
                <w:sz w:val="20"/>
                <w:szCs w:val="20"/>
                <w:color w:val="auto"/>
              </w:rPr>
            </w:pPr>
            <w:r>
              <w:rPr>
                <w:rFonts w:ascii="Arial" w:cs="Arial" w:eastAsia="Arial" w:hAnsi="Arial"/>
                <w:sz w:val="16"/>
                <w:szCs w:val="16"/>
                <w:color w:val="auto"/>
                <w:w w:val="99"/>
              </w:rPr>
              <w:t>3 years</w:t>
            </w:r>
          </w:p>
        </w:tc>
      </w:tr>
      <w:tr>
        <w:trPr>
          <w:trHeight w:val="216"/>
        </w:trPr>
        <w:tc>
          <w:tcPr>
            <w:tcW w:w="5620" w:type="dxa"/>
            <w:vAlign w:val="bottom"/>
          </w:tcPr>
          <w:p>
            <w:pPr>
              <w:spacing w:after="0"/>
              <w:rPr>
                <w:sz w:val="20"/>
                <w:szCs w:val="20"/>
                <w:color w:val="auto"/>
              </w:rPr>
            </w:pPr>
            <w:r>
              <w:rPr>
                <w:rFonts w:ascii="Arial" w:cs="Arial" w:eastAsia="Arial" w:hAnsi="Arial"/>
                <w:sz w:val="16"/>
                <w:szCs w:val="16"/>
                <w:color w:val="auto"/>
              </w:rPr>
              <w:t>Dividend yield</w:t>
            </w:r>
          </w:p>
        </w:tc>
        <w:tc>
          <w:tcPr>
            <w:tcW w:w="3860" w:type="dxa"/>
            <w:vAlign w:val="bottom"/>
          </w:tcPr>
          <w:p>
            <w:pPr>
              <w:jc w:val="center"/>
              <w:ind w:left="3239"/>
              <w:spacing w:after="0"/>
              <w:rPr>
                <w:sz w:val="20"/>
                <w:szCs w:val="20"/>
                <w:color w:val="auto"/>
              </w:rPr>
            </w:pPr>
            <w:r>
              <w:rPr>
                <w:rFonts w:ascii="Arial" w:cs="Arial" w:eastAsia="Arial" w:hAnsi="Arial"/>
                <w:sz w:val="16"/>
                <w:szCs w:val="16"/>
                <w:color w:val="auto"/>
                <w:w w:val="99"/>
              </w:rPr>
              <w:t>—%</w:t>
            </w:r>
          </w:p>
        </w:tc>
      </w:tr>
    </w:tbl>
    <w:p>
      <w:pPr>
        <w:spacing w:after="0" w:line="331"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activity related to RSUs consisted of (in thousands of shares):</w:t>
      </w:r>
    </w:p>
    <w:p>
      <w:pPr>
        <w:spacing w:after="0" w:line="36" w:lineRule="exact"/>
        <w:rPr>
          <w:sz w:val="20"/>
          <w:szCs w:val="20"/>
          <w:color w:val="auto"/>
        </w:rPr>
      </w:pPr>
    </w:p>
    <w:tbl>
      <w:tblPr>
        <w:tblLayout w:type="fixed"/>
        <w:tblInd w:w="462"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80" w:type="dxa"/>
            <w:vAlign w:val="bottom"/>
          </w:tcPr>
          <w:p>
            <w:pPr>
              <w:spacing w:after="0"/>
              <w:rPr>
                <w:sz w:val="14"/>
                <w:szCs w:val="14"/>
                <w:color w:val="auto"/>
              </w:rPr>
            </w:pPr>
          </w:p>
        </w:tc>
        <w:tc>
          <w:tcPr>
            <w:tcW w:w="11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1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Average</w:t>
            </w: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Remaining</w:t>
            </w:r>
          </w:p>
        </w:tc>
        <w:tc>
          <w:tcPr>
            <w:tcW w:w="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Grant Date</w:t>
            </w: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Contractual Term</w:t>
            </w:r>
          </w:p>
        </w:tc>
        <w:tc>
          <w:tcPr>
            <w:tcW w:w="80" w:type="dxa"/>
            <w:vAlign w:val="bottom"/>
          </w:tcPr>
          <w:p>
            <w:pPr>
              <w:spacing w:after="0"/>
              <w:rPr>
                <w:sz w:val="12"/>
                <w:szCs w:val="12"/>
                <w:color w:val="auto"/>
              </w:rPr>
            </w:pPr>
          </w:p>
        </w:tc>
        <w:tc>
          <w:tcPr>
            <w:tcW w:w="11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89"/>
        </w:trPr>
        <w:tc>
          <w:tcPr>
            <w:tcW w:w="4680" w:type="dxa"/>
            <w:vAlign w:val="bottom"/>
          </w:tcPr>
          <w:p>
            <w:pPr>
              <w:spacing w:after="0"/>
              <w:rPr>
                <w:sz w:val="16"/>
                <w:szCs w:val="16"/>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 Value</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(years)</w:t>
            </w:r>
          </w:p>
        </w:tc>
        <w:tc>
          <w:tcPr>
            <w:tcW w:w="80" w:type="dxa"/>
            <w:vAlign w:val="bottom"/>
          </w:tcPr>
          <w:p>
            <w:pPr>
              <w:spacing w:after="0"/>
              <w:rPr>
                <w:sz w:val="16"/>
                <w:szCs w:val="16"/>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80"/>
        </w:trPr>
        <w:tc>
          <w:tcPr>
            <w:tcW w:w="4680" w:type="dxa"/>
            <w:vAlign w:val="bottom"/>
          </w:tcPr>
          <w:p>
            <w:pPr>
              <w:spacing w:after="0"/>
              <w:rPr>
                <w:sz w:val="20"/>
                <w:szCs w:val="20"/>
                <w:color w:val="auto"/>
              </w:rPr>
            </w:pPr>
            <w:r>
              <w:rPr>
                <w:rFonts w:ascii="Arial" w:cs="Arial" w:eastAsia="Arial" w:hAnsi="Arial"/>
                <w:sz w:val="14"/>
                <w:szCs w:val="14"/>
                <w:b w:val="1"/>
                <w:bCs w:val="1"/>
                <w:color w:val="auto"/>
              </w:rPr>
              <w:t>Time-based RSUs</w:t>
            </w: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680" w:type="dxa"/>
            <w:vAlign w:val="bottom"/>
          </w:tcPr>
          <w:p>
            <w:pPr>
              <w:ind w:left="160"/>
              <w:spacing w:after="0"/>
              <w:rPr>
                <w:sz w:val="20"/>
                <w:szCs w:val="20"/>
                <w:color w:val="auto"/>
              </w:rPr>
            </w:pPr>
            <w:r>
              <w:rPr>
                <w:rFonts w:ascii="Arial" w:cs="Arial" w:eastAsia="Arial" w:hAnsi="Arial"/>
                <w:sz w:val="14"/>
                <w:szCs w:val="14"/>
                <w:color w:val="auto"/>
              </w:rPr>
              <w:t>Outstanding at January 1, 2023</w:t>
            </w:r>
          </w:p>
        </w:tc>
        <w:tc>
          <w:tcPr>
            <w:tcW w:w="1140" w:type="dxa"/>
            <w:vAlign w:val="bottom"/>
          </w:tcPr>
          <w:p>
            <w:pPr>
              <w:jc w:val="right"/>
              <w:spacing w:after="0"/>
              <w:rPr>
                <w:sz w:val="20"/>
                <w:szCs w:val="20"/>
                <w:color w:val="auto"/>
              </w:rPr>
            </w:pPr>
            <w:r>
              <w:rPr>
                <w:rFonts w:ascii="Arial" w:cs="Arial" w:eastAsia="Arial" w:hAnsi="Arial"/>
                <w:sz w:val="14"/>
                <w:szCs w:val="14"/>
                <w:color w:val="auto"/>
              </w:rPr>
              <w:t>451</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92.06</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680" w:type="dxa"/>
            <w:vAlign w:val="bottom"/>
          </w:tcPr>
          <w:p>
            <w:pPr>
              <w:ind w:left="36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14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209.08</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80" w:type="dxa"/>
            <w:vAlign w:val="bottom"/>
          </w:tcPr>
          <w:p>
            <w:pPr>
              <w:ind w:left="360"/>
              <w:spacing w:after="0"/>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(b)</w:t>
            </w:r>
          </w:p>
        </w:tc>
        <w:tc>
          <w:tcPr>
            <w:tcW w:w="1140" w:type="dxa"/>
            <w:vAlign w:val="bottom"/>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52.95</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68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163.91</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680" w:type="dxa"/>
            <w:vAlign w:val="bottom"/>
          </w:tcPr>
          <w:p>
            <w:pPr>
              <w:ind w:left="160"/>
              <w:spacing w:after="0" w:line="202" w:lineRule="exact"/>
              <w:rPr>
                <w:sz w:val="20"/>
                <w:szCs w:val="20"/>
                <w:color w:val="auto"/>
              </w:rPr>
            </w:pPr>
            <w:r>
              <w:rPr>
                <w:rFonts w:ascii="Arial" w:cs="Arial" w:eastAsia="Arial" w:hAnsi="Arial"/>
                <w:sz w:val="14"/>
                <w:szCs w:val="14"/>
                <w:color w:val="auto"/>
              </w:rPr>
              <w:t xml:space="preserve">Outstanding and expected to vest at September 30, 2023 </w:t>
            </w:r>
            <w:r>
              <w:rPr>
                <w:rFonts w:ascii="Arial" w:cs="Arial" w:eastAsia="Arial" w:hAnsi="Arial"/>
                <w:sz w:val="18"/>
                <w:szCs w:val="18"/>
                <w:color w:val="auto"/>
                <w:vertAlign w:val="superscript"/>
              </w:rPr>
              <w:t>(c)</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159.55</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Performance-based and market-based RSUs</w:t>
            </w: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46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680" w:type="dxa"/>
            <w:vAlign w:val="bottom"/>
          </w:tcPr>
          <w:p>
            <w:pPr>
              <w:ind w:left="160"/>
              <w:spacing w:after="0"/>
              <w:rPr>
                <w:sz w:val="20"/>
                <w:szCs w:val="20"/>
                <w:color w:val="auto"/>
              </w:rPr>
            </w:pPr>
            <w:r>
              <w:rPr>
                <w:rFonts w:ascii="Arial" w:cs="Arial" w:eastAsia="Arial" w:hAnsi="Arial"/>
                <w:sz w:val="14"/>
                <w:szCs w:val="14"/>
                <w:color w:val="auto"/>
              </w:rPr>
              <w:t>Outstanding at January 1, 2023</w:t>
            </w:r>
          </w:p>
        </w:tc>
        <w:tc>
          <w:tcPr>
            <w:tcW w:w="1140" w:type="dxa"/>
            <w:vAlign w:val="bottom"/>
          </w:tcPr>
          <w:p>
            <w:pPr>
              <w:jc w:val="right"/>
              <w:spacing w:after="0"/>
              <w:rPr>
                <w:sz w:val="20"/>
                <w:szCs w:val="20"/>
                <w:color w:val="auto"/>
              </w:rPr>
            </w:pPr>
            <w:r>
              <w:rPr>
                <w:rFonts w:ascii="Arial" w:cs="Arial" w:eastAsia="Arial" w:hAnsi="Arial"/>
                <w:sz w:val="14"/>
                <w:szCs w:val="14"/>
                <w:color w:val="auto"/>
              </w:rPr>
              <w:t>691</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57.56</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680" w:type="dxa"/>
            <w:vAlign w:val="bottom"/>
          </w:tcPr>
          <w:p>
            <w:pPr>
              <w:ind w:left="36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14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208.64</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80" w:type="dxa"/>
            <w:vAlign w:val="bottom"/>
          </w:tcPr>
          <w:p>
            <w:pPr>
              <w:ind w:left="360"/>
              <w:spacing w:after="0"/>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(b)</w:t>
            </w:r>
          </w:p>
        </w:tc>
        <w:tc>
          <w:tcPr>
            <w:tcW w:w="1140" w:type="dxa"/>
            <w:vAlign w:val="bottom"/>
          </w:tcPr>
          <w:p>
            <w:pPr>
              <w:jc w:val="right"/>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21.05</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68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147.56</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680" w:type="dxa"/>
            <w:vAlign w:val="bottom"/>
          </w:tcPr>
          <w:p>
            <w:pPr>
              <w:ind w:left="160"/>
              <w:spacing w:after="0"/>
              <w:rPr>
                <w:sz w:val="20"/>
                <w:szCs w:val="20"/>
                <w:color w:val="auto"/>
              </w:rPr>
            </w:pPr>
            <w:r>
              <w:rPr>
                <w:rFonts w:ascii="Arial" w:cs="Arial" w:eastAsia="Arial" w:hAnsi="Arial"/>
                <w:sz w:val="14"/>
                <w:szCs w:val="14"/>
                <w:color w:val="auto"/>
              </w:rPr>
              <w:t>Outstanding at September 30, 2023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125.82</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160"/>
              <w:spacing w:after="0"/>
              <w:rPr>
                <w:sz w:val="20"/>
                <w:szCs w:val="20"/>
                <w:color w:val="auto"/>
              </w:rPr>
            </w:pPr>
            <w:r>
              <w:rPr>
                <w:rFonts w:ascii="Arial" w:cs="Arial" w:eastAsia="Arial" w:hAnsi="Arial"/>
                <w:sz w:val="14"/>
                <w:szCs w:val="14"/>
                <w:color w:val="auto"/>
              </w:rPr>
              <w:t xml:space="preserve">Outstanding and expected to vest at September 30, 2023 </w:t>
            </w:r>
            <w:r>
              <w:rPr>
                <w:rFonts w:ascii="Arial" w:cs="Arial" w:eastAsia="Arial" w:hAnsi="Arial"/>
                <w:sz w:val="18"/>
                <w:szCs w:val="18"/>
                <w:color w:val="auto"/>
                <w:vertAlign w:val="superscript"/>
              </w:rPr>
              <w:t>(c)</w:t>
            </w: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680" w:type="dxa"/>
            <w:vAlign w:val="bottom"/>
            <w:vMerge w:val="continue"/>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344</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116.00</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__________</w:t>
      </w:r>
    </w:p>
    <w:p>
      <w:pPr>
        <w:spacing w:after="0" w:line="118" w:lineRule="exact"/>
        <w:rPr>
          <w:sz w:val="20"/>
          <w:szCs w:val="20"/>
          <w:color w:val="auto"/>
        </w:rPr>
      </w:pPr>
    </w:p>
    <w:p>
      <w:pPr>
        <w:jc w:val="both"/>
        <w:ind w:left="762" w:hanging="326"/>
        <w:spacing w:after="0" w:line="236" w:lineRule="auto"/>
        <w:tabs>
          <w:tab w:leader="none" w:pos="755"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Reflects the maximum number of stock units assuming achievement of all performance-, market- and time-vesting criteria and does not include those for non-employee directors. The weighted-average fair value of time-based RSUs and performance-based RSUs granted during the nine months ended September 30, 2022 was $178.13 and $193.48, respectively.</w:t>
      </w:r>
    </w:p>
    <w:p>
      <w:pPr>
        <w:spacing w:after="0" w:line="200" w:lineRule="exact"/>
        <w:rPr>
          <w:sz w:val="20"/>
          <w:szCs w:val="20"/>
          <w:color w:val="auto"/>
        </w:rPr>
      </w:pPr>
    </w:p>
    <w:p>
      <w:pPr>
        <w:spacing w:after="0" w:line="368"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7" w:right="339" w:bottom="1440" w:gutter="0" w:footer="0" w:header="0"/>
        </w:sectPr>
      </w:pPr>
    </w:p>
    <w:bookmarkStart w:id="24" w:name="page25"/>
    <w:bookmarkEnd w:id="24"/>
    <w:p>
      <w:pPr>
        <w:ind w:left="762" w:hanging="326"/>
        <w:spacing w:after="0"/>
        <w:tabs>
          <w:tab w:leader="none" w:pos="762" w:val="left"/>
        </w:tabs>
        <w:numPr>
          <w:ilvl w:val="1"/>
          <w:numId w:val="32"/>
        </w:numPr>
        <w:rPr>
          <w:rFonts w:ascii="Arial" w:cs="Arial" w:eastAsia="Arial" w:hAnsi="Arial"/>
          <w:sz w:val="19"/>
          <w:szCs w:val="19"/>
          <w:color w:val="auto"/>
          <w:vertAlign w:val="superscript"/>
        </w:rPr>
      </w:pPr>
      <w:r>
        <w:rPr>
          <w:rFonts w:ascii="Arial" w:cs="Arial" w:eastAsia="Arial" w:hAnsi="Arial"/>
          <w:sz w:val="14"/>
          <w:szCs w:val="14"/>
          <w:color w:val="auto"/>
        </w:rPr>
        <w:t>The total fair value of RSUs vested during the nine months ended September 30, 2023 and 2022 was $21 million and $22 million, respectively.</w:t>
      </w:r>
    </w:p>
    <w:p>
      <w:pPr>
        <w:spacing w:after="0" w:line="3" w:lineRule="exact"/>
        <w:rPr>
          <w:rFonts w:ascii="Arial" w:cs="Arial" w:eastAsia="Arial" w:hAnsi="Arial"/>
          <w:sz w:val="19"/>
          <w:szCs w:val="19"/>
          <w:color w:val="auto"/>
          <w:vertAlign w:val="superscript"/>
        </w:rPr>
      </w:pPr>
    </w:p>
    <w:p>
      <w:pPr>
        <w:ind w:left="762" w:hanging="326"/>
        <w:spacing w:after="0" w:line="219" w:lineRule="auto"/>
        <w:tabs>
          <w:tab w:leader="none" w:pos="749" w:val="left"/>
        </w:tabs>
        <w:numPr>
          <w:ilvl w:val="1"/>
          <w:numId w:val="32"/>
        </w:numPr>
        <w:rPr>
          <w:rFonts w:ascii="Arial" w:cs="Arial" w:eastAsia="Arial" w:hAnsi="Arial"/>
          <w:sz w:val="19"/>
          <w:szCs w:val="19"/>
          <w:color w:val="auto"/>
          <w:vertAlign w:val="superscript"/>
        </w:rPr>
      </w:pPr>
      <w:r>
        <w:rPr>
          <w:rFonts w:ascii="Arial" w:cs="Arial" w:eastAsia="Arial" w:hAnsi="Arial"/>
          <w:sz w:val="14"/>
          <w:szCs w:val="14"/>
          <w:color w:val="auto"/>
        </w:rPr>
        <w:t>Aggregate unrecognized compensation expense related to time-based RSUs and performance-based and market-based RSUs amounted to $50 million and will be recognized over a weighted average vesting period of 1.3 years.</w:t>
      </w:r>
    </w:p>
    <w:p>
      <w:pPr>
        <w:spacing w:after="0" w:line="206" w:lineRule="exact"/>
        <w:rPr>
          <w:rFonts w:ascii="Arial" w:cs="Arial" w:eastAsia="Arial" w:hAnsi="Arial"/>
          <w:sz w:val="19"/>
          <w:szCs w:val="19"/>
          <w:color w:val="auto"/>
          <w:vertAlign w:val="superscript"/>
        </w:rPr>
      </w:pPr>
    </w:p>
    <w:p>
      <w:pPr>
        <w:ind w:left="442" w:hanging="442"/>
        <w:spacing w:after="0"/>
        <w:tabs>
          <w:tab w:leader="none" w:pos="44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52" w:lineRule="exact"/>
        <w:rPr>
          <w:rFonts w:ascii="Arial" w:cs="Arial" w:eastAsia="Arial" w:hAnsi="Arial"/>
          <w:sz w:val="18"/>
          <w:szCs w:val="18"/>
          <w:b w:val="1"/>
          <w:bCs w:val="1"/>
          <w:color w:val="auto"/>
        </w:rPr>
      </w:pPr>
    </w:p>
    <w:p>
      <w:pPr>
        <w:ind w:left="44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 Instruments and Hedging Activities</w:t>
      </w:r>
    </w:p>
    <w:p>
      <w:pPr>
        <w:spacing w:after="0" w:line="256" w:lineRule="exact"/>
        <w:rPr>
          <w:rFonts w:ascii="Arial" w:cs="Arial" w:eastAsia="Arial" w:hAnsi="Arial"/>
          <w:sz w:val="18"/>
          <w:szCs w:val="18"/>
          <w:b w:val="1"/>
          <w:bCs w:val="1"/>
          <w:color w:val="auto"/>
        </w:rPr>
      </w:pPr>
    </w:p>
    <w:p>
      <w:pPr>
        <w:jc w:val="both"/>
        <w:ind w:left="442"/>
        <w:spacing w:after="0" w:line="255"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Currency Risk. </w:t>
      </w:r>
      <w:r>
        <w:rPr>
          <w:rFonts w:ascii="Arial" w:cs="Arial" w:eastAsia="Arial" w:hAnsi="Arial"/>
          <w:sz w:val="18"/>
          <w:szCs w:val="18"/>
          <w:color w:val="auto"/>
        </w:rPr>
        <w:t>We use currency exchange contracts to manage our exposure to changes in currency exchange rates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of our non-U.S.-dollar denominated receivables and forecasted royalties, forecasted earnings of non-U.S. subsidiaries and forecasted non-U.S.-dollar denominated acquisitions. We primarily hedge a portion of our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We have designated our euro-denominated notes as a hedge of our investment in euro-denominated foreign operations.</w:t>
      </w:r>
    </w:p>
    <w:p>
      <w:pPr>
        <w:spacing w:after="0" w:line="217" w:lineRule="exact"/>
        <w:rPr>
          <w:rFonts w:ascii="Arial" w:cs="Arial" w:eastAsia="Arial" w:hAnsi="Arial"/>
          <w:sz w:val="18"/>
          <w:szCs w:val="18"/>
          <w:b w:val="1"/>
          <w:bCs w:val="1"/>
          <w:color w:val="auto"/>
        </w:rPr>
      </w:pPr>
    </w:p>
    <w:p>
      <w:pPr>
        <w:ind w:left="442"/>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The estimated net amount of existing gains or losses we expect to reclassify from accumulated other comprehensive income (loss) to earnings for cash flow and net investment hedges over the next 12 months is not material.</w:t>
      </w:r>
    </w:p>
    <w:p>
      <w:pPr>
        <w:spacing w:after="0" w:line="194" w:lineRule="exact"/>
        <w:rPr>
          <w:rFonts w:ascii="Arial" w:cs="Arial" w:eastAsia="Arial" w:hAnsi="Arial"/>
          <w:sz w:val="18"/>
          <w:szCs w:val="18"/>
          <w:b w:val="1"/>
          <w:bCs w:val="1"/>
          <w:color w:val="auto"/>
        </w:rPr>
      </w:pPr>
    </w:p>
    <w:p>
      <w:pPr>
        <w:jc w:val="both"/>
        <w:ind w:left="442"/>
        <w:spacing w:after="0" w:line="254"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use various hedging strategies including interest rate swaps and interest rate caps to create what we deem an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mix of fixed and floating rate assets and liabilities. We use interest rate swaps and interest rate caps to manage the risk related to our floating rate corporate debt and our floating rate vehicle-backed debt. We record the changes in the fair value of our cash flow hedges to other comprehensive income (loss), net of tax, and subsequently reclassify these amounts into earnings in the period during which the hedged transaction affects earnings and is presented in the same income statement line item as the earnings effect of the hedged item. We record the gains or losses related to freestanding derivatives, which are not designated as a hedge for accounting purposes, currently in earnings and are presented in the same line of the income statement expected for the hedged item. We estimate that approximately $29 million of gain currently recorded in accumulated other comprehensive income (loss) will be recognized in earnings over the next 12 months.</w:t>
      </w:r>
    </w:p>
    <w:p>
      <w:pPr>
        <w:spacing w:after="0" w:line="215" w:lineRule="exact"/>
        <w:rPr>
          <w:rFonts w:ascii="Arial" w:cs="Arial" w:eastAsia="Arial" w:hAnsi="Arial"/>
          <w:sz w:val="18"/>
          <w:szCs w:val="18"/>
          <w:b w:val="1"/>
          <w:bCs w:val="1"/>
          <w:color w:val="auto"/>
        </w:rPr>
      </w:pPr>
    </w:p>
    <w:p>
      <w:pPr>
        <w:jc w:val="both"/>
        <w:ind w:left="442"/>
        <w:spacing w:after="0" w:line="266"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Commodity Risk. </w:t>
      </w:r>
      <w:r>
        <w:rPr>
          <w:rFonts w:ascii="Arial" w:cs="Arial" w:eastAsia="Arial" w:hAnsi="Arial"/>
          <w:sz w:val="18"/>
          <w:szCs w:val="18"/>
          <w:color w:val="auto"/>
        </w:rPr>
        <w:t>We periodically enter into derivative commodity contracts to manage our exposure to changes in the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gasoline. These instruments were designated as freestanding derivatives and the changes in fair value are recorded in earnings and are presented in the same line of the income statement expected for the hedged item.</w:t>
      </w:r>
    </w:p>
    <w:p>
      <w:pPr>
        <w:spacing w:after="0" w:line="208" w:lineRule="exact"/>
        <w:rPr>
          <w:rFonts w:ascii="Arial" w:cs="Arial" w:eastAsia="Arial" w:hAnsi="Arial"/>
          <w:sz w:val="18"/>
          <w:szCs w:val="18"/>
          <w:b w:val="1"/>
          <w:bCs w:val="1"/>
          <w:color w:val="auto"/>
        </w:rPr>
      </w:pPr>
    </w:p>
    <w:p>
      <w:pPr>
        <w:ind w:left="442"/>
        <w:spacing w:after="0"/>
        <w:rPr>
          <w:rFonts w:ascii="Arial" w:cs="Arial" w:eastAsia="Arial" w:hAnsi="Arial"/>
          <w:sz w:val="18"/>
          <w:szCs w:val="18"/>
          <w:b w:val="1"/>
          <w:bCs w:val="1"/>
          <w:color w:val="auto"/>
        </w:rPr>
      </w:pPr>
      <w:r>
        <w:rPr>
          <w:rFonts w:ascii="Arial" w:cs="Arial" w:eastAsia="Arial" w:hAnsi="Arial"/>
          <w:sz w:val="18"/>
          <w:szCs w:val="18"/>
          <w:color w:val="auto"/>
        </w:rPr>
        <w:t>We held derivative instruments with absolute notional values as follows:</w:t>
      </w:r>
    </w:p>
    <w:p>
      <w:pPr>
        <w:spacing w:after="0" w:line="27" w:lineRule="exact"/>
        <w:rPr>
          <w:sz w:val="20"/>
          <w:szCs w:val="20"/>
          <w:color w:val="auto"/>
        </w:rPr>
      </w:pPr>
    </w:p>
    <w:tbl>
      <w:tblPr>
        <w:tblLayout w:type="fixed"/>
        <w:tblInd w:w="462" w:type="dxa"/>
        <w:tblCellMar>
          <w:top w:w="0" w:type="dxa"/>
          <w:left w:w="0" w:type="dxa"/>
          <w:bottom w:w="0" w:type="dxa"/>
          <w:right w:w="0" w:type="dxa"/>
        </w:tblCellMar>
      </w:tblPr>
      <w:tr>
        <w:trPr>
          <w:trHeight w:val="184"/>
        </w:trPr>
        <w:tc>
          <w:tcPr>
            <w:tcW w:w="7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tcPr>
          <w:p>
            <w:pPr>
              <w:jc w:val="right"/>
              <w:ind w:right="939"/>
              <w:spacing w:after="0"/>
              <w:rPr>
                <w:sz w:val="20"/>
                <w:szCs w:val="20"/>
                <w:color w:val="auto"/>
              </w:rPr>
            </w:pPr>
            <w:r>
              <w:rPr>
                <w:rFonts w:ascii="Arial" w:cs="Arial" w:eastAsia="Arial" w:hAnsi="Arial"/>
                <w:sz w:val="16"/>
                <w:szCs w:val="16"/>
                <w:b w:val="1"/>
                <w:bCs w:val="1"/>
                <w:color w:val="auto"/>
              </w:rPr>
              <w:t>As of</w:t>
            </w:r>
          </w:p>
        </w:tc>
      </w:tr>
      <w:tr>
        <w:trPr>
          <w:trHeight w:val="216"/>
        </w:trPr>
        <w:tc>
          <w:tcPr>
            <w:tcW w:w="7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September 30, 2023</w:t>
            </w:r>
          </w:p>
        </w:tc>
      </w:tr>
      <w:tr>
        <w:trPr>
          <w:trHeight w:val="203"/>
        </w:trPr>
        <w:tc>
          <w:tcPr>
            <w:tcW w:w="7620" w:type="dxa"/>
            <w:vAlign w:val="bottom"/>
          </w:tcPr>
          <w:p>
            <w:pPr>
              <w:spacing w:after="0"/>
              <w:rPr>
                <w:sz w:val="20"/>
                <w:szCs w:val="20"/>
                <w:color w:val="auto"/>
              </w:rPr>
            </w:pPr>
            <w:r>
              <w:rPr>
                <w:rFonts w:ascii="Arial" w:cs="Arial" w:eastAsia="Arial" w:hAnsi="Arial"/>
                <w:sz w:val="16"/>
                <w:szCs w:val="16"/>
                <w:color w:val="auto"/>
              </w:rPr>
              <w:t>Foreign exchange contracts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2120" w:type="dxa"/>
            <w:vAlign w:val="bottom"/>
          </w:tcPr>
          <w:p>
            <w:pPr>
              <w:jc w:val="right"/>
              <w:spacing w:after="0"/>
              <w:rPr>
                <w:sz w:val="20"/>
                <w:szCs w:val="20"/>
                <w:color w:val="auto"/>
              </w:rPr>
            </w:pPr>
            <w:r>
              <w:rPr>
                <w:rFonts w:ascii="Arial" w:cs="Arial" w:eastAsia="Arial" w:hAnsi="Arial"/>
                <w:sz w:val="16"/>
                <w:szCs w:val="16"/>
                <w:color w:val="auto"/>
              </w:rPr>
              <w:t>1,277</w:t>
            </w:r>
          </w:p>
        </w:tc>
      </w:tr>
      <w:tr>
        <w:trPr>
          <w:trHeight w:val="225"/>
        </w:trPr>
        <w:tc>
          <w:tcPr>
            <w:tcW w:w="7620" w:type="dxa"/>
            <w:vAlign w:val="bottom"/>
          </w:tcPr>
          <w:p>
            <w:pPr>
              <w:spacing w:after="0" w:line="226"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(a)</w:t>
            </w:r>
          </w:p>
        </w:tc>
        <w:tc>
          <w:tcPr>
            <w:tcW w:w="2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14,772</w:t>
            </w:r>
          </w:p>
        </w:tc>
      </w:tr>
      <w:tr>
        <w:trPr>
          <w:trHeight w:val="207"/>
        </w:trPr>
        <w:tc>
          <w:tcPr>
            <w:tcW w:w="7620" w:type="dxa"/>
            <w:vAlign w:val="bottom"/>
          </w:tcPr>
          <w:p>
            <w:pPr>
              <w:spacing w:after="0"/>
              <w:rPr>
                <w:sz w:val="20"/>
                <w:szCs w:val="20"/>
                <w:color w:val="auto"/>
              </w:rPr>
            </w:pPr>
            <w:r>
              <w:rPr>
                <w:rFonts w:ascii="Arial" w:cs="Arial" w:eastAsia="Arial" w:hAnsi="Arial"/>
                <w:sz w:val="16"/>
                <w:szCs w:val="16"/>
                <w:color w:val="auto"/>
              </w:rPr>
              <w:t>Interest rate swaps</w:t>
            </w:r>
          </w:p>
        </w:tc>
        <w:tc>
          <w:tcPr>
            <w:tcW w:w="26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750</w:t>
            </w:r>
          </w:p>
        </w:tc>
      </w:tr>
    </w:tbl>
    <w:p>
      <w:pPr>
        <w:spacing w:after="0" w:line="104"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__________</w:t>
      </w:r>
    </w:p>
    <w:p>
      <w:pPr>
        <w:spacing w:after="0" w:line="37" w:lineRule="exact"/>
        <w:rPr>
          <w:sz w:val="20"/>
          <w:szCs w:val="20"/>
          <w:color w:val="auto"/>
        </w:rPr>
      </w:pPr>
    </w:p>
    <w:p>
      <w:pPr>
        <w:ind w:left="762" w:hanging="326"/>
        <w:spacing w:after="0" w:line="226" w:lineRule="auto"/>
        <w:tabs>
          <w:tab w:leader="none" w:pos="755"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Represents $10.1 billion of interest rate caps sold, partially offset by approximately $4.7 billion of interest rate caps purchased. These amounts exclude $5.9 billion of interest rate caps purchased by our Avis Budget Rental Car Funding subsidiary as it is not consolidated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08" w:right="339" w:bottom="1440" w:gutter="0" w:footer="0" w:header="0"/>
        </w:sectPr>
      </w:pPr>
    </w:p>
    <w:bookmarkStart w:id="25" w:name="page26"/>
    <w:bookmarkEnd w:id="25"/>
    <w:p>
      <w:pPr>
        <w:ind w:left="6"/>
        <w:spacing w:after="0"/>
        <w:rPr>
          <w:sz w:val="20"/>
          <w:szCs w:val="20"/>
          <w:color w:val="auto"/>
        </w:rPr>
      </w:pPr>
      <w:r>
        <w:rPr>
          <w:rFonts w:ascii="Arial" w:cs="Arial" w:eastAsia="Arial" w:hAnsi="Arial"/>
          <w:sz w:val="18"/>
          <w:szCs w:val="18"/>
          <w:color w:val="auto"/>
        </w:rPr>
        <w:t>Estimated fair values (Level 2) of derivative instruments are as follows:</w:t>
      </w:r>
    </w:p>
    <w:p>
      <w:pPr>
        <w:spacing w:after="0" w:line="44" w:lineRule="exact"/>
        <w:rPr>
          <w:sz w:val="20"/>
          <w:szCs w:val="20"/>
          <w:color w:val="auto"/>
        </w:rPr>
      </w:pPr>
    </w:p>
    <w:tbl>
      <w:tblPr>
        <w:tblLayout w:type="fixed"/>
        <w:tblInd w:w="26" w:type="dxa"/>
        <w:tblCellMar>
          <w:top w:w="0" w:type="dxa"/>
          <w:left w:w="0" w:type="dxa"/>
          <w:bottom w:w="0" w:type="dxa"/>
          <w:right w:w="0" w:type="dxa"/>
        </w:tblCellMar>
      </w:tblPr>
      <w:tr>
        <w:trPr>
          <w:trHeight w:val="221"/>
        </w:trPr>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20" w:type="dxa"/>
            <w:vAlign w:val="bottom"/>
            <w:gridSpan w:val="5"/>
          </w:tcPr>
          <w:p>
            <w:pPr>
              <w:ind w:left="280"/>
              <w:spacing w:after="0"/>
              <w:rPr>
                <w:sz w:val="20"/>
                <w:szCs w:val="20"/>
                <w:color w:val="auto"/>
              </w:rPr>
            </w:pPr>
            <w:r>
              <w:rPr>
                <w:rFonts w:ascii="Arial" w:cs="Arial" w:eastAsia="Arial" w:hAnsi="Arial"/>
                <w:sz w:val="16"/>
                <w:szCs w:val="16"/>
                <w:b w:val="1"/>
                <w:bCs w:val="1"/>
                <w:color w:val="auto"/>
              </w:rPr>
              <w:t>As of September 30, 2023</w:t>
            </w:r>
          </w:p>
        </w:tc>
        <w:tc>
          <w:tcPr>
            <w:tcW w:w="200" w:type="dxa"/>
            <w:vAlign w:val="bottom"/>
          </w:tcPr>
          <w:p>
            <w:pPr>
              <w:spacing w:after="0"/>
              <w:rPr>
                <w:sz w:val="19"/>
                <w:szCs w:val="19"/>
                <w:color w:val="auto"/>
              </w:rPr>
            </w:pPr>
          </w:p>
        </w:tc>
        <w:tc>
          <w:tcPr>
            <w:tcW w:w="272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As of December 31, 2022</w:t>
            </w: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39"/>
              <w:spacing w:after="0" w:line="155" w:lineRule="exact"/>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rPr>
              <w:t>Fair Value,</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19"/>
              <w:spacing w:after="0" w:line="155" w:lineRule="exact"/>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rPr>
              <w:t>Derivative</w:t>
            </w:r>
          </w:p>
        </w:tc>
        <w:tc>
          <w:tcPr>
            <w:tcW w:w="200" w:type="dxa"/>
            <w:vAlign w:val="bottom"/>
          </w:tcPr>
          <w:p>
            <w:pPr>
              <w:spacing w:after="0"/>
              <w:rPr>
                <w:sz w:val="14"/>
                <w:szCs w:val="14"/>
                <w:color w:val="auto"/>
              </w:rPr>
            </w:pPr>
          </w:p>
        </w:tc>
        <w:tc>
          <w:tcPr>
            <w:tcW w:w="132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Derivative</w:t>
            </w:r>
          </w:p>
        </w:tc>
        <w:tc>
          <w:tcPr>
            <w:tcW w:w="200" w:type="dxa"/>
            <w:vAlign w:val="bottom"/>
          </w:tcPr>
          <w:p>
            <w:pPr>
              <w:spacing w:after="0"/>
              <w:rPr>
                <w:sz w:val="14"/>
                <w:szCs w:val="14"/>
                <w:color w:val="auto"/>
              </w:rPr>
            </w:pPr>
          </w:p>
        </w:tc>
        <w:tc>
          <w:tcPr>
            <w:tcW w:w="120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9"/>
              </w:rPr>
              <w:t>Derivative</w:t>
            </w:r>
          </w:p>
        </w:tc>
        <w:tc>
          <w:tcPr>
            <w:tcW w:w="0" w:type="dxa"/>
            <w:vAlign w:val="bottom"/>
          </w:tcPr>
          <w:p>
            <w:pPr>
              <w:spacing w:after="0"/>
              <w:rPr>
                <w:sz w:val="1"/>
                <w:szCs w:val="1"/>
                <w:color w:val="auto"/>
              </w:rPr>
            </w:pPr>
          </w:p>
        </w:tc>
      </w:tr>
      <w:tr>
        <w:trPr>
          <w:trHeight w:val="216"/>
        </w:trPr>
        <w:tc>
          <w:tcPr>
            <w:tcW w:w="4200" w:type="dxa"/>
            <w:vAlign w:val="bottom"/>
            <w:vMerge w:val="restart"/>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520" w:type="dxa"/>
            <w:vAlign w:val="bottom"/>
            <w:gridSpan w:val="3"/>
          </w:tcPr>
          <w:p>
            <w:pPr>
              <w:ind w:left="20"/>
              <w:spacing w:after="0"/>
              <w:rPr>
                <w:sz w:val="20"/>
                <w:szCs w:val="20"/>
                <w:color w:val="auto"/>
              </w:rPr>
            </w:pPr>
            <w:r>
              <w:rPr>
                <w:rFonts w:ascii="Arial" w:cs="Arial" w:eastAsia="Arial" w:hAnsi="Arial"/>
                <w:sz w:val="16"/>
                <w:szCs w:val="16"/>
                <w:b w:val="1"/>
                <w:bCs w:val="1"/>
                <w:color w:val="auto"/>
              </w:rPr>
              <w:t>Asset Derivatives</w:t>
            </w: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1200" w:type="dxa"/>
            <w:vAlign w:val="bottom"/>
          </w:tcPr>
          <w:p>
            <w:pPr>
              <w:jc w:val="center"/>
              <w:ind w:right="11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199"/>
        </w:trPr>
        <w:tc>
          <w:tcPr>
            <w:tcW w:w="4200" w:type="dxa"/>
            <w:vAlign w:val="bottom"/>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4200" w:type="dxa"/>
            <w:vAlign w:val="bottom"/>
          </w:tcPr>
          <w:p>
            <w:pPr>
              <w:ind w:left="20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420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0"/>
              <w:spacing w:after="0" w:line="216"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(b)</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4200" w:type="dxa"/>
            <w:vAlign w:val="bottom"/>
          </w:tcPr>
          <w:p>
            <w:pPr>
              <w:ind w:left="200"/>
              <w:spacing w:after="0" w:line="213"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0"/>
        </w:trPr>
        <w:tc>
          <w:tcPr>
            <w:tcW w:w="4200" w:type="dxa"/>
            <w:vAlign w:val="bottom"/>
          </w:tcPr>
          <w:p>
            <w:pPr>
              <w:ind w:left="20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p>
    <w:p>
      <w:pPr>
        <w:ind w:left="6"/>
        <w:spacing w:after="0" w:line="255" w:lineRule="auto"/>
        <w:rPr>
          <w:sz w:val="20"/>
          <w:szCs w:val="20"/>
          <w:color w:val="auto"/>
        </w:rPr>
      </w:pPr>
      <w:r>
        <w:rPr>
          <w:rFonts w:ascii="Arial" w:cs="Arial" w:eastAsia="Arial" w:hAnsi="Arial"/>
          <w:sz w:val="14"/>
          <w:szCs w:val="14"/>
          <w:color w:val="auto"/>
        </w:rPr>
        <w:t>Amounts in this table exclude derivatives issued by Avis Budget Rental Car Funding, as it is not consolidated by us; however, certain amounts related to the derivatives held by Avis Budget Rental Car Funding are included within accumulated other comprehensive income (loss), as discussed in Note 14 – Stockholders' Equity.</w:t>
      </w:r>
    </w:p>
    <w:p>
      <w:pPr>
        <w:ind w:left="326" w:hanging="326"/>
        <w:spacing w:after="0" w:line="198" w:lineRule="auto"/>
        <w:tabs>
          <w:tab w:leader="none" w:pos="326"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Included in other non-current assets or other non-current liabilities.</w:t>
      </w:r>
    </w:p>
    <w:p>
      <w:pPr>
        <w:spacing w:after="0" w:line="4" w:lineRule="exact"/>
        <w:rPr>
          <w:rFonts w:ascii="Arial" w:cs="Arial" w:eastAsia="Arial" w:hAnsi="Arial"/>
          <w:sz w:val="19"/>
          <w:szCs w:val="19"/>
          <w:color w:val="auto"/>
          <w:vertAlign w:val="superscript"/>
        </w:rPr>
      </w:pPr>
    </w:p>
    <w:p>
      <w:pPr>
        <w:ind w:left="326" w:hanging="326"/>
        <w:spacing w:after="0" w:line="189" w:lineRule="auto"/>
        <w:tabs>
          <w:tab w:leader="none" w:pos="326"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Included in other current assets or other current liabilities.</w:t>
      </w:r>
    </w:p>
    <w:p>
      <w:pPr>
        <w:spacing w:after="0" w:line="3" w:lineRule="exact"/>
        <w:rPr>
          <w:rFonts w:ascii="Arial" w:cs="Arial" w:eastAsia="Arial" w:hAnsi="Arial"/>
          <w:sz w:val="19"/>
          <w:szCs w:val="19"/>
          <w:color w:val="auto"/>
          <w:vertAlign w:val="superscript"/>
        </w:rPr>
      </w:pPr>
    </w:p>
    <w:p>
      <w:pPr>
        <w:ind w:left="306" w:hanging="306"/>
        <w:spacing w:after="0" w:line="189" w:lineRule="auto"/>
        <w:tabs>
          <w:tab w:leader="none" w:pos="306"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Included in assets under vehicle programs or liabilities under vehicle programs.</w:t>
      </w:r>
    </w:p>
    <w:p>
      <w:pPr>
        <w:spacing w:after="0" w:line="215"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effects of derivatives recognized in our Consolidated Condensed Financial Statements are as follows:</w:t>
      </w:r>
    </w:p>
    <w:p>
      <w:pPr>
        <w:spacing w:after="0" w:line="270" w:lineRule="exact"/>
        <w:rPr>
          <w:sz w:val="20"/>
          <w:szCs w:val="20"/>
          <w:color w:val="auto"/>
        </w:rPr>
      </w:pPr>
    </w:p>
    <w:tbl>
      <w:tblPr>
        <w:tblLayout w:type="fixed"/>
        <w:tblInd w:w="26"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52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6"/>
                <w:szCs w:val="16"/>
                <w:b w:val="1"/>
                <w:bCs w:val="1"/>
                <w:color w:val="auto"/>
                <w:w w:val="98"/>
              </w:rPr>
              <w:t>September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vMerge w:val="restart"/>
          </w:tcPr>
          <w:p>
            <w:pPr>
              <w:spacing w:after="0"/>
              <w:rPr>
                <w:sz w:val="20"/>
                <w:szCs w:val="20"/>
                <w:color w:val="auto"/>
              </w:rPr>
            </w:pPr>
            <w:r>
              <w:rPr>
                <w:rFonts w:ascii="Arial" w:cs="Arial" w:eastAsia="Arial" w:hAnsi="Arial"/>
                <w:sz w:val="16"/>
                <w:szCs w:val="16"/>
                <w:b w:val="1"/>
                <w:bCs w:val="1"/>
                <w:color w:val="auto"/>
              </w:rPr>
              <w:t xml:space="preserve">Derivatives designated as hedging instruments </w:t>
            </w:r>
            <w:r>
              <w:rPr>
                <w:rFonts w:ascii="Arial" w:cs="Arial" w:eastAsia="Arial" w:hAnsi="Arial"/>
                <w:sz w:val="21"/>
                <w:szCs w:val="21"/>
                <w:b w:val="1"/>
                <w:bCs w:val="1"/>
                <w:color w:val="auto"/>
                <w:vertAlign w:val="superscript"/>
              </w:rPr>
              <w:t>(a)</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9"/>
        </w:trPr>
        <w:tc>
          <w:tcPr>
            <w:tcW w:w="426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(b)</w:t>
            </w:r>
          </w:p>
        </w:tc>
        <w:tc>
          <w:tcPr>
            <w:tcW w:w="90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8"/>
        </w:trPr>
        <w:tc>
          <w:tcPr>
            <w:tcW w:w="4260" w:type="dxa"/>
            <w:vAlign w:val="bottom"/>
          </w:tcPr>
          <w:p>
            <w:pPr>
              <w:ind w:left="160"/>
              <w:spacing w:after="0" w:line="208" w:lineRule="exact"/>
              <w:rPr>
                <w:sz w:val="20"/>
                <w:szCs w:val="20"/>
                <w:color w:val="auto"/>
              </w:rPr>
            </w:pPr>
            <w:r>
              <w:rPr>
                <w:rFonts w:ascii="Arial" w:cs="Arial" w:eastAsia="Arial" w:hAnsi="Arial"/>
                <w:sz w:val="16"/>
                <w:szCs w:val="16"/>
                <w:color w:val="auto"/>
              </w:rPr>
              <w:t xml:space="preserve">Euro-denominated notes </w:t>
            </w:r>
            <w:r>
              <w:rPr>
                <w:rFonts w:ascii="Arial" w:cs="Arial" w:eastAsia="Arial" w:hAnsi="Arial"/>
                <w:sz w:val="21"/>
                <w:szCs w:val="21"/>
                <w:color w:val="auto"/>
                <w:vertAlign w:val="superscript"/>
              </w:rPr>
              <w:t>(c)</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24"/>
        </w:trPr>
        <w:tc>
          <w:tcPr>
            <w:tcW w:w="4260" w:type="dxa"/>
            <w:vAlign w:val="bottom"/>
          </w:tcPr>
          <w:p>
            <w:pPr>
              <w:spacing w:after="0" w:line="224" w:lineRule="exact"/>
              <w:rPr>
                <w:sz w:val="20"/>
                <w:szCs w:val="20"/>
                <w:color w:val="auto"/>
              </w:rPr>
            </w:pPr>
            <w:r>
              <w:rPr>
                <w:rFonts w:ascii="Arial" w:cs="Arial" w:eastAsia="Arial" w:hAnsi="Arial"/>
                <w:sz w:val="16"/>
                <w:szCs w:val="16"/>
                <w:b w:val="1"/>
                <w:bCs w:val="1"/>
                <w:color w:val="auto"/>
              </w:rPr>
              <w:t xml:space="preserve">Derivatives not designated as hedging instruments </w:t>
            </w:r>
            <w:r>
              <w:rPr>
                <w:rFonts w:ascii="Arial" w:cs="Arial" w:eastAsia="Arial" w:hAnsi="Arial"/>
                <w:sz w:val="21"/>
                <w:szCs w:val="21"/>
                <w:b w:val="1"/>
                <w:bCs w:val="1"/>
                <w:color w:val="auto"/>
                <w:vertAlign w:val="superscript"/>
              </w:rPr>
              <w:t>(d)</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(e)</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3"/>
        </w:trPr>
        <w:tc>
          <w:tcPr>
            <w:tcW w:w="4260" w:type="dxa"/>
            <w:vAlign w:val="bottom"/>
          </w:tcPr>
          <w:p>
            <w:pPr>
              <w:ind w:left="160"/>
              <w:spacing w:after="0" w:line="213"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(f)</w:t>
            </w:r>
          </w:p>
        </w:tc>
        <w:tc>
          <w:tcPr>
            <w:tcW w:w="9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4260" w:type="dxa"/>
            <w:vAlign w:val="bottom"/>
          </w:tcPr>
          <w:p>
            <w:pPr>
              <w:ind w:left="160"/>
              <w:spacing w:after="0"/>
              <w:rPr>
                <w:sz w:val="20"/>
                <w:szCs w:val="20"/>
                <w:color w:val="auto"/>
              </w:rPr>
            </w:pPr>
            <w:r>
              <w:rPr>
                <w:rFonts w:ascii="Arial" w:cs="Arial" w:eastAsia="Arial" w:hAnsi="Arial"/>
                <w:sz w:val="16"/>
                <w:szCs w:val="16"/>
                <w:color w:val="auto"/>
              </w:rPr>
              <w:t>Total</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__________</w:t>
      </w:r>
    </w:p>
    <w:p>
      <w:pPr>
        <w:spacing w:after="0" w:line="118" w:lineRule="exact"/>
        <w:rPr>
          <w:sz w:val="20"/>
          <w:szCs w:val="20"/>
          <w:color w:val="auto"/>
        </w:rPr>
      </w:pPr>
    </w:p>
    <w:p>
      <w:pPr>
        <w:ind w:left="326" w:hanging="326"/>
        <w:spacing w:after="0"/>
        <w:tabs>
          <w:tab w:leader="none" w:pos="326" w:val="left"/>
        </w:tabs>
        <w:numPr>
          <w:ilvl w:val="0"/>
          <w:numId w:val="36"/>
        </w:numPr>
        <w:rPr>
          <w:rFonts w:ascii="Arial" w:cs="Arial" w:eastAsia="Arial" w:hAnsi="Arial"/>
          <w:sz w:val="9"/>
          <w:szCs w:val="9"/>
          <w:color w:val="auto"/>
        </w:rPr>
      </w:pPr>
      <w:r>
        <w:rPr>
          <w:rFonts w:ascii="Arial" w:cs="Arial" w:eastAsia="Arial" w:hAnsi="Arial"/>
          <w:sz w:val="14"/>
          <w:szCs w:val="14"/>
          <w:color w:val="auto"/>
        </w:rPr>
        <w:t>Recognized, net of tax, as a component of accumulated other comprehensive income (loss) within stockholders’ equity.</w:t>
      </w:r>
    </w:p>
    <w:p>
      <w:pPr>
        <w:spacing w:after="0" w:line="41" w:lineRule="exact"/>
        <w:rPr>
          <w:rFonts w:ascii="Arial" w:cs="Arial" w:eastAsia="Arial" w:hAnsi="Arial"/>
          <w:sz w:val="9"/>
          <w:szCs w:val="9"/>
          <w:color w:val="auto"/>
        </w:rPr>
      </w:pPr>
    </w:p>
    <w:p>
      <w:pPr>
        <w:ind w:left="326" w:hanging="326"/>
        <w:spacing w:after="0" w:line="217" w:lineRule="auto"/>
        <w:tabs>
          <w:tab w:leader="none" w:pos="319"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Classified as a net unrealized gain (loss) on cash flow hedges in accumulated other comprehensive income (loss). Refer to Note 14 – Stockholders' Equity for amounts reclassified from accumulated other comprehensive income (loss) into earnings.</w:t>
      </w:r>
    </w:p>
    <w:p>
      <w:pPr>
        <w:spacing w:after="0" w:line="1" w:lineRule="exact"/>
        <w:rPr>
          <w:rFonts w:ascii="Arial" w:cs="Arial" w:eastAsia="Arial" w:hAnsi="Arial"/>
          <w:sz w:val="19"/>
          <w:szCs w:val="19"/>
          <w:color w:val="auto"/>
          <w:vertAlign w:val="superscript"/>
        </w:rPr>
      </w:pPr>
    </w:p>
    <w:p>
      <w:pPr>
        <w:ind w:left="306" w:hanging="306"/>
        <w:spacing w:after="0" w:line="192" w:lineRule="auto"/>
        <w:tabs>
          <w:tab w:leader="none" w:pos="306"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Classified as a net investment hedge within currency translation adjustment in accumulated other comprehensive income (loss).</w:t>
      </w:r>
    </w:p>
    <w:p>
      <w:pPr>
        <w:spacing w:after="0" w:line="3" w:lineRule="exact"/>
        <w:rPr>
          <w:rFonts w:ascii="Arial" w:cs="Arial" w:eastAsia="Arial" w:hAnsi="Arial"/>
          <w:sz w:val="19"/>
          <w:szCs w:val="19"/>
          <w:color w:val="auto"/>
          <w:vertAlign w:val="superscript"/>
        </w:rPr>
      </w:pPr>
    </w:p>
    <w:p>
      <w:pPr>
        <w:ind w:left="326" w:hanging="326"/>
        <w:spacing w:after="0" w:line="189" w:lineRule="auto"/>
        <w:tabs>
          <w:tab w:leader="none" w:pos="326"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spacing w:after="0" w:line="3" w:lineRule="exact"/>
        <w:rPr>
          <w:rFonts w:ascii="Arial" w:cs="Arial" w:eastAsia="Arial" w:hAnsi="Arial"/>
          <w:sz w:val="19"/>
          <w:szCs w:val="19"/>
          <w:color w:val="auto"/>
          <w:vertAlign w:val="superscript"/>
        </w:rPr>
      </w:pPr>
    </w:p>
    <w:p>
      <w:pPr>
        <w:ind w:left="326" w:hanging="326"/>
        <w:spacing w:after="0" w:line="189" w:lineRule="auto"/>
        <w:tabs>
          <w:tab w:leader="none" w:pos="326"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Included in interest expense.</w:t>
      </w:r>
    </w:p>
    <w:p>
      <w:pPr>
        <w:spacing w:after="0" w:line="3" w:lineRule="exact"/>
        <w:rPr>
          <w:rFonts w:ascii="Arial" w:cs="Arial" w:eastAsia="Arial" w:hAnsi="Arial"/>
          <w:sz w:val="19"/>
          <w:szCs w:val="19"/>
          <w:color w:val="auto"/>
          <w:vertAlign w:val="superscript"/>
        </w:rPr>
      </w:pPr>
    </w:p>
    <w:p>
      <w:pPr>
        <w:ind w:left="326" w:hanging="326"/>
        <w:spacing w:after="0" w:line="189" w:lineRule="auto"/>
        <w:tabs>
          <w:tab w:leader="none" w:pos="326"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Primarily included in vehicle interest,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69850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37" w:right="339" w:bottom="1440" w:gutter="0" w:footer="0" w:header="0"/>
        </w:sectPr>
      </w:pPr>
    </w:p>
    <w:bookmarkStart w:id="26" w:name="page27"/>
    <w:bookmarkEnd w:id="26"/>
    <w:p>
      <w:pPr>
        <w:ind w:left="442"/>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6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carrying amounts and estimated fair values (Level 2) of debt instruments are as follows:</w:t>
      </w:r>
    </w:p>
    <w:p>
      <w:pPr>
        <w:spacing w:after="0" w:line="287" w:lineRule="exact"/>
        <w:rPr>
          <w:sz w:val="20"/>
          <w:szCs w:val="20"/>
          <w:color w:val="auto"/>
        </w:rPr>
      </w:pPr>
    </w:p>
    <w:tbl>
      <w:tblPr>
        <w:tblLayout w:type="fixed"/>
        <w:tblInd w:w="462" w:type="dxa"/>
        <w:tblCellMar>
          <w:top w:w="0" w:type="dxa"/>
          <w:left w:w="0" w:type="dxa"/>
          <w:bottom w:w="0" w:type="dxa"/>
          <w:right w:w="0" w:type="dxa"/>
        </w:tblCellMar>
      </w:tblPr>
      <w:tr>
        <w:trPr>
          <w:trHeight w:val="221"/>
        </w:trPr>
        <w:tc>
          <w:tcPr>
            <w:tcW w:w="4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80" w:type="dxa"/>
            <w:vAlign w:val="bottom"/>
            <w:gridSpan w:val="5"/>
          </w:tcPr>
          <w:p>
            <w:pPr>
              <w:ind w:left="240"/>
              <w:spacing w:after="0"/>
              <w:rPr>
                <w:sz w:val="20"/>
                <w:szCs w:val="20"/>
                <w:color w:val="auto"/>
              </w:rPr>
            </w:pPr>
            <w:r>
              <w:rPr>
                <w:rFonts w:ascii="Arial" w:cs="Arial" w:eastAsia="Arial" w:hAnsi="Arial"/>
                <w:sz w:val="16"/>
                <w:szCs w:val="16"/>
                <w:b w:val="1"/>
                <w:bCs w:val="1"/>
                <w:color w:val="auto"/>
              </w:rPr>
              <w:t>As of September 30, 2023</w:t>
            </w:r>
          </w:p>
        </w:tc>
        <w:tc>
          <w:tcPr>
            <w:tcW w:w="240" w:type="dxa"/>
            <w:vAlign w:val="bottom"/>
          </w:tcPr>
          <w:p>
            <w:pPr>
              <w:spacing w:after="0"/>
              <w:rPr>
                <w:sz w:val="19"/>
                <w:szCs w:val="19"/>
                <w:color w:val="auto"/>
              </w:rPr>
            </w:pPr>
          </w:p>
        </w:tc>
        <w:tc>
          <w:tcPr>
            <w:tcW w:w="268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As of December 31, 2022</w:t>
            </w:r>
          </w:p>
        </w:tc>
        <w:tc>
          <w:tcPr>
            <w:tcW w:w="0" w:type="dxa"/>
            <w:vAlign w:val="bottom"/>
          </w:tcPr>
          <w:p>
            <w:pPr>
              <w:spacing w:after="0"/>
              <w:rPr>
                <w:sz w:val="1"/>
                <w:szCs w:val="1"/>
                <w:color w:val="auto"/>
              </w:rPr>
            </w:pPr>
          </w:p>
        </w:tc>
      </w:tr>
      <w:tr>
        <w:trPr>
          <w:trHeight w:val="156"/>
        </w:trPr>
        <w:tc>
          <w:tcPr>
            <w:tcW w:w="4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39"/>
              <w:spacing w:after="0" w:line="155" w:lineRule="exact"/>
              <w:rPr>
                <w:sz w:val="20"/>
                <w:szCs w:val="20"/>
                <w:color w:val="auto"/>
              </w:rPr>
            </w:pPr>
            <w:r>
              <w:rPr>
                <w:rFonts w:ascii="Arial" w:cs="Arial" w:eastAsia="Arial" w:hAnsi="Arial"/>
                <w:sz w:val="16"/>
                <w:szCs w:val="16"/>
                <w:b w:val="1"/>
                <w:bCs w:val="1"/>
                <w:color w:val="auto"/>
              </w:rPr>
              <w:t>Estimated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39"/>
              <w:spacing w:after="0" w:line="155" w:lineRule="exact"/>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rPr>
              <w:t>Fair</w:t>
            </w:r>
          </w:p>
        </w:tc>
        <w:tc>
          <w:tcPr>
            <w:tcW w:w="2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6"/>
        </w:trPr>
        <w:tc>
          <w:tcPr>
            <w:tcW w:w="4140" w:type="dxa"/>
            <w:vAlign w:val="bottom"/>
            <w:vMerge w:val="restart"/>
          </w:tcPr>
          <w:p>
            <w:pPr>
              <w:spacing w:after="0"/>
              <w:rPr>
                <w:sz w:val="20"/>
                <w:szCs w:val="20"/>
                <w:color w:val="auto"/>
              </w:rPr>
            </w:pPr>
            <w:r>
              <w:rPr>
                <w:rFonts w:ascii="Arial" w:cs="Arial" w:eastAsia="Arial" w:hAnsi="Arial"/>
                <w:sz w:val="16"/>
                <w:szCs w:val="16"/>
                <w:b w:val="1"/>
                <w:bCs w:val="1"/>
                <w:color w:val="auto"/>
              </w:rPr>
              <w:t>Corporate debt</w:t>
            </w:r>
          </w:p>
        </w:tc>
        <w:tc>
          <w:tcPr>
            <w:tcW w:w="2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Value</w:t>
            </w:r>
          </w:p>
        </w:tc>
        <w:tc>
          <w:tcPr>
            <w:tcW w:w="2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8"/>
                <w:szCs w:val="18"/>
                <w:color w:val="auto"/>
              </w:rPr>
            </w:pPr>
          </w:p>
        </w:tc>
        <w:tc>
          <w:tcPr>
            <w:tcW w:w="120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199"/>
        </w:trPr>
        <w:tc>
          <w:tcPr>
            <w:tcW w:w="4140" w:type="dxa"/>
            <w:vAlign w:val="bottom"/>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40" w:type="dxa"/>
            <w:vAlign w:val="bottom"/>
          </w:tcPr>
          <w:p>
            <w:pPr>
              <w:ind w:left="200"/>
              <w:spacing w:after="0"/>
              <w:rPr>
                <w:sz w:val="20"/>
                <w:szCs w:val="20"/>
                <w:color w:val="auto"/>
              </w:rPr>
            </w:pPr>
            <w:r>
              <w:rPr>
                <w:rFonts w:ascii="Arial" w:cs="Arial" w:eastAsia="Arial" w:hAnsi="Arial"/>
                <w:sz w:val="16"/>
                <w:szCs w:val="16"/>
                <w:color w:val="auto"/>
              </w:rPr>
              <w:t>Short-term debt and current portion of long-term debt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6"/>
        </w:trPr>
        <w:tc>
          <w:tcPr>
            <w:tcW w:w="4140" w:type="dxa"/>
            <w:vAlign w:val="bottom"/>
          </w:tcPr>
          <w:p>
            <w:pPr>
              <w:ind w:left="200"/>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4,411</w:t>
            </w:r>
          </w:p>
        </w:tc>
        <w:tc>
          <w:tcPr>
            <w:tcW w:w="0" w:type="dxa"/>
            <w:vAlign w:val="bottom"/>
          </w:tcPr>
          <w:p>
            <w:pPr>
              <w:spacing w:after="0"/>
              <w:rPr>
                <w:sz w:val="1"/>
                <w:szCs w:val="1"/>
                <w:color w:val="auto"/>
              </w:rPr>
            </w:pPr>
          </w:p>
        </w:tc>
      </w:tr>
      <w:tr>
        <w:trPr>
          <w:trHeight w:val="441"/>
        </w:trPr>
        <w:tc>
          <w:tcPr>
            <w:tcW w:w="4140" w:type="dxa"/>
            <w:vAlign w:val="bottom"/>
          </w:tcPr>
          <w:p>
            <w:pPr>
              <w:spacing w:after="0"/>
              <w:rPr>
                <w:sz w:val="20"/>
                <w:szCs w:val="20"/>
                <w:color w:val="auto"/>
              </w:rPr>
            </w:pPr>
            <w:r>
              <w:rPr>
                <w:rFonts w:ascii="Arial" w:cs="Arial" w:eastAsia="Arial" w:hAnsi="Arial"/>
                <w:sz w:val="16"/>
                <w:szCs w:val="16"/>
                <w:b w:val="1"/>
                <w:bCs w:val="1"/>
                <w:color w:val="auto"/>
              </w:rPr>
              <w:t>Debt under vehicle programs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140" w:type="dxa"/>
            <w:vAlign w:val="bottom"/>
          </w:tcPr>
          <w:p>
            <w:pPr>
              <w:ind w:left="200"/>
              <w:spacing w:after="0" w:line="162" w:lineRule="exact"/>
              <w:rPr>
                <w:sz w:val="20"/>
                <w:szCs w:val="20"/>
                <w:color w:val="auto"/>
              </w:rPr>
            </w:pPr>
            <w:r>
              <w:rPr>
                <w:rFonts w:ascii="Arial" w:cs="Arial" w:eastAsia="Arial" w:hAnsi="Arial"/>
                <w:sz w:val="16"/>
                <w:szCs w:val="16"/>
                <w:color w:val="auto"/>
              </w:rPr>
              <w:t>Vehicle-backed debt due to Avis Budget Rental Car</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15,115</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14,656</w:t>
            </w:r>
          </w:p>
        </w:tc>
        <w:tc>
          <w:tcPr>
            <w:tcW w:w="100" w:type="dxa"/>
            <w:vAlign w:val="bottom"/>
          </w:tcPr>
          <w:p>
            <w:pPr>
              <w:spacing w:after="0"/>
              <w:rPr>
                <w:sz w:val="14"/>
                <w:szCs w:val="14"/>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11,275</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10,848</w:t>
            </w:r>
          </w:p>
        </w:tc>
        <w:tc>
          <w:tcPr>
            <w:tcW w:w="0" w:type="dxa"/>
            <w:vAlign w:val="bottom"/>
          </w:tcPr>
          <w:p>
            <w:pPr>
              <w:spacing w:after="0"/>
              <w:rPr>
                <w:sz w:val="1"/>
                <w:szCs w:val="1"/>
                <w:color w:val="auto"/>
              </w:rPr>
            </w:pPr>
          </w:p>
        </w:tc>
      </w:tr>
      <w:tr>
        <w:trPr>
          <w:trHeight w:val="207"/>
        </w:trPr>
        <w:tc>
          <w:tcPr>
            <w:tcW w:w="4140" w:type="dxa"/>
            <w:vAlign w:val="bottom"/>
          </w:tcPr>
          <w:p>
            <w:pPr>
              <w:ind w:left="380"/>
              <w:spacing w:after="0"/>
              <w:rPr>
                <w:sz w:val="20"/>
                <w:szCs w:val="20"/>
                <w:color w:val="auto"/>
              </w:rPr>
            </w:pPr>
            <w:r>
              <w:rPr>
                <w:rFonts w:ascii="Arial" w:cs="Arial" w:eastAsia="Arial" w:hAnsi="Arial"/>
                <w:sz w:val="16"/>
                <w:szCs w:val="16"/>
                <w:color w:val="auto"/>
              </w:rPr>
              <w:t>Funding</w:t>
            </w:r>
          </w:p>
        </w:tc>
        <w:tc>
          <w:tcPr>
            <w:tcW w:w="2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0"/>
              <w:spacing w:after="0"/>
              <w:rPr>
                <w:sz w:val="20"/>
                <w:szCs w:val="20"/>
                <w:color w:val="auto"/>
              </w:rPr>
            </w:pPr>
            <w:r>
              <w:rPr>
                <w:rFonts w:ascii="Arial" w:cs="Arial" w:eastAsia="Arial" w:hAnsi="Arial"/>
                <w:sz w:val="16"/>
                <w:szCs w:val="16"/>
                <w:color w:val="auto"/>
              </w:rPr>
              <w:t>Vehicle-backed debt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2,422</w:t>
            </w:r>
          </w:p>
        </w:tc>
        <w:tc>
          <w:tcPr>
            <w:tcW w:w="0" w:type="dxa"/>
            <w:vAlign w:val="bottom"/>
          </w:tcPr>
          <w:p>
            <w:pPr>
              <w:spacing w:after="0"/>
              <w:rPr>
                <w:sz w:val="1"/>
                <w:szCs w:val="1"/>
                <w:color w:val="auto"/>
              </w:rPr>
            </w:pPr>
          </w:p>
        </w:tc>
      </w:tr>
      <w:tr>
        <w:trPr>
          <w:trHeight w:val="287"/>
        </w:trPr>
        <w:tc>
          <w:tcPr>
            <w:tcW w:w="4140" w:type="dxa"/>
            <w:vAlign w:val="bottom"/>
          </w:tcPr>
          <w:p>
            <w:pPr>
              <w:ind w:left="20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__________</w:t>
      </w:r>
    </w:p>
    <w:p>
      <w:pPr>
        <w:spacing w:after="0" w:line="118" w:lineRule="exact"/>
        <w:rPr>
          <w:sz w:val="20"/>
          <w:szCs w:val="20"/>
          <w:color w:val="auto"/>
        </w:rPr>
      </w:pPr>
    </w:p>
    <w:p>
      <w:pPr>
        <w:ind w:left="662" w:hanging="226"/>
        <w:spacing w:after="0"/>
        <w:tabs>
          <w:tab w:leader="none" w:pos="662" w:val="left"/>
        </w:tabs>
        <w:numPr>
          <w:ilvl w:val="1"/>
          <w:numId w:val="37"/>
        </w:numPr>
        <w:rPr>
          <w:rFonts w:ascii="Arial" w:cs="Arial" w:eastAsia="Arial" w:hAnsi="Arial"/>
          <w:sz w:val="9"/>
          <w:szCs w:val="9"/>
          <w:color w:val="auto"/>
        </w:rPr>
      </w:pPr>
      <w:r>
        <w:rPr>
          <w:rFonts w:ascii="Arial" w:cs="Arial" w:eastAsia="Arial" w:hAnsi="Arial"/>
          <w:sz w:val="14"/>
          <w:szCs w:val="14"/>
          <w:color w:val="auto"/>
        </w:rPr>
        <w:t>Derivatives in a liability position.</w:t>
      </w:r>
    </w:p>
    <w:p>
      <w:pPr>
        <w:spacing w:after="0" w:line="239" w:lineRule="exact"/>
        <w:rPr>
          <w:rFonts w:ascii="Arial" w:cs="Arial" w:eastAsia="Arial" w:hAnsi="Arial"/>
          <w:sz w:val="9"/>
          <w:szCs w:val="9"/>
          <w:color w:val="auto"/>
        </w:rPr>
      </w:pPr>
    </w:p>
    <w:p>
      <w:pPr>
        <w:ind w:left="442" w:hanging="442"/>
        <w:spacing w:after="0"/>
        <w:tabs>
          <w:tab w:leader="none" w:pos="44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62" w:lineRule="exact"/>
        <w:rPr>
          <w:rFonts w:ascii="Arial" w:cs="Arial" w:eastAsia="Arial" w:hAnsi="Arial"/>
          <w:sz w:val="18"/>
          <w:szCs w:val="18"/>
          <w:b w:val="1"/>
          <w:bCs w:val="1"/>
          <w:color w:val="auto"/>
        </w:rPr>
      </w:pPr>
    </w:p>
    <w:p>
      <w:pPr>
        <w:jc w:val="both"/>
        <w:ind w:left="442"/>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Our chief operating decision-maker assesses performance and allocates resources based upon the separate financial information of our operating segments. In identifying our reportable segments, we also consider the nature of services provided by our operating segments, the geographical areas in which the segments operate and other relevant factors. We aggregate certain of our operating segments into our reportable segments.</w:t>
      </w:r>
    </w:p>
    <w:p>
      <w:pPr>
        <w:spacing w:after="0" w:line="216" w:lineRule="exact"/>
        <w:rPr>
          <w:rFonts w:ascii="Arial" w:cs="Arial" w:eastAsia="Arial" w:hAnsi="Arial"/>
          <w:sz w:val="18"/>
          <w:szCs w:val="18"/>
          <w:b w:val="1"/>
          <w:bCs w:val="1"/>
          <w:color w:val="auto"/>
        </w:rPr>
      </w:pPr>
    </w:p>
    <w:p>
      <w:pPr>
        <w:jc w:val="both"/>
        <w:ind w:left="44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Management evaluates the operating results of each of our reportable segments based upon revenues and “Adjusted EBITDA,” which we define as income (loss) from continuing operations before non-vehicle related depreciation and amortization; any impairment charges; restructuring and other related charges; early extinguishment of debt costs; non-vehicle related interest; transaction-related costs, net; charges for legal matters, net, which includes amounts recorded in excess of $5 million related to class action lawsuits and personal injury matters; non-operational charges related to shareholder activist activity, which include third party advisory, legal and other professional fees; COVID-19 charges, net; cloud computing costs; other (income) expense, net; and income taxes.</w:t>
      </w:r>
    </w:p>
    <w:p>
      <w:pPr>
        <w:spacing w:after="0" w:line="219" w:lineRule="exact"/>
        <w:rPr>
          <w:rFonts w:ascii="Arial" w:cs="Arial" w:eastAsia="Arial" w:hAnsi="Arial"/>
          <w:sz w:val="18"/>
          <w:szCs w:val="18"/>
          <w:b w:val="1"/>
          <w:bCs w:val="1"/>
          <w:color w:val="auto"/>
        </w:rPr>
      </w:pPr>
    </w:p>
    <w:p>
      <w:pPr>
        <w:jc w:val="both"/>
        <w:ind w:left="442"/>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Our presentation of Adjusted EBITDA may not be comparable to similarly titled measures used by other companies.</w:t>
      </w:r>
    </w:p>
    <w:p>
      <w:pPr>
        <w:spacing w:after="0" w:line="200" w:lineRule="exact"/>
        <w:rPr>
          <w:sz w:val="20"/>
          <w:szCs w:val="20"/>
          <w:color w:val="auto"/>
        </w:rPr>
      </w:pPr>
    </w:p>
    <w:p>
      <w:pPr>
        <w:spacing w:after="0" w:line="368"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69850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27" w:right="339" w:bottom="1440" w:gutter="0" w:footer="0" w:header="0"/>
        </w:sectPr>
      </w:pPr>
    </w:p>
    <w:bookmarkStart w:id="27" w:name="page28"/>
    <w:bookmarkEnd w:id="27"/>
    <w:tbl>
      <w:tblPr>
        <w:tblLayout w:type="fixed"/>
        <w:tblInd w:w="26" w:type="dxa"/>
        <w:tblCellMar>
          <w:top w:w="0" w:type="dxa"/>
          <w:left w:w="0" w:type="dxa"/>
          <w:bottom w:w="0" w:type="dxa"/>
          <w:right w:w="0" w:type="dxa"/>
        </w:tblCellMar>
      </w:tblPr>
      <w:tr>
        <w:trPr>
          <w:trHeight w:val="239"/>
        </w:trPr>
        <w:tc>
          <w:tcPr>
            <w:tcW w:w="4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w w:val="99"/>
              </w:rPr>
              <w:t>Three Months Ended September 30,</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2023</w:t>
            </w: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210"/>
              <w:spacing w:after="0" w:line="169" w:lineRule="exact"/>
              <w:rPr>
                <w:sz w:val="20"/>
                <w:szCs w:val="20"/>
                <w:color w:val="auto"/>
              </w:rPr>
            </w:pPr>
            <w:r>
              <w:rPr>
                <w:rFonts w:ascii="Arial" w:cs="Arial" w:eastAsia="Arial" w:hAnsi="Arial"/>
                <w:sz w:val="18"/>
                <w:szCs w:val="18"/>
                <w:b w:val="1"/>
                <w:bCs w:val="1"/>
                <w:color w:val="auto"/>
              </w:rPr>
              <w:t>Adjusted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Revenues</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43"/>
        </w:trPr>
        <w:tc>
          <w:tcPr>
            <w:tcW w:w="4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EBITDA</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EBITDA</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2,736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2,703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24"/>
        </w:trPr>
        <w:tc>
          <w:tcPr>
            <w:tcW w:w="430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5"/>
        </w:trPr>
        <w:tc>
          <w:tcPr>
            <w:tcW w:w="4300" w:type="dxa"/>
            <w:vAlign w:val="bottom"/>
          </w:tcPr>
          <w:p>
            <w:pPr>
              <w:spacing w:after="0" w:line="235"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3"/>
                <w:szCs w:val="23"/>
                <w:color w:val="auto"/>
                <w:vertAlign w:val="superscript"/>
              </w:rPr>
              <w:t>(a)</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4300" w:type="dxa"/>
            <w:vAlign w:val="bottom"/>
          </w:tcPr>
          <w:p>
            <w:pPr>
              <w:ind w:left="240"/>
              <w:spacing w:after="0"/>
              <w:rPr>
                <w:sz w:val="20"/>
                <w:szCs w:val="20"/>
                <w:color w:val="auto"/>
              </w:rPr>
            </w:pPr>
            <w:r>
              <w:rPr>
                <w:rFonts w:ascii="Arial" w:cs="Arial" w:eastAsia="Arial" w:hAnsi="Arial"/>
                <w:sz w:val="18"/>
                <w:szCs w:val="18"/>
                <w:color w:val="auto"/>
              </w:rPr>
              <w:t>Total Company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3,564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3,547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ectPr>
          <w:pgSz w:w="11900" w:h="16838" w:orient="portrait"/>
          <w:cols w:equalWidth="0" w:num="1">
            <w:col w:w="10746"/>
          </w:cols>
          <w:pgMar w:left="814" w:top="967" w:right="339" w:bottom="1440" w:gutter="0" w:footer="0" w:header="0"/>
        </w:sectPr>
      </w:pPr>
    </w:p>
    <w:p>
      <w:pPr>
        <w:ind w:left="26"/>
        <w:spacing w:after="0"/>
        <w:rPr>
          <w:sz w:val="20"/>
          <w:szCs w:val="20"/>
          <w:color w:val="auto"/>
        </w:rPr>
      </w:pPr>
      <w:r>
        <w:rPr>
          <w:rFonts w:ascii="Arial" w:cs="Arial" w:eastAsia="Arial" w:hAnsi="Arial"/>
          <w:sz w:val="17"/>
          <w:szCs w:val="17"/>
          <w:color w:val="auto"/>
        </w:rPr>
        <w:t>Reconciliation of Adjusted EBITDA to income before income taxes:</w:t>
      </w:r>
    </w:p>
    <w:p>
      <w:pPr>
        <w:spacing w:after="0" w:line="291" w:lineRule="exact"/>
        <w:rPr>
          <w:sz w:val="20"/>
          <w:szCs w:val="20"/>
          <w:color w:val="auto"/>
        </w:rPr>
      </w:pPr>
    </w:p>
    <w:p>
      <w:pPr>
        <w:ind w:left="26"/>
        <w:spacing w:after="0"/>
        <w:rPr>
          <w:sz w:val="20"/>
          <w:szCs w:val="20"/>
          <w:color w:val="auto"/>
        </w:rPr>
      </w:pPr>
      <w:r>
        <w:rPr>
          <w:rFonts w:ascii="Arial" w:cs="Arial" w:eastAsia="Arial" w:hAnsi="Arial"/>
          <w:sz w:val="18"/>
          <w:szCs w:val="18"/>
          <w:color w:val="auto"/>
        </w:rPr>
        <w:t>Adjusted EBITDA</w:t>
      </w:r>
    </w:p>
    <w:p>
      <w:pPr>
        <w:spacing w:after="0" w:line="23" w:lineRule="exact"/>
        <w:rPr>
          <w:sz w:val="20"/>
          <w:szCs w:val="20"/>
          <w:color w:val="auto"/>
        </w:rPr>
      </w:pPr>
    </w:p>
    <w:p>
      <w:pPr>
        <w:ind w:left="706" w:right="680" w:hanging="679"/>
        <w:spacing w:after="0" w:line="281" w:lineRule="auto"/>
        <w:tabs>
          <w:tab w:leader="none" w:pos="686" w:val="left"/>
        </w:tabs>
        <w:rPr>
          <w:sz w:val="20"/>
          <w:szCs w:val="20"/>
          <w:color w:val="auto"/>
        </w:rPr>
      </w:pPr>
      <w:r>
        <w:rPr>
          <w:rFonts w:ascii="Arial" w:cs="Arial" w:eastAsia="Arial" w:hAnsi="Arial"/>
          <w:sz w:val="17"/>
          <w:szCs w:val="17"/>
          <w:color w:val="auto"/>
        </w:rPr>
        <w:t>Less:</w:t>
        <w:tab/>
        <w:t>Non-vehicle related depreciation and amortization Interest expense related to corporate debt, net</w:t>
      </w:r>
    </w:p>
    <w:p>
      <w:pPr>
        <w:spacing w:after="0" w:line="1" w:lineRule="exact"/>
        <w:rPr>
          <w:sz w:val="20"/>
          <w:szCs w:val="20"/>
          <w:color w:val="auto"/>
        </w:rPr>
      </w:pPr>
    </w:p>
    <w:p>
      <w:pPr>
        <w:ind w:left="826"/>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826"/>
        <w:spacing w:after="0"/>
        <w:rPr>
          <w:sz w:val="20"/>
          <w:szCs w:val="20"/>
          <w:color w:val="auto"/>
        </w:rPr>
      </w:pPr>
      <w:r>
        <w:rPr>
          <w:rFonts w:ascii="Arial" w:cs="Arial" w:eastAsia="Arial" w:hAnsi="Arial"/>
          <w:sz w:val="18"/>
          <w:szCs w:val="18"/>
          <w:color w:val="auto"/>
        </w:rPr>
        <w:t>Early extinguishment of debt</w:t>
      </w:r>
    </w:p>
    <w:p>
      <w:pPr>
        <w:spacing w:after="0" w:line="23" w:lineRule="exact"/>
        <w:rPr>
          <w:sz w:val="20"/>
          <w:szCs w:val="20"/>
          <w:color w:val="auto"/>
        </w:rPr>
      </w:pPr>
    </w:p>
    <w:p>
      <w:pPr>
        <w:ind w:left="706"/>
        <w:spacing w:after="0"/>
        <w:rPr>
          <w:sz w:val="20"/>
          <w:szCs w:val="20"/>
          <w:color w:val="auto"/>
        </w:rPr>
      </w:pPr>
      <w:r>
        <w:rPr>
          <w:rFonts w:ascii="Arial" w:cs="Arial" w:eastAsia="Arial" w:hAnsi="Arial"/>
          <w:sz w:val="18"/>
          <w:szCs w:val="18"/>
          <w:color w:val="auto"/>
        </w:rPr>
        <w:t>Restructuring and other related charges</w:t>
      </w:r>
    </w:p>
    <w:p>
      <w:pPr>
        <w:spacing w:after="0" w:line="23" w:lineRule="exact"/>
        <w:rPr>
          <w:sz w:val="20"/>
          <w:szCs w:val="20"/>
          <w:color w:val="auto"/>
        </w:rPr>
      </w:pPr>
    </w:p>
    <w:p>
      <w:pPr>
        <w:ind w:left="706"/>
        <w:spacing w:after="0"/>
        <w:rPr>
          <w:sz w:val="20"/>
          <w:szCs w:val="20"/>
          <w:color w:val="auto"/>
        </w:rPr>
      </w:pPr>
      <w:r>
        <w:rPr>
          <w:rFonts w:ascii="Arial" w:cs="Arial" w:eastAsia="Arial" w:hAnsi="Arial"/>
          <w:sz w:val="18"/>
          <w:szCs w:val="18"/>
          <w:color w:val="auto"/>
        </w:rPr>
        <w:t>Transaction-related costs, net</w:t>
      </w:r>
    </w:p>
    <w:p>
      <w:pPr>
        <w:ind w:left="706"/>
        <w:spacing w:after="0"/>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(b)</w:t>
      </w:r>
    </w:p>
    <w:p>
      <w:pPr>
        <w:ind w:left="706"/>
        <w:spacing w:after="0"/>
        <w:rPr>
          <w:sz w:val="20"/>
          <w:szCs w:val="20"/>
          <w:color w:val="auto"/>
        </w:rPr>
      </w:pPr>
      <w:r>
        <w:rPr>
          <w:rFonts w:ascii="Arial" w:cs="Arial" w:eastAsia="Arial" w:hAnsi="Arial"/>
          <w:sz w:val="18"/>
          <w:szCs w:val="18"/>
          <w:color w:val="auto"/>
        </w:rPr>
        <w:t>Reported within operating expenses:</w:t>
      </w:r>
    </w:p>
    <w:p>
      <w:pPr>
        <w:spacing w:after="0" w:line="11" w:lineRule="exact"/>
        <w:rPr>
          <w:sz w:val="20"/>
          <w:szCs w:val="20"/>
          <w:color w:val="auto"/>
        </w:rPr>
      </w:pPr>
    </w:p>
    <w:p>
      <w:pPr>
        <w:ind w:left="866"/>
        <w:spacing w:after="0"/>
        <w:rPr>
          <w:sz w:val="20"/>
          <w:szCs w:val="20"/>
          <w:color w:val="auto"/>
        </w:rPr>
      </w:pPr>
      <w:r>
        <w:rPr>
          <w:rFonts w:ascii="Arial" w:cs="Arial" w:eastAsia="Arial" w:hAnsi="Arial"/>
          <w:sz w:val="18"/>
          <w:szCs w:val="18"/>
          <w:color w:val="auto"/>
        </w:rPr>
        <w:t>Cloud computing costs</w:t>
      </w:r>
    </w:p>
    <w:p>
      <w:pPr>
        <w:spacing w:after="0" w:line="63" w:lineRule="exact"/>
        <w:rPr>
          <w:sz w:val="20"/>
          <w:szCs w:val="20"/>
          <w:color w:val="auto"/>
        </w:rPr>
      </w:pPr>
    </w:p>
    <w:p>
      <w:pPr>
        <w:ind w:left="26"/>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6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223"/>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907</w:t>
            </w:r>
          </w:p>
        </w:tc>
        <w:tc>
          <w:tcPr>
            <w:tcW w:w="16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1,460</w:t>
            </w:r>
          </w:p>
        </w:tc>
      </w:tr>
      <w:tr>
        <w:trPr>
          <w:trHeight w:val="230"/>
        </w:trPr>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59"/>
        </w:trPr>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59"/>
        </w:trPr>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6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ectPr>
          <w:pgSz w:w="11900" w:h="16838" w:orient="portrait"/>
          <w:cols w:equalWidth="0" w:num="2">
            <w:col w:w="5346" w:space="500"/>
            <w:col w:w="4900"/>
          </w:cols>
          <w:pgMar w:left="814" w:top="967" w:right="339" w:bottom="1440" w:gutter="0" w:footer="0" w:header="0"/>
          <w:type w:val="continuous"/>
        </w:sectPr>
      </w:pPr>
    </w:p>
    <w:p>
      <w:pPr>
        <w:ind w:left="6"/>
        <w:spacing w:after="0"/>
        <w:rPr>
          <w:sz w:val="20"/>
          <w:szCs w:val="20"/>
          <w:color w:val="auto"/>
        </w:rPr>
      </w:pPr>
      <w:r>
        <w:rPr>
          <w:rFonts w:ascii="Arial" w:cs="Arial" w:eastAsia="Arial" w:hAnsi="Arial"/>
          <w:sz w:val="14"/>
          <w:szCs w:val="14"/>
          <w:color w:val="auto"/>
        </w:rPr>
        <w:t>__________</w:t>
      </w:r>
    </w:p>
    <w:p>
      <w:pPr>
        <w:ind w:left="326" w:hanging="326"/>
        <w:spacing w:after="0" w:line="216" w:lineRule="auto"/>
        <w:tabs>
          <w:tab w:leader="none" w:pos="326"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spacing w:after="0" w:line="3" w:lineRule="exact"/>
        <w:rPr>
          <w:rFonts w:ascii="Arial" w:cs="Arial" w:eastAsia="Arial" w:hAnsi="Arial"/>
          <w:sz w:val="19"/>
          <w:szCs w:val="19"/>
          <w:color w:val="auto"/>
          <w:vertAlign w:val="superscript"/>
        </w:rPr>
      </w:pPr>
    </w:p>
    <w:p>
      <w:pPr>
        <w:ind w:left="326" w:hanging="326"/>
        <w:spacing w:after="0" w:line="211" w:lineRule="auto"/>
        <w:tabs>
          <w:tab w:leader="none" w:pos="319"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Primarily consists of gains or losses related to our equity investment in a former subsidiary, offset by fleet related and certain administrative services provided to the same former subsidiary.</w:t>
      </w:r>
    </w:p>
    <w:p>
      <w:pPr>
        <w:spacing w:after="0" w:line="17" w:lineRule="exact"/>
        <w:rPr>
          <w:sz w:val="20"/>
          <w:szCs w:val="20"/>
          <w:color w:val="auto"/>
        </w:rPr>
      </w:pPr>
    </w:p>
    <w:tbl>
      <w:tblPr>
        <w:tblLayout w:type="fixed"/>
        <w:tblInd w:w="26" w:type="dxa"/>
        <w:tblCellMar>
          <w:top w:w="0" w:type="dxa"/>
          <w:left w:w="0" w:type="dxa"/>
          <w:bottom w:w="0" w:type="dxa"/>
          <w:right w:w="0" w:type="dxa"/>
        </w:tblCellMar>
      </w:tblPr>
      <w:tr>
        <w:trPr>
          <w:trHeight w:val="239"/>
        </w:trPr>
        <w:tc>
          <w:tcPr>
            <w:tcW w:w="4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Nine Months Ended September 30,</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2023</w:t>
            </w: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210"/>
              <w:spacing w:after="0" w:line="173" w:lineRule="exact"/>
              <w:rPr>
                <w:sz w:val="20"/>
                <w:szCs w:val="20"/>
                <w:color w:val="auto"/>
              </w:rPr>
            </w:pPr>
            <w:r>
              <w:rPr>
                <w:rFonts w:ascii="Arial" w:cs="Arial" w:eastAsia="Arial" w:hAnsi="Arial"/>
                <w:sz w:val="18"/>
                <w:szCs w:val="18"/>
                <w:b w:val="1"/>
                <w:bCs w:val="1"/>
                <w:color w:val="auto"/>
              </w:rPr>
              <w:t>Adjusted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Revenues</w:t>
            </w:r>
          </w:p>
        </w:tc>
        <w:tc>
          <w:tcPr>
            <w:tcW w:w="100" w:type="dxa"/>
            <w:vAlign w:val="bottom"/>
            <w:vMerge w:val="restart"/>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230"/>
              <w:spacing w:after="0" w:line="173" w:lineRule="exact"/>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39"/>
        </w:trPr>
        <w:tc>
          <w:tcPr>
            <w:tcW w:w="4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EBITDA</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EBITDA</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7,180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1,887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7,270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29"/>
        </w:trPr>
        <w:tc>
          <w:tcPr>
            <w:tcW w:w="4300" w:type="dxa"/>
            <w:vAlign w:val="bottom"/>
          </w:tcPr>
          <w:p>
            <w:pPr>
              <w:spacing w:after="0" w:line="230"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4300" w:type="dxa"/>
            <w:vAlign w:val="bottom"/>
          </w:tcPr>
          <w:p>
            <w:pPr>
              <w:ind w:left="240"/>
              <w:spacing w:after="0"/>
              <w:rPr>
                <w:sz w:val="20"/>
                <w:szCs w:val="20"/>
                <w:color w:val="auto"/>
              </w:rPr>
            </w:pPr>
            <w:r>
              <w:rPr>
                <w:rFonts w:ascii="Arial" w:cs="Arial" w:eastAsia="Arial" w:hAnsi="Arial"/>
                <w:sz w:val="18"/>
                <w:szCs w:val="18"/>
                <w:color w:val="auto"/>
              </w:rPr>
              <w:t>Total Company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9,244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2,179</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9,223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ectPr>
          <w:pgSz w:w="11900" w:h="16838" w:orient="portrait"/>
          <w:cols w:equalWidth="0" w:num="1">
            <w:col w:w="10746"/>
          </w:cols>
          <w:pgMar w:left="814" w:top="967" w:right="339" w:bottom="1440" w:gutter="0" w:footer="0" w:header="0"/>
          <w:type w:val="continuous"/>
        </w:sectPr>
      </w:pPr>
    </w:p>
    <w:p>
      <w:pPr>
        <w:ind w:left="26"/>
        <w:spacing w:after="0"/>
        <w:rPr>
          <w:sz w:val="20"/>
          <w:szCs w:val="20"/>
          <w:color w:val="auto"/>
        </w:rPr>
      </w:pPr>
      <w:r>
        <w:rPr>
          <w:rFonts w:ascii="Arial" w:cs="Arial" w:eastAsia="Arial" w:hAnsi="Arial"/>
          <w:sz w:val="17"/>
          <w:szCs w:val="17"/>
          <w:color w:val="auto"/>
        </w:rPr>
        <w:t>Reconciliation of Adjusted EBITDA to income before income taxes:</w:t>
      </w:r>
    </w:p>
    <w:p>
      <w:pPr>
        <w:spacing w:after="0" w:line="291" w:lineRule="exact"/>
        <w:rPr>
          <w:sz w:val="20"/>
          <w:szCs w:val="20"/>
          <w:color w:val="auto"/>
        </w:rPr>
      </w:pPr>
    </w:p>
    <w:p>
      <w:pPr>
        <w:ind w:left="26"/>
        <w:spacing w:after="0"/>
        <w:rPr>
          <w:sz w:val="20"/>
          <w:szCs w:val="20"/>
          <w:color w:val="auto"/>
        </w:rPr>
      </w:pPr>
      <w:r>
        <w:rPr>
          <w:rFonts w:ascii="Arial" w:cs="Arial" w:eastAsia="Arial" w:hAnsi="Arial"/>
          <w:sz w:val="18"/>
          <w:szCs w:val="18"/>
          <w:color w:val="auto"/>
        </w:rPr>
        <w:t>Adjusted EBITDA</w:t>
      </w:r>
    </w:p>
    <w:p>
      <w:pPr>
        <w:spacing w:after="0" w:line="23" w:lineRule="exact"/>
        <w:rPr>
          <w:sz w:val="20"/>
          <w:szCs w:val="20"/>
          <w:color w:val="auto"/>
        </w:rPr>
      </w:pPr>
    </w:p>
    <w:p>
      <w:pPr>
        <w:ind w:left="706" w:right="680" w:hanging="679"/>
        <w:spacing w:after="0" w:line="281" w:lineRule="auto"/>
        <w:tabs>
          <w:tab w:leader="none" w:pos="686" w:val="left"/>
        </w:tabs>
        <w:rPr>
          <w:sz w:val="20"/>
          <w:szCs w:val="20"/>
          <w:color w:val="auto"/>
        </w:rPr>
      </w:pPr>
      <w:r>
        <w:rPr>
          <w:rFonts w:ascii="Arial" w:cs="Arial" w:eastAsia="Arial" w:hAnsi="Arial"/>
          <w:sz w:val="17"/>
          <w:szCs w:val="17"/>
          <w:color w:val="auto"/>
        </w:rPr>
        <w:t>Less:</w:t>
        <w:tab/>
        <w:t>Non-vehicle related depreciation and amortization Interest expense related to corporate debt, net</w:t>
      </w:r>
    </w:p>
    <w:p>
      <w:pPr>
        <w:spacing w:after="0" w:line="1" w:lineRule="exact"/>
        <w:rPr>
          <w:sz w:val="20"/>
          <w:szCs w:val="20"/>
          <w:color w:val="auto"/>
        </w:rPr>
      </w:pPr>
    </w:p>
    <w:p>
      <w:pPr>
        <w:ind w:left="826"/>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826"/>
        <w:spacing w:after="0"/>
        <w:rPr>
          <w:sz w:val="20"/>
          <w:szCs w:val="20"/>
          <w:color w:val="auto"/>
        </w:rPr>
      </w:pPr>
      <w:r>
        <w:rPr>
          <w:rFonts w:ascii="Arial" w:cs="Arial" w:eastAsia="Arial" w:hAnsi="Arial"/>
          <w:sz w:val="18"/>
          <w:szCs w:val="18"/>
          <w:color w:val="auto"/>
        </w:rPr>
        <w:t>Early extinguishment of debt</w:t>
      </w:r>
    </w:p>
    <w:p>
      <w:pPr>
        <w:spacing w:after="0" w:line="23" w:lineRule="exact"/>
        <w:rPr>
          <w:sz w:val="20"/>
          <w:szCs w:val="20"/>
          <w:color w:val="auto"/>
        </w:rPr>
      </w:pPr>
    </w:p>
    <w:p>
      <w:pPr>
        <w:ind w:left="706"/>
        <w:spacing w:after="0"/>
        <w:rPr>
          <w:sz w:val="20"/>
          <w:szCs w:val="20"/>
          <w:color w:val="auto"/>
        </w:rPr>
      </w:pPr>
      <w:r>
        <w:rPr>
          <w:rFonts w:ascii="Arial" w:cs="Arial" w:eastAsia="Arial" w:hAnsi="Arial"/>
          <w:sz w:val="18"/>
          <w:szCs w:val="18"/>
          <w:color w:val="auto"/>
        </w:rPr>
        <w:t>Restructuring and other related charges</w:t>
      </w:r>
    </w:p>
    <w:p>
      <w:pPr>
        <w:spacing w:after="0" w:line="23" w:lineRule="exact"/>
        <w:rPr>
          <w:sz w:val="20"/>
          <w:szCs w:val="20"/>
          <w:color w:val="auto"/>
        </w:rPr>
      </w:pPr>
    </w:p>
    <w:p>
      <w:pPr>
        <w:ind w:left="706"/>
        <w:spacing w:after="0"/>
        <w:rPr>
          <w:sz w:val="20"/>
          <w:szCs w:val="20"/>
          <w:color w:val="auto"/>
        </w:rPr>
      </w:pPr>
      <w:r>
        <w:rPr>
          <w:rFonts w:ascii="Arial" w:cs="Arial" w:eastAsia="Arial" w:hAnsi="Arial"/>
          <w:sz w:val="18"/>
          <w:szCs w:val="18"/>
          <w:color w:val="auto"/>
        </w:rPr>
        <w:t>Transaction-related costs, net</w:t>
      </w:r>
    </w:p>
    <w:p>
      <w:pPr>
        <w:ind w:left="706"/>
        <w:spacing w:after="0"/>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(b)</w:t>
      </w:r>
    </w:p>
    <w:p>
      <w:pPr>
        <w:ind w:left="706"/>
        <w:spacing w:after="0"/>
        <w:rPr>
          <w:sz w:val="20"/>
          <w:szCs w:val="20"/>
          <w:color w:val="auto"/>
        </w:rPr>
      </w:pPr>
      <w:r>
        <w:rPr>
          <w:rFonts w:ascii="Arial" w:cs="Arial" w:eastAsia="Arial" w:hAnsi="Arial"/>
          <w:sz w:val="18"/>
          <w:szCs w:val="18"/>
          <w:color w:val="auto"/>
        </w:rPr>
        <w:t>Reported within operating expenses:</w:t>
      </w:r>
    </w:p>
    <w:p>
      <w:pPr>
        <w:spacing w:after="0" w:line="11" w:lineRule="exact"/>
        <w:rPr>
          <w:sz w:val="20"/>
          <w:szCs w:val="20"/>
          <w:color w:val="auto"/>
        </w:rPr>
      </w:pPr>
    </w:p>
    <w:p>
      <w:pPr>
        <w:ind w:left="866"/>
        <w:spacing w:after="0"/>
        <w:rPr>
          <w:sz w:val="20"/>
          <w:szCs w:val="20"/>
          <w:color w:val="auto"/>
        </w:rPr>
      </w:pPr>
      <w:r>
        <w:rPr>
          <w:rFonts w:ascii="Arial" w:cs="Arial" w:eastAsia="Arial" w:hAnsi="Arial"/>
          <w:sz w:val="18"/>
          <w:szCs w:val="18"/>
          <w:color w:val="auto"/>
        </w:rPr>
        <w:t>Cloud computing costs</w:t>
      </w:r>
    </w:p>
    <w:p>
      <w:pPr>
        <w:spacing w:after="0" w:line="23" w:lineRule="exact"/>
        <w:rPr>
          <w:sz w:val="20"/>
          <w:szCs w:val="20"/>
          <w:color w:val="auto"/>
        </w:rPr>
      </w:pPr>
    </w:p>
    <w:p>
      <w:pPr>
        <w:ind w:left="866"/>
        <w:spacing w:after="0"/>
        <w:rPr>
          <w:sz w:val="20"/>
          <w:szCs w:val="20"/>
          <w:color w:val="auto"/>
        </w:rPr>
      </w:pPr>
      <w:r>
        <w:rPr>
          <w:rFonts w:ascii="Arial" w:cs="Arial" w:eastAsia="Arial" w:hAnsi="Arial"/>
          <w:sz w:val="18"/>
          <w:szCs w:val="18"/>
          <w:color w:val="auto"/>
        </w:rPr>
        <w:t>COVID-19 charges</w:t>
      </w:r>
    </w:p>
    <w:p>
      <w:pPr>
        <w:spacing w:after="0" w:line="23" w:lineRule="exact"/>
        <w:rPr>
          <w:sz w:val="20"/>
          <w:szCs w:val="20"/>
          <w:color w:val="auto"/>
        </w:rPr>
      </w:pPr>
    </w:p>
    <w:p>
      <w:pPr>
        <w:ind w:left="866"/>
        <w:spacing w:after="0"/>
        <w:rPr>
          <w:sz w:val="20"/>
          <w:szCs w:val="20"/>
          <w:color w:val="auto"/>
        </w:rPr>
      </w:pPr>
      <w:r>
        <w:rPr>
          <w:rFonts w:ascii="Arial" w:cs="Arial" w:eastAsia="Arial" w:hAnsi="Arial"/>
          <w:sz w:val="18"/>
          <w:szCs w:val="18"/>
          <w:color w:val="auto"/>
        </w:rPr>
        <w:t>Legal matters, net</w:t>
      </w:r>
    </w:p>
    <w:p>
      <w:pPr>
        <w:spacing w:after="0" w:line="63" w:lineRule="exact"/>
        <w:rPr>
          <w:sz w:val="20"/>
          <w:szCs w:val="20"/>
          <w:color w:val="auto"/>
        </w:rPr>
      </w:pPr>
    </w:p>
    <w:p>
      <w:pPr>
        <w:ind w:left="26"/>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6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223"/>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2,179</w:t>
            </w:r>
          </w:p>
        </w:tc>
        <w:tc>
          <w:tcPr>
            <w:tcW w:w="16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3,475</w:t>
            </w:r>
          </w:p>
        </w:tc>
      </w:tr>
      <w:tr>
        <w:trPr>
          <w:trHeight w:val="230"/>
        </w:trPr>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459"/>
        </w:trPr>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w:t>
            </w: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59"/>
        </w:trPr>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300" w:type="dxa"/>
            <w:vAlign w:val="bottom"/>
          </w:tcPr>
          <w:p>
            <w:pPr>
              <w:spacing w:after="0"/>
              <w:rPr>
                <w:sz w:val="19"/>
                <w:szCs w:val="19"/>
                <w:color w:val="auto"/>
              </w:rPr>
            </w:pPr>
          </w:p>
        </w:tc>
        <w:tc>
          <w:tcPr>
            <w:tcW w:w="2700" w:type="dxa"/>
            <w:vAlign w:val="bottom"/>
            <w:gridSpan w:val="2"/>
          </w:tcPr>
          <w:p>
            <w:pPr>
              <w:jc w:val="right"/>
              <w:ind w:right="16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w:t>
            </w:r>
          </w:p>
        </w:tc>
        <w:tc>
          <w:tcPr>
            <w:tcW w:w="16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ectPr>
          <w:pgSz w:w="11900" w:h="16838" w:orient="portrait"/>
          <w:cols w:equalWidth="0" w:num="2">
            <w:col w:w="5346" w:space="500"/>
            <w:col w:w="4900"/>
          </w:cols>
          <w:pgMar w:left="814" w:top="967" w:right="339" w:bottom="1440" w:gutter="0" w:footer="0" w:header="0"/>
          <w:type w:val="continuous"/>
        </w:sectPr>
      </w:pPr>
    </w:p>
    <w:p>
      <w:pPr>
        <w:ind w:left="6"/>
        <w:spacing w:after="0"/>
        <w:rPr>
          <w:sz w:val="20"/>
          <w:szCs w:val="20"/>
          <w:color w:val="auto"/>
        </w:rPr>
      </w:pPr>
      <w:r>
        <w:rPr>
          <w:rFonts w:ascii="Arial" w:cs="Arial" w:eastAsia="Arial" w:hAnsi="Arial"/>
          <w:sz w:val="14"/>
          <w:szCs w:val="14"/>
          <w:color w:val="auto"/>
        </w:rPr>
        <w:t>__________</w:t>
      </w:r>
    </w:p>
    <w:p>
      <w:pPr>
        <w:ind w:left="326" w:hanging="326"/>
        <w:spacing w:after="0" w:line="204" w:lineRule="auto"/>
        <w:tabs>
          <w:tab w:leader="none" w:pos="326"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326" w:hanging="326"/>
        <w:spacing w:after="0" w:line="278" w:lineRule="auto"/>
        <w:tabs>
          <w:tab w:leader="none" w:pos="319" w:val="left"/>
        </w:tabs>
        <w:numPr>
          <w:ilvl w:val="0"/>
          <w:numId w:val="40"/>
        </w:numPr>
        <w:rPr>
          <w:rFonts w:ascii="Arial" w:cs="Arial" w:eastAsia="Arial" w:hAnsi="Arial"/>
          <w:sz w:val="9"/>
          <w:szCs w:val="9"/>
          <w:color w:val="auto"/>
        </w:rPr>
      </w:pPr>
      <w:r>
        <w:rPr>
          <w:rFonts w:ascii="Arial" w:cs="Arial" w:eastAsia="Arial" w:hAnsi="Arial"/>
          <w:sz w:val="14"/>
          <w:szCs w:val="14"/>
          <w:color w:val="auto"/>
        </w:rPr>
        <w:t>Primarily consists of gains or losses related to our equity investment in a former subsidiary, offset by fleet related and certain administrative services provided to the same former subsidiary.</w:t>
      </w:r>
    </w:p>
    <w:p>
      <w:pPr>
        <w:sectPr>
          <w:pgSz w:w="11900" w:h="16838" w:orient="portrait"/>
          <w:cols w:equalWidth="0" w:num="1">
            <w:col w:w="10746"/>
          </w:cols>
          <w:pgMar w:left="814" w:top="967"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ind w:right="494"/>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76835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67" w:right="339" w:bottom="1440" w:gutter="0" w:footer="0" w:header="0"/>
          <w:type w:val="continuous"/>
        </w:sectPr>
      </w:pPr>
    </w:p>
    <w:bookmarkStart w:id="28" w:name="page29"/>
    <w:bookmarkEnd w:id="28"/>
    <w:p>
      <w:pPr>
        <w:jc w:val="both"/>
        <w:ind w:left="442"/>
        <w:spacing w:after="0" w:line="258" w:lineRule="auto"/>
        <w:rPr>
          <w:sz w:val="20"/>
          <w:szCs w:val="20"/>
          <w:color w:val="auto"/>
        </w:rPr>
      </w:pPr>
      <w:r>
        <w:rPr>
          <w:rFonts w:ascii="Arial" w:cs="Arial" w:eastAsia="Arial" w:hAnsi="Arial"/>
          <w:sz w:val="18"/>
          <w:szCs w:val="18"/>
          <w:color w:val="auto"/>
        </w:rPr>
        <w:t>Since December 31, 2022, there have been no significant changes in segment assets exclusive of assets under vehicle programs. As of September 30, 2023 and December 31, 2022, Americas’ segment assets under vehicle programs were approximately $19.2 billion and $14.3 billion, respectively. This increase in assets under vehicle programs is directly correlated to the increase in the size and cost of our vehicle rental fleet to meet demand.</w:t>
      </w:r>
    </w:p>
    <w:p>
      <w:pPr>
        <w:spacing w:after="0" w:line="207" w:lineRule="exact"/>
        <w:rPr>
          <w:sz w:val="20"/>
          <w:szCs w:val="20"/>
          <w:color w:val="auto"/>
        </w:rPr>
      </w:pPr>
    </w:p>
    <w:p>
      <w:pPr>
        <w:ind w:left="442" w:hanging="442"/>
        <w:spacing w:after="0"/>
        <w:tabs>
          <w:tab w:leader="none" w:pos="442"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62" w:lineRule="exact"/>
        <w:rPr>
          <w:rFonts w:ascii="Arial" w:cs="Arial" w:eastAsia="Arial" w:hAnsi="Arial"/>
          <w:sz w:val="18"/>
          <w:szCs w:val="18"/>
          <w:b w:val="1"/>
          <w:bCs w:val="1"/>
          <w:color w:val="auto"/>
        </w:rPr>
      </w:pPr>
    </w:p>
    <w:p>
      <w:pPr>
        <w:ind w:left="442"/>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In October 2023, we completed the acquisition of a licensee in North America for approximately $10 million, plus approximately $4 million in acquired fleet.</w:t>
      </w:r>
    </w:p>
    <w:p>
      <w:pPr>
        <w:spacing w:after="0" w:line="187" w:lineRule="exact"/>
        <w:rPr>
          <w:rFonts w:ascii="Arial" w:cs="Arial" w:eastAsia="Arial" w:hAnsi="Arial"/>
          <w:sz w:val="18"/>
          <w:szCs w:val="18"/>
          <w:b w:val="1"/>
          <w:bCs w:val="1"/>
          <w:color w:val="auto"/>
        </w:rPr>
      </w:pPr>
    </w:p>
    <w:p>
      <w:pPr>
        <w:ind w:left="442"/>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In October 2023, we repurchased approximately 665 thousand shares of common stock at a cost of approximately $114 million under the Stock Repurchase Program.</w:t>
      </w:r>
    </w:p>
    <w:p>
      <w:pPr>
        <w:spacing w:after="0" w:line="199" w:lineRule="exact"/>
        <w:rPr>
          <w:rFonts w:ascii="Arial" w:cs="Arial" w:eastAsia="Arial" w:hAnsi="Arial"/>
          <w:sz w:val="18"/>
          <w:szCs w:val="18"/>
          <w:b w:val="1"/>
          <w:bCs w:val="1"/>
          <w:color w:val="auto"/>
        </w:rPr>
      </w:pPr>
    </w:p>
    <w:p>
      <w:pPr>
        <w:ind w:left="442"/>
        <w:spacing w:after="0"/>
        <w:rPr>
          <w:rFonts w:ascii="Arial" w:cs="Arial" w:eastAsia="Arial" w:hAnsi="Arial"/>
          <w:sz w:val="18"/>
          <w:szCs w:val="18"/>
          <w:b w:val="1"/>
          <w:bCs w:val="1"/>
          <w:color w:val="auto"/>
        </w:rPr>
      </w:pPr>
      <w:r>
        <w:rPr>
          <w:rFonts w:ascii="Arial" w:cs="Arial" w:eastAsia="Arial" w:hAnsi="Arial"/>
          <w:sz w:val="18"/>
          <w:szCs w:val="18"/>
          <w:color w:val="auto"/>
        </w:rPr>
        <w:t>In October 2023, SRS made a capital contribution to AMV, diluting our ownership from approximately 40% to 34%.</w:t>
      </w:r>
    </w:p>
    <w:p>
      <w:pPr>
        <w:spacing w:after="0" w:line="200" w:lineRule="exact"/>
        <w:rPr>
          <w:rFonts w:ascii="Arial" w:cs="Arial" w:eastAsia="Arial" w:hAnsi="Arial"/>
          <w:sz w:val="18"/>
          <w:szCs w:val="18"/>
          <w:b w:val="1"/>
          <w:bCs w:val="1"/>
          <w:color w:val="auto"/>
        </w:rPr>
      </w:pPr>
    </w:p>
    <w:p>
      <w:pPr>
        <w:spacing w:after="0" w:line="298" w:lineRule="exact"/>
        <w:rPr>
          <w:rFonts w:ascii="Arial" w:cs="Arial" w:eastAsia="Arial" w:hAnsi="Arial"/>
          <w:sz w:val="18"/>
          <w:szCs w:val="18"/>
          <w:b w:val="1"/>
          <w:bCs w:val="1"/>
          <w:color w:val="auto"/>
        </w:rPr>
      </w:pPr>
    </w:p>
    <w:p>
      <w:pPr>
        <w:ind w:left="5302"/>
        <w:spacing w:after="0"/>
        <w:rPr>
          <w:rFonts w:ascii="Arial" w:cs="Arial" w:eastAsia="Arial" w:hAnsi="Arial"/>
          <w:sz w:val="18"/>
          <w:szCs w:val="18"/>
          <w:b w:val="1"/>
          <w:bCs w:val="1"/>
          <w:color w:val="auto"/>
        </w:rPr>
      </w:pPr>
      <w:r>
        <w:rPr>
          <w:rFonts w:ascii="Arial" w:cs="Arial" w:eastAsia="Arial" w:hAnsi="Arial"/>
          <w:sz w:val="22"/>
          <w:szCs w:val="22"/>
          <w:color w:val="auto"/>
        </w:rPr>
        <w:t>* * * *</w:t>
      </w:r>
    </w:p>
    <w:p>
      <w:pPr>
        <w:spacing w:after="0" w:line="200" w:lineRule="exact"/>
        <w:rPr>
          <w:sz w:val="20"/>
          <w:szCs w:val="20"/>
          <w:color w:val="auto"/>
        </w:rPr>
      </w:pPr>
    </w:p>
    <w:p>
      <w:pPr>
        <w:spacing w:after="0" w:line="394"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69850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7" w:right="339" w:bottom="1440" w:gutter="0" w:footer="0" w:header="0"/>
        </w:sectPr>
      </w:pPr>
    </w:p>
    <w:bookmarkStart w:id="29" w:name="page30"/>
    <w:bookmarkEnd w:id="29"/>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The following discussion should be read in conjunction with our Consolidated Condensed Financial Statements and accompanying Notes included in this Quarterly Report on Form 10-Q, and with our 2022 Form 10-K. Our actual results of operations may differ materially from those discussed in forward-looking statements as a result of various factors, including those discussed in “Forward-Looking Statements”. See “Forward-Looking Statements” and “Risk Factors” for additional information. Unless otherwise noted, all dollar amounts in tables are in millions.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operate three of the most globally recognized brands in mobility solutions, Avis, Budget and Zipcar, together with several other brands well recognized in their respective markets. We are a leading vehicle rental operator in North America, Europe, Australasia and certain other regions we serve, with an average rental fleet of approximately 754,000 vehicles in third quarter 2023. We also license the use of our trademarks to licensees in the areas in which we do not operate directly. We and our licensees operate our brands in approximately 180 countries throughout the world.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We categorize our operations into two reportable business segments: </w:t>
      </w:r>
      <w:r>
        <w:rPr>
          <w:rFonts w:ascii="Arial" w:cs="Arial" w:eastAsia="Arial" w:hAnsi="Arial"/>
          <w:sz w:val="18"/>
          <w:szCs w:val="18"/>
          <w:i w:val="1"/>
          <w:iCs w:val="1"/>
          <w:color w:val="auto"/>
        </w:rPr>
        <w:t>Americas</w:t>
      </w:r>
      <w:r>
        <w:rPr>
          <w:rFonts w:ascii="Arial" w:cs="Arial" w:eastAsia="Arial" w:hAnsi="Arial"/>
          <w:sz w:val="18"/>
          <w:szCs w:val="18"/>
          <w:color w:val="auto"/>
        </w:rPr>
        <w:t xml:space="preserve">, consisting primarily of our vehicle rental operations in North America, South America, Central America and the Caribbean, car sharing operations in certain of these markets, and licensees in certain areas in which we do not operate directly; and </w:t>
      </w:r>
      <w:r>
        <w:rPr>
          <w:rFonts w:ascii="Arial" w:cs="Arial" w:eastAsia="Arial" w:hAnsi="Arial"/>
          <w:sz w:val="18"/>
          <w:szCs w:val="18"/>
          <w:i w:val="1"/>
          <w:iCs w:val="1"/>
          <w:color w:val="auto"/>
        </w:rPr>
        <w:t>International</w:t>
      </w:r>
      <w:r>
        <w:rPr>
          <w:rFonts w:ascii="Arial" w:cs="Arial" w:eastAsia="Arial" w:hAnsi="Arial"/>
          <w:sz w:val="18"/>
          <w:szCs w:val="18"/>
          <w:color w:val="auto"/>
        </w:rPr>
        <w:t>, consisting primarily of our vehicle rental operations in Europe, the Middle East, Africa, Asia and Australasia, car sharing operations in certain of these markets, and licensees in certain areas in which we do not operate directly.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strategy continues to primarily focus on costs and customer experience to strengthen our company, enable resilience, and deliver stakeholder value. During the three months ended September 30, 2023, we generated revenues of $ 3.6 billion, net income of $627 million and Adjusted EBITDA of $907 million. These results were driven by increased volume, offset by increased fleet costs and sustained inflationary pressures on costs.</w:t>
      </w:r>
    </w:p>
    <w:p>
      <w:pPr>
        <w:spacing w:after="0" w:line="2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continue to be susceptible to a number of industry-specific and global macroeconomic factors that may cause our actual results of operations to differ from our historical results of operations or current expectations. The factors and trends that we currently believe are or will be most impactful to our results of operations and financial condition include the following: interest rates, inflationary impact on items such as commodity prices and wages, disruption in the supply of new vehicles, used car values, and an economic downturn that may impact travel demand, all of which may be exacerbated by the ongoing military conflicts in the Middle East and Eastern Europe. We continue to monitor the potential favorable or unfavorable impacts of these and other factors on our business, operations, financial condition, and future results of operations.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measure performance principally using the following key metrics: (i) rental days, which represent the total number of days (or portion thereof) a vehicle was rented, (ii) revenue per day, which represents revenues divided by rental days, (iii) vehicle utilization, which represents rental days divided by available rental days, with available rental days being defined as average rental fleet times the number of days in the period, and (iv) per-unit fleet costs, which represent vehicle depreciation, lease charges and gain or loss on vehicle sales, divided by average rental fleet. Our rental days, revenue per day and vehicle utilization metrics are all calculated based on the actual rental of the vehicle during a 24-hour period. We believe that this methodology provides management with the most relevant metrics in order to effectively manage the performance of the business. Our calculation may not be comparable to the calculation of similarly titled metrics by other companies. We present currency exchange rate effects to provide a method of assessing how our business performed excluding the effects of foreign currency rate fluctuations. Currency exchange rate effects are calculated by translating the current period results at the prior period average exchange rate plus any related gains and losses on currency hedges.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0" w:name="page31"/>
    <w:bookmarkEnd w:id="30"/>
    <w:p>
      <w:pPr>
        <w:jc w:val="both"/>
        <w:spacing w:after="0" w:line="254"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revenues and “Adjusted EBITDA,” which we define as income (loss) from continuing operations before non-vehicle related depreciation and amortization; any impairment charges; restructuring and other related charges; early extinguishment of debt costs; non-vehicle related interest; transaction-related costs, net; charges for legal matters, net, which includes amounts recorded in excess of $5 million related to class action lawsuits and personal injury matters; non-operational charges related to shareholder activist activity, which include third party advisory, legal and other professional fees; COVID-19 charges, net; cloud computing costs; other (income) expense, net, and income taxes.</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 titled measures used by other companies.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2023:</w:t>
      </w:r>
    </w:p>
    <w:p>
      <w:pPr>
        <w:spacing w:after="0" w:line="252"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revenues totaled $9.2 billion, consistent with the similar period in 2022.</w:t>
      </w:r>
    </w:p>
    <w:p>
      <w:pPr>
        <w:spacing w:after="0" w:line="117" w:lineRule="exact"/>
        <w:rPr>
          <w:rFonts w:ascii="Arial" w:cs="Arial" w:eastAsia="Arial" w:hAnsi="Arial"/>
          <w:sz w:val="18"/>
          <w:szCs w:val="18"/>
          <w:color w:val="auto"/>
        </w:rPr>
      </w:pPr>
    </w:p>
    <w:p>
      <w:pPr>
        <w:ind w:left="660" w:hanging="328"/>
        <w:spacing w:after="0" w:line="275"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net income was $1.4 billion, representing a decrease of $968 million year-over-year, primarily due to increased fleet costs and sustained inflationary pressures on costs.</w:t>
      </w:r>
    </w:p>
    <w:p>
      <w:pPr>
        <w:spacing w:after="0" w:line="6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Adjusted EBITDA was $2.2 billion, representing a decrease of $1.3 billion year-over-year.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Three Months Ended September 30, 2023 vs. Three Months Ended September 30, 2022</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condensed results of operations comprised of the following:</w:t>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5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1200" w:type="dxa"/>
            <w:vAlign w:val="bottom"/>
            <w:tcBorders>
              <w:bottom w:val="single" w:sz="8" w:color="auto"/>
            </w:tcBorders>
          </w:tcPr>
          <w:p>
            <w:pPr>
              <w:spacing w:after="0"/>
              <w:rPr>
                <w:sz w:val="19"/>
                <w:szCs w:val="19"/>
                <w:color w:val="auto"/>
              </w:rPr>
            </w:pPr>
          </w:p>
        </w:tc>
      </w:tr>
      <w:tr>
        <w:trPr>
          <w:trHeight w:val="209"/>
        </w:trPr>
        <w:tc>
          <w:tcPr>
            <w:tcW w:w="5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300" w:type="dxa"/>
            <w:vAlign w:val="bottom"/>
          </w:tcPr>
          <w:p>
            <w:pPr>
              <w:spacing w:after="0"/>
              <w:rPr>
                <w:sz w:val="18"/>
                <w:szCs w:val="18"/>
                <w:color w:val="auto"/>
              </w:rPr>
            </w:pPr>
          </w:p>
        </w:tc>
        <w:tc>
          <w:tcPr>
            <w:tcW w:w="1200" w:type="dxa"/>
            <w:vAlign w:val="bottom"/>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82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3,564</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3,547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0 %</w:t>
            </w:r>
          </w:p>
        </w:tc>
      </w:tr>
      <w:tr>
        <w:trPr>
          <w:trHeight w:val="307"/>
        </w:trPr>
        <w:tc>
          <w:tcPr>
            <w:tcW w:w="582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7"/>
        </w:trPr>
        <w:tc>
          <w:tcPr>
            <w:tcW w:w="5820" w:type="dxa"/>
            <w:vAlign w:val="bottom"/>
          </w:tcPr>
          <w:p>
            <w:pPr>
              <w:ind w:left="220"/>
              <w:spacing w:after="0"/>
              <w:rPr>
                <w:sz w:val="20"/>
                <w:szCs w:val="20"/>
                <w:color w:val="auto"/>
              </w:rPr>
            </w:pPr>
            <w:r>
              <w:rPr>
                <w:rFonts w:ascii="Arial" w:cs="Arial" w:eastAsia="Arial" w:hAnsi="Arial"/>
                <w:sz w:val="16"/>
                <w:szCs w:val="16"/>
                <w:color w:val="auto"/>
              </w:rPr>
              <w:t>Operating</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1,543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1,464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Vehicle depreciation and lease charges,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383</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286 %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Vehicle interest,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Non-vehicle related depreciation and amortization</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Interest expense related to corporate debt, net: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82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25 %</w:t>
            </w:r>
          </w:p>
        </w:tc>
      </w:tr>
      <w:tr>
        <w:trPr>
          <w:trHeight w:val="216"/>
        </w:trPr>
        <w:tc>
          <w:tcPr>
            <w:tcW w:w="5820" w:type="dxa"/>
            <w:vAlign w:val="bottom"/>
          </w:tcPr>
          <w:p>
            <w:pPr>
              <w:ind w:left="340"/>
              <w:spacing w:after="0"/>
              <w:rPr>
                <w:sz w:val="20"/>
                <w:szCs w:val="20"/>
                <w:color w:val="auto"/>
              </w:rPr>
            </w:pPr>
            <w:r>
              <w:rPr>
                <w:rFonts w:ascii="Arial" w:cs="Arial" w:eastAsia="Arial" w:hAnsi="Arial"/>
                <w:sz w:val="16"/>
                <w:szCs w:val="16"/>
                <w:color w:val="auto"/>
              </w:rPr>
              <w:t>Early extinguishment of debt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Restructuring and other related charges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Transaction-related costs,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5820" w:type="dxa"/>
            <w:vAlign w:val="bottom"/>
          </w:tcPr>
          <w:p>
            <w:pPr>
              <w:spacing w:after="0"/>
              <w:rPr>
                <w:sz w:val="20"/>
                <w:szCs w:val="20"/>
                <w:color w:val="auto"/>
              </w:rPr>
            </w:pPr>
            <w:r>
              <w:rPr>
                <w:rFonts w:ascii="Arial" w:cs="Arial" w:eastAsia="Arial" w:hAnsi="Arial"/>
                <w:sz w:val="16"/>
                <w:szCs w:val="16"/>
                <w:color w:val="auto"/>
              </w:rPr>
              <w:t>Total expenses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602</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27 %</w:t>
            </w:r>
          </w:p>
        </w:tc>
      </w:tr>
      <w:tr>
        <w:trPr>
          <w:trHeight w:val="333"/>
        </w:trPr>
        <w:tc>
          <w:tcPr>
            <w:tcW w:w="582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(585)</w:t>
            </w: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(44 %)</w:t>
            </w:r>
          </w:p>
        </w:tc>
      </w:tr>
      <w:tr>
        <w:trPr>
          <w:trHeight w:val="207"/>
        </w:trPr>
        <w:tc>
          <w:tcPr>
            <w:tcW w:w="5820" w:type="dxa"/>
            <w:vAlign w:val="bottom"/>
          </w:tcPr>
          <w:p>
            <w:pPr>
              <w:ind w:left="12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(58 %)</w:t>
            </w:r>
          </w:p>
        </w:tc>
      </w:tr>
      <w:tr>
        <w:trPr>
          <w:trHeight w:val="209"/>
        </w:trPr>
        <w:tc>
          <w:tcPr>
            <w:tcW w:w="582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(404)</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(39 %)</w:t>
            </w:r>
          </w:p>
        </w:tc>
      </w:tr>
      <w:tr>
        <w:trPr>
          <w:trHeight w:val="219"/>
        </w:trPr>
        <w:tc>
          <w:tcPr>
            <w:tcW w:w="5820" w:type="dxa"/>
            <w:vAlign w:val="bottom"/>
          </w:tcPr>
          <w:p>
            <w:pPr>
              <w:ind w:left="120"/>
              <w:spacing w:after="0"/>
              <w:rPr>
                <w:sz w:val="20"/>
                <w:szCs w:val="20"/>
                <w:color w:val="auto"/>
              </w:rPr>
            </w:pPr>
            <w:r>
              <w:rPr>
                <w:rFonts w:ascii="Arial" w:cs="Arial" w:eastAsia="Arial" w:hAnsi="Arial"/>
                <w:sz w:val="16"/>
                <w:szCs w:val="16"/>
                <w:color w:val="auto"/>
              </w:rPr>
              <w:t>Less: net income (loss) attributable to non-controlling interests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5820" w:type="dxa"/>
            <w:vAlign w:val="bottom"/>
          </w:tcPr>
          <w:p>
            <w:pPr>
              <w:spacing w:after="0"/>
              <w:rPr>
                <w:sz w:val="20"/>
                <w:szCs w:val="20"/>
                <w:color w:val="auto"/>
              </w:rPr>
            </w:pPr>
            <w:r>
              <w:rPr>
                <w:rFonts w:ascii="Arial" w:cs="Arial" w:eastAsia="Arial" w:hAnsi="Arial"/>
                <w:sz w:val="16"/>
                <w:szCs w:val="16"/>
                <w:b w:val="1"/>
                <w:bCs w:val="1"/>
                <w:color w:val="auto"/>
              </w:rPr>
              <w:t>Net income attributable to Avis Budget Group, Inc.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626</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1,034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(408)</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(39 %)</w:t>
            </w:r>
          </w:p>
        </w:tc>
      </w:tr>
      <w:tr>
        <w:trPr>
          <w:trHeight w:val="21"/>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were consistent with the similar period in 2022, primarily due to a 5% increase in volume, offset by a 5% decrease in revenue per day, excluding exchange rate effects. Total expenses increased 27% during the three months ended September 30, 2023 compared to the similar period in 2022, primarily due to increased fleet and interest costs. Our effective tax rates were a provision of 17.2% and 23.2% for the three months ended September 30, 2023 and 2022, respectively. As a result of these items, our net income decreased by $408 million compared to the similar period in 2022. For the three months ended September 30, 2023 and 2022, we reported earnings per diluted share of $16.78 and $21.67, respectively.</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expenses increased to 43.3% of revenue during the three months ended September 30, 2023 compared to 41.3% during the similar period in 2022, primarily due to an increase in volume, a decrease in revenue per day, excluding exchange rate effects, and cost inflation. Vehicle depreciation and lease charges increased to 14.5% of revenue during the three months ended September 30, 2023 compared to 3.8% during the similar period in 2022, primarily due to increased per unit fleet costs, excluding exchange rate effects, driven by increased fleet levels, increased depreciation rates, and a decrease in the gain on sale of vehicles. Selling, general and administrative costs were 11.1% of revenue, consistent with the similar period in 2022, primarily due to increased marketing costs, offset by a decrease in other selling, general and administrative costs. Vehicle interest costs increased to 5.8% of revenue during the three months ended September 30, 2023, compared to 3.0% during the similar period in 2022, primarily due to rising interest rates and additional funding for vehicles.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2" w:name="page33"/>
    <w:bookmarkEnd w:id="32"/>
    <w:p>
      <w:pPr>
        <w:ind w:right="20"/>
        <w:spacing w:after="0" w:line="270" w:lineRule="auto"/>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income to Adjusted EBITDA:</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50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Three Months Ended September 30,</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09"/>
        </w:trPr>
        <w:tc>
          <w:tcPr>
            <w:tcW w:w="5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2023</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920" w:type="dxa"/>
            <w:vAlign w:val="bottom"/>
            <w:tcBorders>
              <w:bottom w:val="single" w:sz="8" w:color="auto"/>
            </w:tcBorders>
          </w:tcPr>
          <w:p>
            <w:pPr>
              <w:spacing w:after="0"/>
              <w:rPr>
                <w:sz w:val="18"/>
                <w:szCs w:val="18"/>
                <w:color w:val="auto"/>
              </w:rPr>
            </w:pPr>
          </w:p>
        </w:tc>
      </w:tr>
      <w:tr>
        <w:trPr>
          <w:trHeight w:val="210"/>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r>
      <w:tr>
        <w:trPr>
          <w:trHeight w:val="203"/>
        </w:trPr>
        <w:tc>
          <w:tcPr>
            <w:tcW w:w="5040" w:type="dxa"/>
            <w:vAlign w:val="bottom"/>
          </w:tcPr>
          <w:p>
            <w:pPr>
              <w:spacing w:after="0"/>
              <w:rPr>
                <w:sz w:val="20"/>
                <w:szCs w:val="20"/>
                <w:color w:val="auto"/>
              </w:rPr>
            </w:pPr>
            <w:r>
              <w:rPr>
                <w:rFonts w:ascii="Arial" w:cs="Arial" w:eastAsia="Arial" w:hAnsi="Arial"/>
                <w:sz w:val="16"/>
                <w:szCs w:val="16"/>
                <w:color w:val="auto"/>
              </w:rPr>
              <w:t>Americas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2,736</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740</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2,703</w:t>
            </w:r>
          </w:p>
        </w:tc>
        <w:tc>
          <w:tcPr>
            <w:tcW w:w="120" w:type="dxa"/>
            <w:vAlign w:val="bottom"/>
          </w:tcPr>
          <w:p>
            <w:pPr>
              <w:spacing w:after="0"/>
              <w:rPr>
                <w:sz w:val="17"/>
                <w:szCs w:val="17"/>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1,185</w:t>
            </w:r>
          </w:p>
        </w:tc>
      </w:tr>
      <w:tr>
        <w:trPr>
          <w:trHeight w:val="216"/>
        </w:trPr>
        <w:tc>
          <w:tcPr>
            <w:tcW w:w="5040" w:type="dxa"/>
            <w:vAlign w:val="bottom"/>
          </w:tcPr>
          <w:p>
            <w:pPr>
              <w:spacing w:after="0"/>
              <w:rPr>
                <w:sz w:val="20"/>
                <w:szCs w:val="20"/>
                <w:color w:val="auto"/>
              </w:rPr>
            </w:pPr>
            <w:r>
              <w:rPr>
                <w:rFonts w:ascii="Arial" w:cs="Arial" w:eastAsia="Arial" w:hAnsi="Arial"/>
                <w:sz w:val="16"/>
                <w:szCs w:val="16"/>
                <w:color w:val="auto"/>
              </w:rPr>
              <w:t>International</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291</w:t>
            </w:r>
          </w:p>
        </w:tc>
      </w:tr>
      <w:tr>
        <w:trPr>
          <w:trHeight w:val="222"/>
        </w:trPr>
        <w:tc>
          <w:tcPr>
            <w:tcW w:w="5040" w:type="dxa"/>
            <w:vAlign w:val="bottom"/>
          </w:tcPr>
          <w:p>
            <w:pPr>
              <w:spacing w:after="0" w:line="222"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0"/>
        </w:trPr>
        <w:tc>
          <w:tcPr>
            <w:tcW w:w="5040" w:type="dxa"/>
            <w:vAlign w:val="bottom"/>
          </w:tcPr>
          <w:p>
            <w:pPr>
              <w:ind w:left="280"/>
              <w:spacing w:after="0"/>
              <w:rPr>
                <w:sz w:val="20"/>
                <w:szCs w:val="20"/>
                <w:color w:val="auto"/>
              </w:rPr>
            </w:pPr>
            <w:r>
              <w:rPr>
                <w:rFonts w:ascii="Arial" w:cs="Arial" w:eastAsia="Arial" w:hAnsi="Arial"/>
                <w:sz w:val="16"/>
                <w:szCs w:val="16"/>
                <w:color w:val="auto"/>
              </w:rPr>
              <w:t>Total Company</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3,564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3,547</w:t>
            </w:r>
          </w:p>
        </w:tc>
        <w:tc>
          <w:tcPr>
            <w:tcW w:w="1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1,460</w:t>
            </w: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5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12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Reconciliation to Adjusted EBITDA</w:t>
            </w:r>
          </w:p>
        </w:tc>
      </w:tr>
      <w:tr>
        <w:trPr>
          <w:trHeight w:val="209"/>
        </w:trPr>
        <w:tc>
          <w:tcPr>
            <w:tcW w:w="5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04"/>
        </w:trPr>
        <w:tc>
          <w:tcPr>
            <w:tcW w:w="8160" w:type="dxa"/>
            <w:vAlign w:val="bottom"/>
            <w:gridSpan w:val="3"/>
          </w:tcPr>
          <w:p>
            <w:pPr>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627</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1,031</w:t>
            </w:r>
          </w:p>
        </w:tc>
      </w:tr>
      <w:tr>
        <w:trPr>
          <w:trHeight w:val="216"/>
        </w:trPr>
        <w:tc>
          <w:tcPr>
            <w:tcW w:w="8160" w:type="dxa"/>
            <w:vAlign w:val="bottom"/>
            <w:gridSpan w:val="3"/>
          </w:tcPr>
          <w:p>
            <w:pPr>
              <w:ind w:left="120"/>
              <w:spacing w:after="0"/>
              <w:rPr>
                <w:sz w:val="20"/>
                <w:szCs w:val="20"/>
                <w:color w:val="auto"/>
              </w:rPr>
            </w:pPr>
            <w:r>
              <w:rPr>
                <w:rFonts w:ascii="Arial" w:cs="Arial" w:eastAsia="Arial" w:hAnsi="Arial"/>
                <w:sz w:val="16"/>
                <w:szCs w:val="16"/>
                <w:color w:val="auto"/>
              </w:rPr>
              <w:t>Provision for income taxes</w:t>
            </w: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w:t>
            </w:r>
          </w:p>
        </w:tc>
      </w:tr>
      <w:tr>
        <w:trPr>
          <w:trHeight w:val="209"/>
        </w:trPr>
        <w:tc>
          <w:tcPr>
            <w:tcW w:w="8160" w:type="dxa"/>
            <w:vAlign w:val="bottom"/>
            <w:gridSpan w:val="3"/>
          </w:tcPr>
          <w:p>
            <w:pPr>
              <w:spacing w:after="0"/>
              <w:rPr>
                <w:sz w:val="20"/>
                <w:szCs w:val="20"/>
                <w:color w:val="auto"/>
              </w:rPr>
            </w:pPr>
            <w:r>
              <w:rPr>
                <w:rFonts w:ascii="Arial" w:cs="Arial" w:eastAsia="Arial" w:hAnsi="Arial"/>
                <w:sz w:val="16"/>
                <w:szCs w:val="16"/>
                <w:color w:val="auto"/>
              </w:rPr>
              <w:t>Income before income taxes</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1,342</w:t>
            </w:r>
          </w:p>
        </w:tc>
      </w:tr>
      <w:tr>
        <w:trPr>
          <w:trHeight w:val="311"/>
        </w:trPr>
        <w:tc>
          <w:tcPr>
            <w:tcW w:w="540" w:type="dxa"/>
            <w:vAlign w:val="bottom"/>
          </w:tcPr>
          <w:p>
            <w:pPr>
              <w:spacing w:after="0"/>
              <w:rPr>
                <w:sz w:val="20"/>
                <w:szCs w:val="20"/>
                <w:color w:val="auto"/>
              </w:rPr>
            </w:pPr>
            <w:r>
              <w:rPr>
                <w:rFonts w:ascii="Arial" w:cs="Arial" w:eastAsia="Arial" w:hAnsi="Arial"/>
                <w:sz w:val="16"/>
                <w:szCs w:val="16"/>
                <w:color w:val="auto"/>
              </w:rPr>
              <w:t>Add:</w:t>
            </w: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Non-vehicle related depreciation and amortization</w:t>
            </w:r>
          </w:p>
        </w:tc>
        <w:tc>
          <w:tcPr>
            <w:tcW w:w="10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6"/>
        </w:trPr>
        <w:tc>
          <w:tcPr>
            <w:tcW w:w="540" w:type="dxa"/>
            <w:vAlign w:val="bottom"/>
          </w:tcPr>
          <w:p>
            <w:pPr>
              <w:spacing w:after="0"/>
              <w:rPr>
                <w:sz w:val="18"/>
                <w:szCs w:val="18"/>
                <w:color w:val="auto"/>
              </w:rPr>
            </w:pP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Interest expense related to corporate debt, net</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6"/>
                <w:szCs w:val="16"/>
                <w:color w:val="auto"/>
              </w:rPr>
              <w:t>Interest expense</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16"/>
        </w:trPr>
        <w:tc>
          <w:tcPr>
            <w:tcW w:w="54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6"/>
                <w:szCs w:val="16"/>
                <w:color w:val="auto"/>
              </w:rPr>
              <w:t>Early extinguishment of debt</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40" w:type="dxa"/>
            <w:vAlign w:val="bottom"/>
          </w:tcPr>
          <w:p>
            <w:pPr>
              <w:spacing w:after="0"/>
              <w:rPr>
                <w:sz w:val="18"/>
                <w:szCs w:val="18"/>
                <w:color w:val="auto"/>
              </w:rPr>
            </w:pP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Restructuring and other related charges</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540" w:type="dxa"/>
            <w:vAlign w:val="bottom"/>
          </w:tcPr>
          <w:p>
            <w:pPr>
              <w:spacing w:after="0"/>
              <w:rPr>
                <w:sz w:val="18"/>
                <w:szCs w:val="18"/>
                <w:color w:val="auto"/>
              </w:rPr>
            </w:pP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Transaction-related costs, net</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5"/>
        </w:trPr>
        <w:tc>
          <w:tcPr>
            <w:tcW w:w="540" w:type="dxa"/>
            <w:vAlign w:val="bottom"/>
          </w:tcPr>
          <w:p>
            <w:pPr>
              <w:spacing w:after="0"/>
              <w:rPr>
                <w:sz w:val="19"/>
                <w:szCs w:val="19"/>
                <w:color w:val="auto"/>
              </w:rPr>
            </w:pPr>
          </w:p>
        </w:tc>
        <w:tc>
          <w:tcPr>
            <w:tcW w:w="7620" w:type="dxa"/>
            <w:vAlign w:val="bottom"/>
            <w:gridSpan w:val="2"/>
          </w:tcPr>
          <w:p>
            <w:pPr>
              <w:ind w:left="200"/>
              <w:spacing w:after="0" w:line="226" w:lineRule="exact"/>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1"/>
                <w:szCs w:val="21"/>
                <w:color w:val="auto"/>
                <w:vertAlign w:val="superscript"/>
              </w:rPr>
              <w:t>(b)</w:t>
            </w:r>
          </w:p>
        </w:tc>
        <w:tc>
          <w:tcPr>
            <w:tcW w:w="1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07"/>
        </w:trPr>
        <w:tc>
          <w:tcPr>
            <w:tcW w:w="540" w:type="dxa"/>
            <w:vAlign w:val="bottom"/>
          </w:tcPr>
          <w:p>
            <w:pPr>
              <w:spacing w:after="0"/>
              <w:rPr>
                <w:sz w:val="17"/>
                <w:szCs w:val="17"/>
                <w:color w:val="auto"/>
              </w:rPr>
            </w:pP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Reported within operating expenses:</w:t>
            </w: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9"/>
        </w:trPr>
        <w:tc>
          <w:tcPr>
            <w:tcW w:w="540" w:type="dxa"/>
            <w:vAlign w:val="bottom"/>
          </w:tcPr>
          <w:p>
            <w:pPr>
              <w:spacing w:after="0"/>
              <w:rPr>
                <w:sz w:val="19"/>
                <w:szCs w:val="19"/>
                <w:color w:val="auto"/>
              </w:rPr>
            </w:pPr>
          </w:p>
        </w:tc>
        <w:tc>
          <w:tcPr>
            <w:tcW w:w="7620" w:type="dxa"/>
            <w:vAlign w:val="bottom"/>
            <w:gridSpan w:val="2"/>
          </w:tcPr>
          <w:p>
            <w:pPr>
              <w:ind w:left="420"/>
              <w:spacing w:after="0"/>
              <w:rPr>
                <w:sz w:val="20"/>
                <w:szCs w:val="20"/>
                <w:color w:val="auto"/>
              </w:rPr>
            </w:pPr>
            <w:r>
              <w:rPr>
                <w:rFonts w:ascii="Arial" w:cs="Arial" w:eastAsia="Arial" w:hAnsi="Arial"/>
                <w:sz w:val="16"/>
                <w:szCs w:val="16"/>
                <w:color w:val="auto"/>
              </w:rPr>
              <w:t>Cloud computing costs</w:t>
            </w:r>
          </w:p>
        </w:tc>
        <w:tc>
          <w:tcPr>
            <w:tcW w:w="10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8160" w:type="dxa"/>
            <w:vAlign w:val="bottom"/>
            <w:gridSpan w:val="3"/>
          </w:tcPr>
          <w:p>
            <w:pPr>
              <w:spacing w:after="0"/>
              <w:rPr>
                <w:sz w:val="20"/>
                <w:szCs w:val="20"/>
                <w:color w:val="auto"/>
              </w:rPr>
            </w:pPr>
            <w:r>
              <w:rPr>
                <w:rFonts w:ascii="Arial" w:cs="Arial" w:eastAsia="Arial" w:hAnsi="Arial"/>
                <w:sz w:val="16"/>
                <w:szCs w:val="16"/>
                <w:color w:val="auto"/>
              </w:rPr>
              <w:t>Adjusted EBITDA</w:t>
            </w: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1,460</w:t>
            </w:r>
          </w:p>
        </w:tc>
      </w:tr>
      <w:tr>
        <w:trPr>
          <w:trHeight w:val="20"/>
        </w:trPr>
        <w:tc>
          <w:tcPr>
            <w:tcW w:w="5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2"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spacing w:after="0" w:line="16" w:lineRule="exact"/>
        <w:rPr>
          <w:rFonts w:ascii="Arial" w:cs="Arial" w:eastAsia="Arial" w:hAnsi="Arial"/>
          <w:sz w:val="19"/>
          <w:szCs w:val="19"/>
          <w:color w:val="auto"/>
          <w:vertAlign w:val="superscript"/>
        </w:rPr>
      </w:pPr>
    </w:p>
    <w:p>
      <w:pPr>
        <w:ind w:left="340" w:hanging="332"/>
        <w:spacing w:after="0" w:line="219" w:lineRule="auto"/>
        <w:tabs>
          <w:tab w:leader="none" w:pos="333" w:val="left"/>
        </w:tabs>
        <w:numPr>
          <w:ilvl w:val="0"/>
          <w:numId w:val="43"/>
        </w:numPr>
        <w:rPr>
          <w:rFonts w:ascii="Arial" w:cs="Arial" w:eastAsia="Arial" w:hAnsi="Arial"/>
          <w:sz w:val="19"/>
          <w:szCs w:val="19"/>
          <w:color w:val="auto"/>
          <w:vertAlign w:val="superscript"/>
        </w:rPr>
      </w:pPr>
      <w:r>
        <w:rPr>
          <w:rFonts w:ascii="Arial" w:cs="Arial" w:eastAsia="Arial" w:hAnsi="Arial"/>
          <w:sz w:val="14"/>
          <w:szCs w:val="14"/>
          <w:color w:val="auto"/>
        </w:rPr>
        <w:t>Primarily consists of gains or losses related to our equity investment in a former subsidiary, offset by fleet related and certain administrative services provided to the same former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Americas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70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6"/>
          </w:tcPr>
          <w:p>
            <w:pPr>
              <w:jc w:val="right"/>
              <w:ind w:right="579"/>
              <w:spacing w:after="0"/>
              <w:rPr>
                <w:sz w:val="20"/>
                <w:szCs w:val="20"/>
                <w:color w:val="auto"/>
              </w:rPr>
            </w:pPr>
            <w:r>
              <w:rPr>
                <w:rFonts w:ascii="Arial" w:cs="Arial" w:eastAsia="Arial" w:hAnsi="Arial"/>
                <w:sz w:val="16"/>
                <w:szCs w:val="16"/>
                <w:b w:val="1"/>
                <w:bCs w:val="1"/>
                <w:color w:val="auto"/>
              </w:rPr>
              <w:t>Three Months Ended September 30,</w:t>
            </w:r>
          </w:p>
        </w:tc>
      </w:tr>
      <w:tr>
        <w:trPr>
          <w:trHeight w:val="209"/>
        </w:trPr>
        <w:tc>
          <w:tcPr>
            <w:tcW w:w="7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04"/>
        </w:trPr>
        <w:tc>
          <w:tcPr>
            <w:tcW w:w="704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2,736</w:t>
            </w:r>
          </w:p>
        </w:tc>
        <w:tc>
          <w:tcPr>
            <w:tcW w:w="10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2,703</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16"/>
        </w:trPr>
        <w:tc>
          <w:tcPr>
            <w:tcW w:w="704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1,185</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(38 %)</w:t>
            </w:r>
          </w:p>
        </w:tc>
      </w:tr>
    </w:tbl>
    <w:p>
      <w:pPr>
        <w:spacing w:after="0" w:line="34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Revenues increased 1% during the three months ended September 30, 2023 compared to the similar period in 2022, primarily due to a 7% increase in volume, partially offset by a 5% decrease in revenue per day.</w:t>
      </w: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expenses increased to 44.1% of revenue during the three months ended September 30, 2023 compared to 42.7% during the similar period in 2022, primarily due to an increase in volume, a decrease in revenue per day, and cost inflation. Vehicle depreciation and lease charges increased to 13.2% of revenue during the three months ended September 30, 2023 compared to 0.5% during the similar period in 2022, primarily due to increased per-unit fleet costs, driven by increased fleet levels, increased depreciation rates, and a decrease in the gain on sale of vehicles. Selling, general and administrative costs were 9.3% of revenue, consistent with the similar period in 2022, primarily due to increased marketing costs, offset by a decrease in other selling, general and administrative costs. Vehicle interest costs increased to 6.4% of revenue during the three months ended September 30, 2023 compared to 3.5% during the similar period in 2022, primarily due to rising interest rates and additional funding for vehicles.</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Adjusted EBITDA decreased 38% during the three months ended September 30, 2023 compared to the similar period in 2022, primarily due to higher per-unit fleet costs and inflationary pressures.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7080" w:type="dxa"/>
            <w:vAlign w:val="bottom"/>
          </w:tcPr>
          <w:p>
            <w:pPr>
              <w:spacing w:after="0"/>
              <w:rPr>
                <w:sz w:val="19"/>
                <w:szCs w:val="19"/>
                <w:color w:val="auto"/>
              </w:rPr>
            </w:pPr>
          </w:p>
        </w:tc>
        <w:tc>
          <w:tcPr>
            <w:tcW w:w="4040" w:type="dxa"/>
            <w:vAlign w:val="bottom"/>
            <w:tcBorders>
              <w:bottom w:val="single" w:sz="8" w:color="auto"/>
            </w:tcBorders>
            <w:gridSpan w:val="7"/>
          </w:tcPr>
          <w:p>
            <w:pPr>
              <w:jc w:val="right"/>
              <w:ind w:right="559"/>
              <w:spacing w:after="0"/>
              <w:rPr>
                <w:sz w:val="20"/>
                <w:szCs w:val="20"/>
                <w:color w:val="auto"/>
              </w:rPr>
            </w:pPr>
            <w:r>
              <w:rPr>
                <w:rFonts w:ascii="Arial" w:cs="Arial" w:eastAsia="Arial" w:hAnsi="Arial"/>
                <w:sz w:val="16"/>
                <w:szCs w:val="16"/>
                <w:b w:val="1"/>
                <w:bCs w:val="1"/>
                <w:color w:val="auto"/>
              </w:rPr>
              <w:t>Three Months Ended September 30,</w:t>
            </w:r>
          </w:p>
        </w:tc>
      </w:tr>
      <w:tr>
        <w:trPr>
          <w:trHeight w:val="209"/>
        </w:trPr>
        <w:tc>
          <w:tcPr>
            <w:tcW w:w="70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03"/>
        </w:trPr>
        <w:tc>
          <w:tcPr>
            <w:tcW w:w="7080" w:type="dxa"/>
            <w:vAlign w:val="bottom"/>
          </w:tcPr>
          <w:p>
            <w:pPr>
              <w:spacing w:after="0"/>
              <w:rPr>
                <w:sz w:val="20"/>
                <w:szCs w:val="20"/>
                <w:color w:val="auto"/>
              </w:rPr>
            </w:pPr>
            <w:r>
              <w:rPr>
                <w:rFonts w:ascii="Arial" w:cs="Arial" w:eastAsia="Arial" w:hAnsi="Arial"/>
                <w:sz w:val="16"/>
                <w:szCs w:val="16"/>
                <w:color w:val="auto"/>
              </w:rPr>
              <w:t>Revenues</w:t>
            </w: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828</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844</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(2 %)</w:t>
            </w:r>
          </w:p>
        </w:tc>
      </w:tr>
      <w:tr>
        <w:trPr>
          <w:trHeight w:val="216"/>
        </w:trPr>
        <w:tc>
          <w:tcPr>
            <w:tcW w:w="7080" w:type="dxa"/>
            <w:vAlign w:val="bottom"/>
          </w:tcPr>
          <w:p>
            <w:pPr>
              <w:spacing w:after="0"/>
              <w:rPr>
                <w:sz w:val="20"/>
                <w:szCs w:val="20"/>
                <w:color w:val="auto"/>
              </w:rPr>
            </w:pPr>
            <w:r>
              <w:rPr>
                <w:rFonts w:ascii="Arial" w:cs="Arial" w:eastAsia="Arial" w:hAnsi="Arial"/>
                <w:sz w:val="16"/>
                <w:szCs w:val="16"/>
                <w:color w:val="auto"/>
              </w:rPr>
              <w:t>Adjusted EBITDA</w:t>
            </w: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(33 %)</w:t>
            </w:r>
          </w:p>
        </w:tc>
      </w:tr>
    </w:tbl>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decreased 2% during the three months ended September 30, 2023, compared to the similar period in 2022, primarily due to a 7% decrease in revenue per day, excluding exchange rate effects, partially offset by a 1% increase in volume and a $40 million positive impact from currency exchange rate movements.</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expenses increased to 39.4% of revenue during the three months ended September 30, 2023 compared to 36.4% during the similar period in 2022, primarily due to a decrease in revenue per day, excluding exchange rate effects, and cost inflation. Vehicle depreciation and lease charges increased to 18.7% of revenue during the three months ended September 30, 2023 compared to 14.2% during the similar period in 2022, primarily due to increased per-unit fleet costs, excluding exchange rate effects, driven by a decrease in the gain on sale of vehicles. Selling, general and administrative costs increased to 14.2% of revenue during the three months ended September 30, 2023 compared to 13.2% during the similar period in 2022, primarily due to cost inflation. Vehicle interest costs increased to 4.1% of revenue during the three months ended September 30, 2023 compared to 1.6% during the similar period in 2022, primarily due to rising interest rates and additional funding for vehicles.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EBITDA decreased 33% during the three months ended September 30, 2023 compared to the similar period in 2022, primarily due to a decrease in revenue per day, excluding exchange rate effects, and higher per-unit fleet costs, partially offset by a $4 million positive impact from currency exchange rate movements.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Nine Months Ended September 30, 2023 vs. Nine Months Ended September 30, 2022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condensed results of operations comprised the following:</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5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Nine Months Ended September 30,</w:t>
            </w:r>
          </w:p>
        </w:tc>
        <w:tc>
          <w:tcPr>
            <w:tcW w:w="1220" w:type="dxa"/>
            <w:vAlign w:val="bottom"/>
            <w:tcBorders>
              <w:bottom w:val="single" w:sz="8" w:color="auto"/>
            </w:tcBorders>
          </w:tcPr>
          <w:p>
            <w:pPr>
              <w:spacing w:after="0"/>
              <w:rPr>
                <w:sz w:val="19"/>
                <w:szCs w:val="19"/>
                <w:color w:val="auto"/>
              </w:rPr>
            </w:pPr>
          </w:p>
        </w:tc>
      </w:tr>
      <w:tr>
        <w:trPr>
          <w:trHeight w:val="210"/>
        </w:trPr>
        <w:tc>
          <w:tcPr>
            <w:tcW w:w="5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220" w:type="dxa"/>
            <w:vAlign w:val="bottom"/>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82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9,244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9,223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0 %</w:t>
            </w:r>
          </w:p>
        </w:tc>
      </w:tr>
      <w:tr>
        <w:trPr>
          <w:trHeight w:val="307"/>
        </w:trPr>
        <w:tc>
          <w:tcPr>
            <w:tcW w:w="582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7"/>
        </w:trPr>
        <w:tc>
          <w:tcPr>
            <w:tcW w:w="5820" w:type="dxa"/>
            <w:vAlign w:val="bottom"/>
          </w:tcPr>
          <w:p>
            <w:pPr>
              <w:ind w:left="220"/>
              <w:spacing w:after="0"/>
              <w:rPr>
                <w:sz w:val="20"/>
                <w:szCs w:val="20"/>
                <w:color w:val="auto"/>
              </w:rPr>
            </w:pPr>
            <w:r>
              <w:rPr>
                <w:rFonts w:ascii="Arial" w:cs="Arial" w:eastAsia="Arial" w:hAnsi="Arial"/>
                <w:sz w:val="16"/>
                <w:szCs w:val="16"/>
                <w:color w:val="auto"/>
              </w:rPr>
              <w:t>Operating</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365</w:t>
            </w: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Vehicle depreciation and lease charges,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678</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142 %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Vehicle interest,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232</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Non-vehicle related depreciation and amortization</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Interest expense related to corporate debt, net: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82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22 %</w:t>
            </w:r>
          </w:p>
        </w:tc>
      </w:tr>
      <w:tr>
        <w:trPr>
          <w:trHeight w:val="216"/>
        </w:trPr>
        <w:tc>
          <w:tcPr>
            <w:tcW w:w="5820" w:type="dxa"/>
            <w:vAlign w:val="bottom"/>
          </w:tcPr>
          <w:p>
            <w:pPr>
              <w:ind w:left="340"/>
              <w:spacing w:after="0"/>
              <w:rPr>
                <w:sz w:val="20"/>
                <w:szCs w:val="20"/>
                <w:color w:val="auto"/>
              </w:rPr>
            </w:pPr>
            <w:r>
              <w:rPr>
                <w:rFonts w:ascii="Arial" w:cs="Arial" w:eastAsia="Arial" w:hAnsi="Arial"/>
                <w:sz w:val="16"/>
                <w:szCs w:val="16"/>
                <w:color w:val="auto"/>
              </w:rPr>
              <w:t>Early extinguishment of debt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Restructuring and other related charges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Transaction-related costs,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09"/>
        </w:trPr>
        <w:tc>
          <w:tcPr>
            <w:tcW w:w="5820" w:type="dxa"/>
            <w:vAlign w:val="bottom"/>
          </w:tcPr>
          <w:p>
            <w:pPr>
              <w:spacing w:after="0"/>
              <w:rPr>
                <w:sz w:val="20"/>
                <w:szCs w:val="20"/>
                <w:color w:val="auto"/>
              </w:rPr>
            </w:pPr>
            <w:r>
              <w:rPr>
                <w:rFonts w:ascii="Arial" w:cs="Arial" w:eastAsia="Arial" w:hAnsi="Arial"/>
                <w:sz w:val="16"/>
                <w:szCs w:val="16"/>
                <w:color w:val="auto"/>
              </w:rPr>
              <w:t>Total expenses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1,389</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23 %</w:t>
            </w:r>
          </w:p>
        </w:tc>
      </w:tr>
      <w:tr>
        <w:trPr>
          <w:trHeight w:val="333"/>
        </w:trPr>
        <w:tc>
          <w:tcPr>
            <w:tcW w:w="582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1,752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3,120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(1,368)</w:t>
            </w: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(44 %)</w:t>
            </w:r>
          </w:p>
        </w:tc>
      </w:tr>
      <w:tr>
        <w:trPr>
          <w:trHeight w:val="207"/>
        </w:trPr>
        <w:tc>
          <w:tcPr>
            <w:tcW w:w="5820" w:type="dxa"/>
            <w:vAlign w:val="bottom"/>
          </w:tcPr>
          <w:p>
            <w:pPr>
              <w:ind w:left="12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w:t>
            </w: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(52 %)</w:t>
            </w:r>
          </w:p>
        </w:tc>
      </w:tr>
      <w:tr>
        <w:trPr>
          <w:trHeight w:val="210"/>
        </w:trPr>
        <w:tc>
          <w:tcPr>
            <w:tcW w:w="582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(957)</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(41 %)</w:t>
            </w:r>
          </w:p>
        </w:tc>
      </w:tr>
      <w:tr>
        <w:trPr>
          <w:trHeight w:val="219"/>
        </w:trPr>
        <w:tc>
          <w:tcPr>
            <w:tcW w:w="5820" w:type="dxa"/>
            <w:vAlign w:val="bottom"/>
          </w:tcPr>
          <w:p>
            <w:pPr>
              <w:ind w:left="120"/>
              <w:spacing w:after="0"/>
              <w:rPr>
                <w:sz w:val="20"/>
                <w:szCs w:val="20"/>
                <w:color w:val="auto"/>
              </w:rPr>
            </w:pPr>
            <w:r>
              <w:rPr>
                <w:rFonts w:ascii="Arial" w:cs="Arial" w:eastAsia="Arial" w:hAnsi="Arial"/>
                <w:sz w:val="16"/>
                <w:szCs w:val="16"/>
                <w:color w:val="auto"/>
              </w:rPr>
              <w:t>Less: net income (loss) attributable to non-controlling interests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2"/>
        </w:trPr>
        <w:tc>
          <w:tcPr>
            <w:tcW w:w="5820" w:type="dxa"/>
            <w:vAlign w:val="bottom"/>
          </w:tcPr>
          <w:p>
            <w:pPr>
              <w:spacing w:after="0"/>
              <w:rPr>
                <w:sz w:val="20"/>
                <w:szCs w:val="20"/>
                <w:color w:val="auto"/>
              </w:rPr>
            </w:pPr>
            <w:r>
              <w:rPr>
                <w:rFonts w:ascii="Arial" w:cs="Arial" w:eastAsia="Arial" w:hAnsi="Arial"/>
                <w:sz w:val="16"/>
                <w:szCs w:val="16"/>
                <w:b w:val="1"/>
                <w:bCs w:val="1"/>
                <w:color w:val="auto"/>
              </w:rPr>
              <w:t>Net income attributable to Avis Budget Group, Inc.</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w:t>
            </w:r>
          </w:p>
        </w:tc>
        <w:tc>
          <w:tcPr>
            <w:tcW w:w="100" w:type="dxa"/>
            <w:vAlign w:val="bottom"/>
          </w:tcPr>
          <w:p>
            <w:pPr>
              <w:spacing w:after="0"/>
              <w:rPr>
                <w:sz w:val="18"/>
                <w:szCs w:val="18"/>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(41 %)</w:t>
            </w:r>
          </w:p>
        </w:tc>
      </w:tr>
      <w:tr>
        <w:trPr>
          <w:trHeight w:val="21"/>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during the nine months ended September 30, 2023 were consistent with the similar period in 2022, primarily due to a 5% increase in volume, partially offset by a 4% decrease in revenue per day, excluding exchange rate effects. Total expenses increased 23% during the nine months ended September 30, 2023, compared to the similar period in 2022, primarily due to increased fleet costs, interest costs, and the impact of inflation. Our effective tax rates were a provision of 21.5% and 25.3% for the nine months ended September 30, 2023 and 2022, respectively. As a result of these items, our net income decreased by $968 million compared to the similar period in 2022. For the nine months ended September 30, 2023 and 2022, we reported earnings per diluted share of $34.71 and $46.32, respectively.</w:t>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expenses increased to 46.8% of revenue during the nine months ended September 30, 2023 compared to 42.9% during the similar period in 2022, primarily due to an increase in volume, a decrease in revenue per day, excluding exchange rate effects, and cost inflation. Vehicle depreciation and lease charges increased to 12.5% of revenue during the nine months ended September 30, 2023 compared to 5.2% during the similar period in 2022, primarily due to increased per unit fleet costs, excluding exchange rate effects, driven by increased fleet levels, increased depreciation rates, and a decrease in the gain on sale of vehicles. Selling, general and administrative costs increased to 11.9% of revenue during the nine months ended September 30, 2023 compared to 11.1% during the similar period in 2022, primarily due to increased marketing costs and inflation. Vehicle interest costs increased to 5.5% of revenue during the nine months ended September 30, 2023 compared to 3.0% during the similar period in 2022, primarily due to rising interest rates and additional funding for vehicles.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5" w:name="page36"/>
    <w:bookmarkEnd w:id="35"/>
    <w:p>
      <w:pPr>
        <w:ind w:right="20"/>
        <w:spacing w:after="0" w:line="275" w:lineRule="auto"/>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income to Adjusted EBITDA:</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50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Nine Months Ended September 30,</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09"/>
        </w:trPr>
        <w:tc>
          <w:tcPr>
            <w:tcW w:w="5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2023</w:t>
            </w: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920" w:type="dxa"/>
            <w:vAlign w:val="bottom"/>
            <w:tcBorders>
              <w:bottom w:val="single" w:sz="8" w:color="auto"/>
            </w:tcBorders>
          </w:tcPr>
          <w:p>
            <w:pPr>
              <w:spacing w:after="0"/>
              <w:rPr>
                <w:sz w:val="18"/>
                <w:szCs w:val="18"/>
                <w:color w:val="auto"/>
              </w:rPr>
            </w:pPr>
          </w:p>
        </w:tc>
      </w:tr>
      <w:tr>
        <w:trPr>
          <w:trHeight w:val="209"/>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r>
      <w:tr>
        <w:trPr>
          <w:trHeight w:val="204"/>
        </w:trPr>
        <w:tc>
          <w:tcPr>
            <w:tcW w:w="5040" w:type="dxa"/>
            <w:vAlign w:val="bottom"/>
          </w:tcPr>
          <w:p>
            <w:pPr>
              <w:spacing w:after="0"/>
              <w:rPr>
                <w:sz w:val="20"/>
                <w:szCs w:val="20"/>
                <w:color w:val="auto"/>
              </w:rPr>
            </w:pPr>
            <w:r>
              <w:rPr>
                <w:rFonts w:ascii="Arial" w:cs="Arial" w:eastAsia="Arial" w:hAnsi="Arial"/>
                <w:sz w:val="16"/>
                <w:szCs w:val="16"/>
                <w:color w:val="auto"/>
              </w:rPr>
              <w:t>Americas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7,180</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1,887</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7,270</w:t>
            </w:r>
          </w:p>
        </w:tc>
        <w:tc>
          <w:tcPr>
            <w:tcW w:w="120" w:type="dxa"/>
            <w:vAlign w:val="bottom"/>
          </w:tcPr>
          <w:p>
            <w:pPr>
              <w:spacing w:after="0"/>
              <w:rPr>
                <w:sz w:val="17"/>
                <w:szCs w:val="17"/>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3,036</w:t>
            </w:r>
          </w:p>
        </w:tc>
      </w:tr>
      <w:tr>
        <w:trPr>
          <w:trHeight w:val="216"/>
        </w:trPr>
        <w:tc>
          <w:tcPr>
            <w:tcW w:w="5040" w:type="dxa"/>
            <w:vAlign w:val="bottom"/>
          </w:tcPr>
          <w:p>
            <w:pPr>
              <w:spacing w:after="0"/>
              <w:rPr>
                <w:sz w:val="20"/>
                <w:szCs w:val="20"/>
                <w:color w:val="auto"/>
              </w:rPr>
            </w:pPr>
            <w:r>
              <w:rPr>
                <w:rFonts w:ascii="Arial" w:cs="Arial" w:eastAsia="Arial" w:hAnsi="Arial"/>
                <w:sz w:val="16"/>
                <w:szCs w:val="16"/>
                <w:color w:val="auto"/>
              </w:rPr>
              <w:t>International</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1,953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497</w:t>
            </w:r>
          </w:p>
        </w:tc>
      </w:tr>
      <w:tr>
        <w:trPr>
          <w:trHeight w:val="222"/>
        </w:trPr>
        <w:tc>
          <w:tcPr>
            <w:tcW w:w="5040" w:type="dxa"/>
            <w:vAlign w:val="bottom"/>
          </w:tcPr>
          <w:p>
            <w:pPr>
              <w:spacing w:after="0" w:line="222"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0"/>
        </w:trPr>
        <w:tc>
          <w:tcPr>
            <w:tcW w:w="5040" w:type="dxa"/>
            <w:vAlign w:val="bottom"/>
          </w:tcPr>
          <w:p>
            <w:pPr>
              <w:ind w:left="280"/>
              <w:spacing w:after="0"/>
              <w:rPr>
                <w:sz w:val="20"/>
                <w:szCs w:val="20"/>
                <w:color w:val="auto"/>
              </w:rPr>
            </w:pPr>
            <w:r>
              <w:rPr>
                <w:rFonts w:ascii="Arial" w:cs="Arial" w:eastAsia="Arial" w:hAnsi="Arial"/>
                <w:sz w:val="16"/>
                <w:szCs w:val="16"/>
                <w:color w:val="auto"/>
              </w:rPr>
              <w:t>Total Company</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9,244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2,179</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9,223</w:t>
            </w:r>
          </w:p>
        </w:tc>
        <w:tc>
          <w:tcPr>
            <w:tcW w:w="1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3,475</w:t>
            </w: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5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12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Reconciliation to Adjusted EBITDA</w:t>
            </w:r>
          </w:p>
        </w:tc>
      </w:tr>
      <w:tr>
        <w:trPr>
          <w:trHeight w:val="210"/>
        </w:trPr>
        <w:tc>
          <w:tcPr>
            <w:tcW w:w="5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03"/>
        </w:trPr>
        <w:tc>
          <w:tcPr>
            <w:tcW w:w="8160" w:type="dxa"/>
            <w:vAlign w:val="bottom"/>
            <w:gridSpan w:val="3"/>
          </w:tcPr>
          <w:p>
            <w:pPr>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1,375</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2,332</w:t>
            </w:r>
          </w:p>
        </w:tc>
      </w:tr>
      <w:tr>
        <w:trPr>
          <w:trHeight w:val="216"/>
        </w:trPr>
        <w:tc>
          <w:tcPr>
            <w:tcW w:w="8160" w:type="dxa"/>
            <w:vAlign w:val="bottom"/>
            <w:gridSpan w:val="3"/>
          </w:tcPr>
          <w:p>
            <w:pPr>
              <w:ind w:left="120"/>
              <w:spacing w:after="0"/>
              <w:rPr>
                <w:sz w:val="20"/>
                <w:szCs w:val="20"/>
                <w:color w:val="auto"/>
              </w:rPr>
            </w:pPr>
            <w:r>
              <w:rPr>
                <w:rFonts w:ascii="Arial" w:cs="Arial" w:eastAsia="Arial" w:hAnsi="Arial"/>
                <w:sz w:val="16"/>
                <w:szCs w:val="16"/>
                <w:color w:val="auto"/>
              </w:rPr>
              <w:t>Provision for income taxes</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w:t>
            </w:r>
          </w:p>
        </w:tc>
      </w:tr>
      <w:tr>
        <w:trPr>
          <w:trHeight w:val="209"/>
        </w:trPr>
        <w:tc>
          <w:tcPr>
            <w:tcW w:w="8160" w:type="dxa"/>
            <w:vAlign w:val="bottom"/>
            <w:gridSpan w:val="3"/>
          </w:tcPr>
          <w:p>
            <w:pPr>
              <w:spacing w:after="0"/>
              <w:rPr>
                <w:sz w:val="20"/>
                <w:szCs w:val="20"/>
                <w:color w:val="auto"/>
              </w:rPr>
            </w:pPr>
            <w:r>
              <w:rPr>
                <w:rFonts w:ascii="Arial" w:cs="Arial" w:eastAsia="Arial" w:hAnsi="Arial"/>
                <w:sz w:val="16"/>
                <w:szCs w:val="16"/>
                <w:color w:val="auto"/>
              </w:rPr>
              <w:t>Income before income taxes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3,120</w:t>
            </w:r>
          </w:p>
        </w:tc>
      </w:tr>
      <w:tr>
        <w:trPr>
          <w:trHeight w:val="311"/>
        </w:trPr>
        <w:tc>
          <w:tcPr>
            <w:tcW w:w="540" w:type="dxa"/>
            <w:vAlign w:val="bottom"/>
          </w:tcPr>
          <w:p>
            <w:pPr>
              <w:spacing w:after="0"/>
              <w:rPr>
                <w:sz w:val="20"/>
                <w:szCs w:val="20"/>
                <w:color w:val="auto"/>
              </w:rPr>
            </w:pPr>
            <w:r>
              <w:rPr>
                <w:rFonts w:ascii="Arial" w:cs="Arial" w:eastAsia="Arial" w:hAnsi="Arial"/>
                <w:sz w:val="16"/>
                <w:szCs w:val="16"/>
                <w:color w:val="auto"/>
              </w:rPr>
              <w:t>Add:</w:t>
            </w: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Non-vehicle related depreciation and amortization</w:t>
            </w:r>
          </w:p>
        </w:tc>
        <w:tc>
          <w:tcPr>
            <w:tcW w:w="9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216"/>
        </w:trPr>
        <w:tc>
          <w:tcPr>
            <w:tcW w:w="540" w:type="dxa"/>
            <w:vAlign w:val="bottom"/>
          </w:tcPr>
          <w:p>
            <w:pPr>
              <w:spacing w:after="0"/>
              <w:rPr>
                <w:sz w:val="18"/>
                <w:szCs w:val="18"/>
                <w:color w:val="auto"/>
              </w:rPr>
            </w:pP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Interest expense related to corporate debt, net</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6"/>
                <w:szCs w:val="16"/>
                <w:color w:val="auto"/>
              </w:rPr>
              <w:t>Interest expense</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216"/>
        </w:trPr>
        <w:tc>
          <w:tcPr>
            <w:tcW w:w="54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6"/>
                <w:szCs w:val="16"/>
                <w:color w:val="auto"/>
              </w:rPr>
              <w:t>Early extinguishment of debt</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40" w:type="dxa"/>
            <w:vAlign w:val="bottom"/>
          </w:tcPr>
          <w:p>
            <w:pPr>
              <w:spacing w:after="0"/>
              <w:rPr>
                <w:sz w:val="18"/>
                <w:szCs w:val="18"/>
                <w:color w:val="auto"/>
              </w:rPr>
            </w:pP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Restructuring and other related charges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540" w:type="dxa"/>
            <w:vAlign w:val="bottom"/>
          </w:tcPr>
          <w:p>
            <w:pPr>
              <w:spacing w:after="0"/>
              <w:rPr>
                <w:sz w:val="18"/>
                <w:szCs w:val="18"/>
                <w:color w:val="auto"/>
              </w:rPr>
            </w:pP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Transaction-related costs, net</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5"/>
        </w:trPr>
        <w:tc>
          <w:tcPr>
            <w:tcW w:w="540" w:type="dxa"/>
            <w:vAlign w:val="bottom"/>
          </w:tcPr>
          <w:p>
            <w:pPr>
              <w:spacing w:after="0"/>
              <w:rPr>
                <w:sz w:val="19"/>
                <w:szCs w:val="19"/>
                <w:color w:val="auto"/>
              </w:rPr>
            </w:pPr>
          </w:p>
        </w:tc>
        <w:tc>
          <w:tcPr>
            <w:tcW w:w="7620" w:type="dxa"/>
            <w:vAlign w:val="bottom"/>
            <w:gridSpan w:val="2"/>
          </w:tcPr>
          <w:p>
            <w:pPr>
              <w:ind w:left="200"/>
              <w:spacing w:after="0" w:line="226" w:lineRule="exact"/>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1"/>
                <w:szCs w:val="21"/>
                <w:color w:val="auto"/>
                <w:vertAlign w:val="superscript"/>
              </w:rPr>
              <w:t>(b)</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07"/>
        </w:trPr>
        <w:tc>
          <w:tcPr>
            <w:tcW w:w="540" w:type="dxa"/>
            <w:vAlign w:val="bottom"/>
          </w:tcPr>
          <w:p>
            <w:pPr>
              <w:spacing w:after="0"/>
              <w:rPr>
                <w:sz w:val="17"/>
                <w:szCs w:val="17"/>
                <w:color w:val="auto"/>
              </w:rPr>
            </w:pP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Reported within operating expenses:</w:t>
            </w: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54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6"/>
                <w:szCs w:val="16"/>
                <w:color w:val="auto"/>
              </w:rPr>
              <w:t>Cloud computing costs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54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6"/>
                <w:szCs w:val="16"/>
                <w:color w:val="auto"/>
              </w:rPr>
              <w:t>COVID-19 charges</w:t>
            </w:r>
          </w:p>
        </w:tc>
        <w:tc>
          <w:tcPr>
            <w:tcW w:w="9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540" w:type="dxa"/>
            <w:vAlign w:val="bottom"/>
          </w:tcPr>
          <w:p>
            <w:pPr>
              <w:spacing w:after="0"/>
              <w:rPr>
                <w:sz w:val="19"/>
                <w:szCs w:val="19"/>
                <w:color w:val="auto"/>
              </w:rPr>
            </w:pPr>
          </w:p>
        </w:tc>
        <w:tc>
          <w:tcPr>
            <w:tcW w:w="7620" w:type="dxa"/>
            <w:vAlign w:val="bottom"/>
            <w:gridSpan w:val="2"/>
          </w:tcPr>
          <w:p>
            <w:pPr>
              <w:ind w:left="420"/>
              <w:spacing w:after="0"/>
              <w:rPr>
                <w:sz w:val="20"/>
                <w:szCs w:val="20"/>
                <w:color w:val="auto"/>
              </w:rPr>
            </w:pPr>
            <w:r>
              <w:rPr>
                <w:rFonts w:ascii="Arial" w:cs="Arial" w:eastAsia="Arial" w:hAnsi="Arial"/>
                <w:sz w:val="16"/>
                <w:szCs w:val="16"/>
                <w:color w:val="auto"/>
              </w:rPr>
              <w:t>Legal matters, net</w:t>
            </w: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8160" w:type="dxa"/>
            <w:vAlign w:val="bottom"/>
            <w:gridSpan w:val="3"/>
          </w:tcPr>
          <w:p>
            <w:pPr>
              <w:spacing w:after="0"/>
              <w:rPr>
                <w:sz w:val="20"/>
                <w:szCs w:val="20"/>
                <w:color w:val="auto"/>
              </w:rPr>
            </w:pPr>
            <w:r>
              <w:rPr>
                <w:rFonts w:ascii="Arial" w:cs="Arial" w:eastAsia="Arial" w:hAnsi="Arial"/>
                <w:sz w:val="16"/>
                <w:szCs w:val="16"/>
                <w:color w:val="auto"/>
              </w:rPr>
              <w:t>Adjusted EBITDA</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2,179</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3,475</w:t>
            </w:r>
          </w:p>
        </w:tc>
      </w:tr>
      <w:tr>
        <w:trPr>
          <w:trHeight w:val="20"/>
        </w:trPr>
        <w:tc>
          <w:tcPr>
            <w:tcW w:w="5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2"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spacing w:after="0" w:line="3" w:lineRule="exact"/>
        <w:rPr>
          <w:rFonts w:ascii="Arial" w:cs="Arial" w:eastAsia="Arial" w:hAnsi="Arial"/>
          <w:sz w:val="19"/>
          <w:szCs w:val="19"/>
          <w:color w:val="auto"/>
          <w:vertAlign w:val="superscript"/>
        </w:rPr>
      </w:pPr>
    </w:p>
    <w:p>
      <w:pPr>
        <w:ind w:left="340" w:hanging="332"/>
        <w:spacing w:after="0" w:line="219" w:lineRule="auto"/>
        <w:tabs>
          <w:tab w:leader="none" w:pos="333" w:val="left"/>
        </w:tabs>
        <w:numPr>
          <w:ilvl w:val="0"/>
          <w:numId w:val="44"/>
        </w:numPr>
        <w:rPr>
          <w:rFonts w:ascii="Arial" w:cs="Arial" w:eastAsia="Arial" w:hAnsi="Arial"/>
          <w:sz w:val="19"/>
          <w:szCs w:val="19"/>
          <w:color w:val="auto"/>
          <w:vertAlign w:val="superscript"/>
        </w:rPr>
      </w:pPr>
      <w:r>
        <w:rPr>
          <w:rFonts w:ascii="Arial" w:cs="Arial" w:eastAsia="Arial" w:hAnsi="Arial"/>
          <w:sz w:val="14"/>
          <w:szCs w:val="14"/>
          <w:color w:val="auto"/>
        </w:rPr>
        <w:t>Primarily consists of gains or losses related to our equity investment in a former subsidiary, offset by fleet related and certain administrative services provided to the same former subsidiary.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70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6"/>
          </w:tcPr>
          <w:p>
            <w:pPr>
              <w:jc w:val="right"/>
              <w:ind w:right="61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7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03"/>
        </w:trPr>
        <w:tc>
          <w:tcPr>
            <w:tcW w:w="704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7,180</w:t>
            </w:r>
          </w:p>
        </w:tc>
        <w:tc>
          <w:tcPr>
            <w:tcW w:w="10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7,270</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16"/>
        </w:trPr>
        <w:tc>
          <w:tcPr>
            <w:tcW w:w="704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3,036</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(38 %)</w:t>
            </w:r>
          </w:p>
        </w:tc>
      </w:tr>
    </w:tbl>
    <w:p>
      <w:pPr>
        <w:spacing w:after="0" w:line="34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Revenues decreased 1% during the nine months ended September 30, 2023 compared to the similar period in 2022, primarily due to a 5% decrease in revenue per day, partially offset by a 4% increase in volume.</w:t>
      </w: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expenses increased to 47.1% of revenue during the nine months ended September 30, 2023 compared to 42.9% during the similar period in 2022, primarily due to an increase in volume, a decrease in revenue per day, and cost inflation. Vehicle depreciation and lease charges increased to 11.0% of revenue during the nine months ended September 30, 2023 compared to 2.3% during the similar period in 2022, primarily due to increased per-unit fleet costs, driven by increased fleet levels, increased depreciation rates, and a decrease in the gain on sale of vehicles. Selling, general and administrative costs were 9.7% of revenue, consistent with the similar period in 2022, primarily due to increased marketing costs, offset by a decrease in other selling, general and administrative costs. Vehicle interest costs increased to 6.0% of revenue during the nine months ended September 30, 2023 compared to 3.4% during the similar period in 2022, primarily due to rising interest rates and additional funding for vehicles.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36" w:name="page37"/>
    <w:bookmarkEnd w:id="36"/>
    <w:p>
      <w:pPr>
        <w:jc w:val="both"/>
        <w:spacing w:after="0" w:line="275" w:lineRule="auto"/>
        <w:rPr>
          <w:sz w:val="20"/>
          <w:szCs w:val="20"/>
          <w:color w:val="auto"/>
        </w:rPr>
      </w:pPr>
      <w:r>
        <w:rPr>
          <w:rFonts w:ascii="Arial" w:cs="Arial" w:eastAsia="Arial" w:hAnsi="Arial"/>
          <w:sz w:val="18"/>
          <w:szCs w:val="18"/>
          <w:color w:val="auto"/>
        </w:rPr>
        <w:t>Adjusted EBITDA decreased 38% during the nine months ended September 30, 2023 compared to the similar period in 2022, primarily due to higher per-unit fleet costs and inflationary pressures.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70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6"/>
          </w:tcPr>
          <w:p>
            <w:pPr>
              <w:jc w:val="right"/>
              <w:ind w:right="619"/>
              <w:spacing w:after="0"/>
              <w:rPr>
                <w:sz w:val="20"/>
                <w:szCs w:val="20"/>
                <w:color w:val="auto"/>
              </w:rPr>
            </w:pPr>
            <w:r>
              <w:rPr>
                <w:rFonts w:ascii="Arial" w:cs="Arial" w:eastAsia="Arial" w:hAnsi="Arial"/>
                <w:sz w:val="16"/>
                <w:szCs w:val="16"/>
                <w:b w:val="1"/>
                <w:bCs w:val="1"/>
                <w:color w:val="auto"/>
              </w:rPr>
              <w:t>Nine Months Ended September 30,</w:t>
            </w:r>
          </w:p>
        </w:tc>
      </w:tr>
      <w:tr>
        <w:trPr>
          <w:trHeight w:val="209"/>
        </w:trPr>
        <w:tc>
          <w:tcPr>
            <w:tcW w:w="7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04"/>
        </w:trPr>
        <w:tc>
          <w:tcPr>
            <w:tcW w:w="704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2,064</w:t>
            </w:r>
          </w:p>
        </w:tc>
        <w:tc>
          <w:tcPr>
            <w:tcW w:w="10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1,953</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6 %</w:t>
            </w:r>
          </w:p>
        </w:tc>
      </w:tr>
      <w:tr>
        <w:trPr>
          <w:trHeight w:val="216"/>
        </w:trPr>
        <w:tc>
          <w:tcPr>
            <w:tcW w:w="704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(25 %)</w:t>
            </w:r>
          </w:p>
        </w:tc>
      </w:tr>
    </w:tbl>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increased 6% during the nine months ended September 30, 2023 compared to the similar period in 2022, primarily due to a 7% increase in volume and a $5 million positive impact from currency exchange rate movements, partially offset by a 1% decrease in revenue per day, excluding exchange rate effects.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expenses increased to 44.8% of revenue during the nine months ended September 30, 2023 compared to 42.5% during the similar period in 2022, primarily due to a decrease in revenue per day, excluding exchange rate effects, and cost inflation. Vehicle depreciation and lease charges increased to 17.7% of revenue during the nine months ended September 30, 2023 compared to 15.9% during the similar period in 2022, primarily due to increased per-unit fleet costs, excluding exchange rate effects, driven by increased depreciation rates and a decrease in the gain on sale of vehicles. Selling, general and administrative costs increased to 15.6% of revenue during the nine months ended September 30, 2023 compared to 14.4% during the similar period in 2022, primarily due to increased marketing costs and inflation. Vehicle interest costs increased to 3.9% of revenue during the nine months ended September 30, 2023 compared to 1.9% during the similar period in 2022, primarily due to rising interest rates and additional funding for vehicles.</w:t>
      </w:r>
    </w:p>
    <w:p>
      <w:pPr>
        <w:spacing w:after="0" w:line="23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Adjusted EBITDA decreased 25% during the nine months ended September 30, 2023 compared to the similar period in 2022, primarily due to higher per-unit fleet costs, inflationary pressures, and a $4 million negative impact from currency exchange rate movements.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6"/>
                <w:szCs w:val="16"/>
                <w:color w:val="auto"/>
              </w:rPr>
            </w:pPr>
          </w:p>
        </w:tc>
        <w:tc>
          <w:tcPr>
            <w:tcW w:w="16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December 31, 2022</w:t>
            </w:r>
          </w:p>
        </w:tc>
        <w:tc>
          <w:tcPr>
            <w:tcW w:w="300" w:type="dxa"/>
            <w:vAlign w:val="bottom"/>
          </w:tcPr>
          <w:p>
            <w:pPr>
              <w:spacing w:after="0"/>
              <w:rPr>
                <w:sz w:val="16"/>
                <w:szCs w:val="16"/>
                <w:color w:val="auto"/>
              </w:rPr>
            </w:pPr>
          </w:p>
        </w:tc>
        <w:tc>
          <w:tcPr>
            <w:tcW w:w="12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040" w:type="dxa"/>
            <w:vAlign w:val="bottom"/>
          </w:tcPr>
          <w:p>
            <w:pPr>
              <w:spacing w:after="0"/>
              <w:rPr>
                <w:sz w:val="20"/>
                <w:szCs w:val="20"/>
                <w:color w:val="auto"/>
              </w:rPr>
            </w:pPr>
            <w:r>
              <w:rPr>
                <w:rFonts w:ascii="Arial" w:cs="Arial" w:eastAsia="Arial" w:hAnsi="Arial"/>
                <w:sz w:val="16"/>
                <w:szCs w:val="16"/>
                <w:color w:val="auto"/>
              </w:rPr>
              <w:t>Total assets exclusive of assets under vehicle programs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9,220</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8,499</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Total liabilities exclusive of liabilities under vehicle programs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10,197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9,656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Assets under vehicle programs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23,084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17,428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5,656</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Liabilities under vehicle programs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22,135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16,971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5,164</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increases in assets and liabilities under vehicle programs are principally related to the increase in the size and cost of our vehicle rental fleet.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6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37" w:name="page38"/>
    <w:bookmarkEnd w:id="37"/>
    <w:p>
      <w:pPr>
        <w:jc w:val="both"/>
        <w:spacing w:after="0" w:line="258" w:lineRule="auto"/>
        <w:rPr>
          <w:sz w:val="20"/>
          <w:szCs w:val="20"/>
          <w:color w:val="auto"/>
        </w:rPr>
      </w:pPr>
      <w:r>
        <w:rPr>
          <w:rFonts w:ascii="Arial" w:cs="Arial" w:eastAsia="Arial" w:hAnsi="Arial"/>
          <w:sz w:val="18"/>
          <w:szCs w:val="18"/>
          <w:color w:val="auto"/>
        </w:rPr>
        <w:t>In January 2023, our Avis Budget Rental Car Funding (AESOP) LLC subsidiary issued $500 million and $350 million of asset-backed notes to investors with an expected final payment date of April 2028 and October 2026, respectively, and a weighted average interest rate of 5.36% and 5.31%, respectively. The proceeds from these borrowings were used to repay maturing vehicle-backed debt and the acquisition of rental cars in the United States.</w:t>
      </w:r>
    </w:p>
    <w:p>
      <w:pPr>
        <w:spacing w:after="0" w:line="2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April 2023, our Avis Budget Rental Car Funding (AESOP) LLC subsidiary issued $450 million and $550 million of asset-backed notes to investors with an expected final payment date of February 2027 and June 2028, respectively, and a weighted average interest rate of 5.67% and 5.76%, respectively. The proceeds from these borrowings were used to repay maturing vehicle-backed debt and the acquisition of rental cars in the United States.</w:t>
      </w:r>
    </w:p>
    <w:p>
      <w:pPr>
        <w:spacing w:after="0" w:line="2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June 2023, our Avis Budget Rental Car Funding (AESOP) LLC subsidiary issued $476 million and $526 million of asset-backed notes to investors with an expected final payment date of April 2027 and December 2028, respectively, and a weighted average interest rate of 5.91% and 5.98%, respectively. The proceeds from these borrowings were used to repay maturing vehicle-backed debt and the acquisition of rental cars in the United States.</w:t>
      </w: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2023, we issued €400 million of 7.25% euro-denominated Senior Notes due July 2030, at par, with interest payable semi-annually. In September 2023, we used net proceeds from the offering primarily to redeem €300 million of our outstanding 4.125% euro-denominated Senior Notes due November 2024 plus accrued interest.</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September 2023, our Avis Budget Rental Car Funding (AESOP) LLC subsidiary issued $300 million and $700 million of asset-backed notes to investors with an expected final payment date of August 2027 and February 2029, respectively, and a weighted average interest rate of 6.09% and 6.21%, respectively. The proceeds from these borrowings were used to repay maturing vehicle-backed debt and the acquisition of rental cars in the United States.</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62626"/>
        </w:rPr>
        <w:t xml:space="preserve">Our Board of Directors has authorized the repurchase of up to </w:t>
      </w:r>
      <w:r>
        <w:rPr>
          <w:rFonts w:ascii="Arial" w:cs="Arial" w:eastAsia="Arial" w:hAnsi="Arial"/>
          <w:sz w:val="18"/>
          <w:szCs w:val="18"/>
          <w:color w:val="000000"/>
        </w:rPr>
        <w:t>$8.1 billion</w:t>
      </w:r>
      <w:r>
        <w:rPr>
          <w:rFonts w:ascii="Arial" w:cs="Arial" w:eastAsia="Arial" w:hAnsi="Arial"/>
          <w:sz w:val="18"/>
          <w:szCs w:val="18"/>
          <w:color w:val="262626"/>
        </w:rPr>
        <w:t xml:space="preserve"> of our common stock under a plan originally approved in 2013 and subsequently expanded, most recently in </w:t>
      </w:r>
      <w:r>
        <w:rPr>
          <w:rFonts w:ascii="Arial" w:cs="Arial" w:eastAsia="Arial" w:hAnsi="Arial"/>
          <w:sz w:val="18"/>
          <w:szCs w:val="18"/>
          <w:color w:val="000000"/>
        </w:rPr>
        <w:t>February 2023.</w:t>
      </w:r>
      <w:r>
        <w:rPr>
          <w:rFonts w:ascii="Arial" w:cs="Arial" w:eastAsia="Arial" w:hAnsi="Arial"/>
          <w:sz w:val="18"/>
          <w:szCs w:val="18"/>
          <w:color w:val="262626"/>
        </w:rPr>
        <w:t xml:space="preserve"> Our stock repurchases may occur through open market purchases, privately negotiated transactions or trading plans pursuant to Rule 10b5-1 of the Securities Exchange Act of 1934, as amended. The amount and timing of specific repurchases are subject to market conditions, applicable legal requirements, restricted payment capacity under our debt instruments and other factors. The repurchase program may be suspended, modified or discontinued at any time without prior notice. The repurchase program has no set expiration or termination date. D</w:t>
      </w:r>
      <w:r>
        <w:rPr>
          <w:rFonts w:ascii="Arial" w:cs="Arial" w:eastAsia="Arial" w:hAnsi="Arial"/>
          <w:sz w:val="18"/>
          <w:szCs w:val="18"/>
          <w:color w:val="000000"/>
        </w:rPr>
        <w:t>uring the nine months ended September 30, 2023,</w:t>
      </w:r>
      <w:r>
        <w:rPr>
          <w:rFonts w:ascii="Arial" w:cs="Arial" w:eastAsia="Arial" w:hAnsi="Arial"/>
          <w:sz w:val="18"/>
          <w:szCs w:val="18"/>
          <w:color w:val="262626"/>
        </w:rPr>
        <w:t xml:space="preserve"> we repurchased approximately 2.9 million shares of common stock at a cost of approximately $633 million (excluding excise taxes due under the Inflation Reduction Act of 2022) under the program. </w:t>
      </w:r>
      <w:r>
        <w:rPr>
          <w:rFonts w:ascii="Arial" w:cs="Arial" w:eastAsia="Arial" w:hAnsi="Arial"/>
          <w:sz w:val="18"/>
          <w:szCs w:val="18"/>
          <w:color w:val="000000"/>
        </w:rPr>
        <w:t>As of September 30, 2023, approximately $1.1 billion of authorization remained available to</w:t>
      </w:r>
      <w:r>
        <w:rPr>
          <w:rFonts w:ascii="Arial" w:cs="Arial" w:eastAsia="Arial" w:hAnsi="Arial"/>
          <w:sz w:val="18"/>
          <w:szCs w:val="18"/>
          <w:color w:val="262626"/>
        </w:rPr>
        <w:t xml:space="preserve"> </w:t>
      </w:r>
      <w:r>
        <w:rPr>
          <w:rFonts w:ascii="Arial" w:cs="Arial" w:eastAsia="Arial" w:hAnsi="Arial"/>
          <w:sz w:val="18"/>
          <w:szCs w:val="18"/>
          <w:color w:val="000000"/>
        </w:rPr>
        <w:t>repurchase common stock under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CASH FLOWS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w:t>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7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7"/>
          </w:tcPr>
          <w:p>
            <w:pPr>
              <w:jc w:val="right"/>
              <w:ind w:right="39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7600" w:type="dxa"/>
            <w:vAlign w:val="bottom"/>
            <w:vMerge w:val="restart"/>
          </w:tcPr>
          <w:p>
            <w:pPr>
              <w:spacing w:after="0"/>
              <w:rPr>
                <w:sz w:val="20"/>
                <w:szCs w:val="20"/>
                <w:color w:val="auto"/>
              </w:rPr>
            </w:pPr>
            <w:r>
              <w:rPr>
                <w:rFonts w:ascii="Arial" w:cs="Arial" w:eastAsia="Arial" w:hAnsi="Arial"/>
                <w:sz w:val="16"/>
                <w:szCs w:val="16"/>
                <w:color w:val="auto"/>
              </w:rPr>
              <w:t>Cash provided by (used in):</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90"/>
        </w:trPr>
        <w:tc>
          <w:tcPr>
            <w:tcW w:w="76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420"/>
              <w:spacing w:after="0"/>
              <w:rPr>
                <w:sz w:val="20"/>
                <w:szCs w:val="20"/>
                <w:color w:val="auto"/>
              </w:rPr>
            </w:pPr>
            <w:r>
              <w:rPr>
                <w:rFonts w:ascii="Arial" w:cs="Arial" w:eastAsia="Arial" w:hAnsi="Arial"/>
                <w:sz w:val="16"/>
                <w:szCs w:val="16"/>
                <w:color w:val="auto"/>
              </w:rPr>
              <w:t>Operating activities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3,035</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3,862</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(827)</w:t>
            </w:r>
          </w:p>
        </w:tc>
        <w:tc>
          <w:tcPr>
            <w:tcW w:w="0" w:type="dxa"/>
            <w:vAlign w:val="bottom"/>
          </w:tcPr>
          <w:p>
            <w:pPr>
              <w:spacing w:after="0"/>
              <w:rPr>
                <w:sz w:val="1"/>
                <w:szCs w:val="1"/>
                <w:color w:val="auto"/>
              </w:rPr>
            </w:pPr>
          </w:p>
        </w:tc>
      </w:tr>
      <w:tr>
        <w:trPr>
          <w:trHeight w:val="216"/>
        </w:trPr>
        <w:tc>
          <w:tcPr>
            <w:tcW w:w="7600" w:type="dxa"/>
            <w:vAlign w:val="bottom"/>
          </w:tcPr>
          <w:p>
            <w:pPr>
              <w:ind w:left="420"/>
              <w:spacing w:after="0"/>
              <w:rPr>
                <w:sz w:val="20"/>
                <w:szCs w:val="20"/>
                <w:color w:val="auto"/>
              </w:rPr>
            </w:pPr>
            <w:r>
              <w:rPr>
                <w:rFonts w:ascii="Arial" w:cs="Arial" w:eastAsia="Arial" w:hAnsi="Arial"/>
                <w:sz w:val="16"/>
                <w:szCs w:val="16"/>
                <w:color w:val="auto"/>
              </w:rPr>
              <w:t>Investing activities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(3,354)</w:t>
            </w:r>
          </w:p>
        </w:tc>
        <w:tc>
          <w:tcPr>
            <w:tcW w:w="0" w:type="dxa"/>
            <w:vAlign w:val="bottom"/>
          </w:tcPr>
          <w:p>
            <w:pPr>
              <w:spacing w:after="0"/>
              <w:rPr>
                <w:sz w:val="1"/>
                <w:szCs w:val="1"/>
                <w:color w:val="auto"/>
              </w:rPr>
            </w:pPr>
          </w:p>
        </w:tc>
      </w:tr>
      <w:tr>
        <w:trPr>
          <w:trHeight w:val="216"/>
        </w:trPr>
        <w:tc>
          <w:tcPr>
            <w:tcW w:w="7600" w:type="dxa"/>
            <w:vAlign w:val="bottom"/>
          </w:tcPr>
          <w:p>
            <w:pPr>
              <w:ind w:left="420"/>
              <w:spacing w:after="0"/>
              <w:rPr>
                <w:sz w:val="20"/>
                <w:szCs w:val="20"/>
                <w:color w:val="auto"/>
              </w:rPr>
            </w:pPr>
            <w:r>
              <w:rPr>
                <w:rFonts w:ascii="Arial" w:cs="Arial" w:eastAsia="Arial" w:hAnsi="Arial"/>
                <w:sz w:val="16"/>
                <w:szCs w:val="16"/>
                <w:color w:val="auto"/>
              </w:rPr>
              <w:t>Financing activities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4,116</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6"/>
                <w:szCs w:val="16"/>
                <w:color w:val="auto"/>
              </w:rPr>
              <w:t>Effect of changes in exchange rates on cash and cash equivalents, program and restricted cash</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20"/>
                <w:szCs w:val="20"/>
                <w:color w:val="auto"/>
              </w:rPr>
            </w:pPr>
            <w:r>
              <w:rPr>
                <w:rFonts w:ascii="Arial" w:cs="Arial" w:eastAsia="Arial" w:hAnsi="Arial"/>
                <w:sz w:val="16"/>
                <w:szCs w:val="16"/>
                <w:color w:val="auto"/>
              </w:rPr>
              <w:t>Net increase in cash and cash equivalents, program and restricted cash</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6"/>
                <w:szCs w:val="16"/>
                <w:color w:val="auto"/>
              </w:rPr>
              <w:t>Cash and cash equivalents, program and restricted cash, beginning of period</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2"/>
        </w:trPr>
        <w:tc>
          <w:tcPr>
            <w:tcW w:w="7600" w:type="dxa"/>
            <w:vAlign w:val="bottom"/>
          </w:tcPr>
          <w:p>
            <w:pPr>
              <w:spacing w:after="0"/>
              <w:rPr>
                <w:sz w:val="20"/>
                <w:szCs w:val="20"/>
                <w:color w:val="auto"/>
              </w:rPr>
            </w:pPr>
            <w:r>
              <w:rPr>
                <w:rFonts w:ascii="Arial" w:cs="Arial" w:eastAsia="Arial" w:hAnsi="Arial"/>
                <w:sz w:val="16"/>
                <w:szCs w:val="16"/>
                <w:color w:val="auto"/>
              </w:rPr>
              <w:t>Cash and cash equivalents, program and restricted cash, end of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7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decrease in cash provided by operating activities during the nine months ended September 30, 2023 compared with the similar period in 2022 is primarily due to the decrease in our net income.</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increase in cash used in investing activities during the nine months ended September 30, 2023 compared with the similar period in 2022 is primarily due to the increase in our net investment in vehicles.</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cash provided by financing activities during the nine months ended September 30, 2023 compared with the similar period in 2022 is primarily due to the increase in our net borrowings under vehicle programs, offset by decreases in our repurchases of common stock and our net corporate borrowings.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2023, we had approximately $23.4 billion of indebtedness, including corporate indebtedness of approximately $4.8 billion and debt under vehicle programs of approximately $18.7 billion. For information regarding our debt and borrowing arrangements, see Notes 1, 11 and 12 to our Consolidated Condensed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primary liquidity needs include the procurement of rental vehicles to be used in our operations, servicing of corporate and vehicle-related debt and the payment of operating expenses. The present intention of management is to reinvest the undistributed earnings of our foreign subsidiaries indefinitely into our foreign operations. Our primary sources of funding are operating revenue, cash received upon the sale of vehicles, borrowings under our vehicle-backed borrowing arrangements and our senior revolving credit facility, and other financing activities.</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liquidity has in the past been, and could in the future be, negatively affected by any financial market disruptions or the absence of a recovery or worsening of the U.S. and worldwide economies, which may result in unfavorable conditions in the mobility industry, in the asset-backed financing market and in the credit markets generally. We believe these factors have affected and could further affect the debt ratings assigned to us by credit rating agencies and the cost of our borrowings. Additionally, a worsening or prolonged downturn in the worldwide economy or a disruption in the credit markets could further impact our liquidity due to (i) decreased demand and pricing for vehicles in the used-vehicle market, (ii) increased costs associated with, and/or reduced capacity or increased collateral needs under, our financings, (iii) the adverse impact of vehicle manufacturers being unable or unwilling to honor their obligations to repurchase or guarantee the depreciation on the related program vehicles and (iv) disruption in our ability to obtain financing due to negative credit events specific to us or affecting the overall debt market.</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September 30, 2023, we had $ 572 million of available cash and cash equivalents and access to available borrowings under our revolving credit facility of approximately $464 million, providing us with access to an approximate $1.0 billion of total liquidity.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9" w:name="page40"/>
    <w:bookmarkEnd w:id="39"/>
    <w:p>
      <w:pPr>
        <w:jc w:val="both"/>
        <w:spacing w:after="0" w:line="258"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consolidated first lien leverage ratio requirement and other covenants associated with our senior credit facilities and other borrowings. As of September 30, 2023, we were in compliance with the financial covenants governing our indebtedness. For additional information regarding our liquidity risks, see Part I, Item 1A, “Risk Factors” of our 2022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future contractual obligations have not changed significantly from the amounts reported within our 2022 Form 10-K with the exception of our commitment to purchase vehicles, which decreased by approximately $0.4 billion from December 31, 2022, to approximately $6.3 billion as of September 30, 2023 due to seasonality. Changes to our obligations related to corporate indebtedness and debt under vehicle programs are presented above within the section titled “Liquidity and Capital Resources—Debt and Financing Arrangements” and also within Notes 11 and 12 to our Consolidated Condensed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(GAAP), we are required to make estimates and assumptions that affect the amounts reported therein. Several of the estimates and assumptions we are required to make relate to matters that are inherently uncertain as they relate to future events and/or events that are outside of our control. If there is a significant unfavorable change to current conditions, it could result in a material adverse impact to our consolidated results of operations, financial position and liquidity. We believe that the estimates and assumptions we used when preparing our financial statements were the most appropriate at that time. Presented within the section titled “Critical Accounting Estimates” of our 2022 Form 10-K are the accounting policies (related to goodwill and other indefinite-lived intangible assets, vehicles, income taxes and public liability, property damage and other insurance liabilities) that we believe require subjective and complex judgments that could potentially affect reported results. There have been no significant changes to those accounting policies or our assessment of which accounting policies we would consider to be critical accounting policies.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detailed information regarding new accounting standards and their impact on our business, see Note 1 to our Consolidated Condensed Financial Statements.</w:t>
      </w:r>
    </w:p>
    <w:p>
      <w:pPr>
        <w:spacing w:after="0" w:line="1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September 30, 2023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gasoline. We anticipate that such commodity risk will remain a market risk exposure for the foreseeable future. We determined that a 10% change in the price of unleaded gasoline would not have a material impact on our earnings for the period ended September 30, 2023. For additional information regarding our long-term borrowings and financial instruments, see Notes 11, 12 and 17 to our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40" w:name="page41"/>
    <w:bookmarkEnd w:id="40"/>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jc w:val="both"/>
        <w:ind w:left="340" w:hanging="332"/>
        <w:spacing w:after="0" w:line="258" w:lineRule="auto"/>
        <w:tabs>
          <w:tab w:leader="none" w:pos="33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September 30, 2023.</w:t>
      </w:r>
    </w:p>
    <w:p>
      <w:pPr>
        <w:spacing w:after="0" w:line="210" w:lineRule="exact"/>
        <w:rPr>
          <w:rFonts w:ascii="Arial" w:cs="Arial" w:eastAsia="Arial" w:hAnsi="Arial"/>
          <w:sz w:val="18"/>
          <w:szCs w:val="18"/>
          <w:color w:val="auto"/>
        </w:rPr>
      </w:pPr>
    </w:p>
    <w:p>
      <w:pPr>
        <w:jc w:val="both"/>
        <w:ind w:left="340" w:hanging="332"/>
        <w:spacing w:after="0" w:line="266" w:lineRule="auto"/>
        <w:tabs>
          <w:tab w:leader="none" w:pos="33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third quarter of 2023, there was no change in our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information regarding our legal proceedings, see Note 13 – Commitments and Contingencies to our Consolidated Condensed Financial Statements and refer to our 2022 Form 10-K.</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SEC regulations require us to disclose certain information about proceedings arising under federal, state or local environmental provisions if we reasonably believe that such proceedings may result in monetary sanctions above a stated threshold. In accordance with these regulations, we use a threshold of $1 million for purposes of determining whether disclosure of any such proceedings is required pursuant to this item.</w:t>
      </w:r>
    </w:p>
    <w:p>
      <w:pPr>
        <w:spacing w:after="0" w:line="20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During the nine months ended September 30, 2023, we had no material developments to report with respect to our risk factors. For additional information regarding our risk factors, please refer to our 2022 Form 10-K.</w:t>
      </w:r>
    </w:p>
    <w:p>
      <w:pPr>
        <w:spacing w:after="0" w:line="1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80" w:lineRule="exact"/>
        <w:rPr>
          <w:sz w:val="20"/>
          <w:szCs w:val="20"/>
          <w:color w:val="auto"/>
        </w:rPr>
      </w:pPr>
    </w:p>
    <w:tbl>
      <w:tblPr>
        <w:tblLayout w:type="fixed"/>
        <w:tblInd w:w="940" w:type="dxa"/>
        <w:tblCellMar>
          <w:top w:w="0" w:type="dxa"/>
          <w:left w:w="0" w:type="dxa"/>
          <w:bottom w:w="0" w:type="dxa"/>
          <w:right w:w="0" w:type="dxa"/>
        </w:tblCellMar>
      </w:tblPr>
      <w:tr>
        <w:trPr>
          <w:trHeight w:val="184"/>
        </w:trPr>
        <w:tc>
          <w:tcPr>
            <w:tcW w:w="1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9"/>
              </w:rPr>
              <w:t>Total Number of Shares</w:t>
            </w:r>
          </w:p>
        </w:tc>
        <w:tc>
          <w:tcPr>
            <w:tcW w:w="120" w:type="dxa"/>
            <w:vAlign w:val="bottom"/>
          </w:tcPr>
          <w:p>
            <w:pPr>
              <w:spacing w:after="0"/>
              <w:rPr>
                <w:sz w:val="16"/>
                <w:szCs w:val="16"/>
                <w:color w:val="auto"/>
              </w:rPr>
            </w:pPr>
          </w:p>
        </w:tc>
        <w:tc>
          <w:tcPr>
            <w:tcW w:w="2180" w:type="dxa"/>
            <w:vAlign w:val="bottom"/>
            <w:gridSpan w:val="2"/>
          </w:tcPr>
          <w:p>
            <w:pPr>
              <w:jc w:val="center"/>
              <w:spacing w:after="0"/>
              <w:rPr>
                <w:sz w:val="20"/>
                <w:szCs w:val="20"/>
                <w:color w:val="auto"/>
              </w:rPr>
            </w:pPr>
            <w:r>
              <w:rPr>
                <w:rFonts w:ascii="Arial" w:cs="Arial" w:eastAsia="Arial" w:hAnsi="Arial"/>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20" w:type="dxa"/>
            <w:vAlign w:val="bottom"/>
          </w:tcPr>
          <w:p>
            <w:pPr>
              <w:spacing w:after="0"/>
              <w:rPr>
                <w:sz w:val="14"/>
                <w:szCs w:val="14"/>
                <w:color w:val="auto"/>
              </w:rPr>
            </w:pPr>
          </w:p>
        </w:tc>
        <w:tc>
          <w:tcPr>
            <w:tcW w:w="21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of Shares That May Yet Be</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2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Total Number of 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Average Price Paid per</w:t>
            </w:r>
          </w:p>
        </w:tc>
        <w:tc>
          <w:tcPr>
            <w:tcW w:w="2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 Plans</w:t>
            </w:r>
          </w:p>
        </w:tc>
        <w:tc>
          <w:tcPr>
            <w:tcW w:w="120" w:type="dxa"/>
            <w:vAlign w:val="bottom"/>
          </w:tcPr>
          <w:p>
            <w:pPr>
              <w:spacing w:after="0"/>
              <w:rPr>
                <w:sz w:val="14"/>
                <w:szCs w:val="14"/>
                <w:color w:val="auto"/>
              </w:rPr>
            </w:pPr>
          </w:p>
        </w:tc>
        <w:tc>
          <w:tcPr>
            <w:tcW w:w="218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Purchased Under the Plans</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2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2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or Programs</w:t>
            </w:r>
          </w:p>
        </w:tc>
        <w:tc>
          <w:tcPr>
            <w:tcW w:w="120" w:type="dxa"/>
            <w:vAlign w:val="bottom"/>
          </w:tcPr>
          <w:p>
            <w:pPr>
              <w:spacing w:after="0"/>
              <w:rPr>
                <w:sz w:val="14"/>
                <w:szCs w:val="14"/>
                <w:color w:val="auto"/>
              </w:rPr>
            </w:pPr>
          </w:p>
        </w:tc>
        <w:tc>
          <w:tcPr>
            <w:tcW w:w="21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or Programs</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1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9"/>
              </w:rPr>
              <w:t xml:space="preserve">Purchased (in millions) </w:t>
            </w:r>
            <w:r>
              <w:rPr>
                <w:rFonts w:ascii="Arial" w:cs="Arial" w:eastAsia="Arial" w:hAnsi="Arial"/>
                <w:sz w:val="21"/>
                <w:szCs w:val="21"/>
                <w:b w:val="1"/>
                <w:bCs w:val="1"/>
                <w:color w:val="auto"/>
                <w:w w:val="99"/>
                <w:vertAlign w:val="superscript"/>
              </w:rPr>
              <w:t>(a)</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Share</w:t>
            </w:r>
          </w:p>
        </w:tc>
        <w:tc>
          <w:tcPr>
            <w:tcW w:w="120" w:type="dxa"/>
            <w:vAlign w:val="bottom"/>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w w:val="99"/>
              </w:rPr>
              <w:t>in millions)</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rPr>
                <w:sz w:val="20"/>
                <w:szCs w:val="20"/>
                <w:color w:val="auto"/>
              </w:rPr>
            </w:pPr>
            <w:r>
              <w:rPr>
                <w:rFonts w:ascii="Arial" w:cs="Arial" w:eastAsia="Arial" w:hAnsi="Arial"/>
                <w:sz w:val="16"/>
                <w:szCs w:val="16"/>
                <w:color w:val="auto"/>
              </w:rPr>
              <w:t>July 2023</w:t>
            </w:r>
          </w:p>
        </w:tc>
        <w:tc>
          <w:tcPr>
            <w:tcW w:w="2160" w:type="dxa"/>
            <w:vAlign w:val="bottom"/>
          </w:tcPr>
          <w:p>
            <w:pPr>
              <w:jc w:val="center"/>
              <w:spacing w:after="0"/>
              <w:rPr>
                <w:sz w:val="20"/>
                <w:szCs w:val="20"/>
                <w:color w:val="auto"/>
              </w:rPr>
            </w:pPr>
            <w:r>
              <w:rPr>
                <w:rFonts w:ascii="Arial" w:cs="Arial" w:eastAsia="Arial" w:hAnsi="Arial"/>
                <w:sz w:val="16"/>
                <w:szCs w:val="16"/>
                <w:color w:val="auto"/>
              </w:rPr>
              <w:t>0.34</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221.51</w:t>
            </w:r>
          </w:p>
        </w:tc>
        <w:tc>
          <w:tcPr>
            <w:tcW w:w="12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rPr>
              <w:t>0.34</w:t>
            </w:r>
          </w:p>
        </w:tc>
        <w:tc>
          <w:tcPr>
            <w:tcW w:w="8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1,471</w:t>
            </w:r>
          </w:p>
        </w:tc>
        <w:tc>
          <w:tcPr>
            <w:tcW w:w="0" w:type="dxa"/>
            <w:vAlign w:val="bottom"/>
          </w:tcPr>
          <w:p>
            <w:pPr>
              <w:spacing w:after="0"/>
              <w:rPr>
                <w:sz w:val="1"/>
                <w:szCs w:val="1"/>
                <w:color w:val="auto"/>
              </w:rPr>
            </w:pPr>
          </w:p>
        </w:tc>
      </w:tr>
      <w:tr>
        <w:trPr>
          <w:trHeight w:val="216"/>
        </w:trPr>
        <w:tc>
          <w:tcPr>
            <w:tcW w:w="1220" w:type="dxa"/>
            <w:vAlign w:val="bottom"/>
          </w:tcPr>
          <w:p>
            <w:pPr>
              <w:jc w:val="right"/>
              <w:spacing w:after="0"/>
              <w:rPr>
                <w:sz w:val="20"/>
                <w:szCs w:val="20"/>
                <w:color w:val="auto"/>
              </w:rPr>
            </w:pPr>
            <w:r>
              <w:rPr>
                <w:rFonts w:ascii="Arial" w:cs="Arial" w:eastAsia="Arial" w:hAnsi="Arial"/>
                <w:sz w:val="16"/>
                <w:szCs w:val="16"/>
                <w:color w:val="auto"/>
              </w:rPr>
              <w:t>August 2023</w:t>
            </w:r>
          </w:p>
        </w:tc>
        <w:tc>
          <w:tcPr>
            <w:tcW w:w="2160" w:type="dxa"/>
            <w:vAlign w:val="bottom"/>
          </w:tcPr>
          <w:p>
            <w:pPr>
              <w:jc w:val="center"/>
              <w:spacing w:after="0"/>
              <w:rPr>
                <w:sz w:val="20"/>
                <w:szCs w:val="20"/>
                <w:color w:val="auto"/>
              </w:rPr>
            </w:pPr>
            <w:r>
              <w:rPr>
                <w:rFonts w:ascii="Arial" w:cs="Arial" w:eastAsia="Arial" w:hAnsi="Arial"/>
                <w:sz w:val="16"/>
                <w:szCs w:val="16"/>
                <w:color w:val="auto"/>
              </w:rPr>
              <w:t>1.74</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223.20</w:t>
            </w: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rPr>
              <w:t>1.74</w:t>
            </w:r>
          </w:p>
        </w:tc>
        <w:tc>
          <w:tcPr>
            <w:tcW w:w="8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1,082</w:t>
            </w:r>
          </w:p>
        </w:tc>
        <w:tc>
          <w:tcPr>
            <w:tcW w:w="0" w:type="dxa"/>
            <w:vAlign w:val="bottom"/>
          </w:tcPr>
          <w:p>
            <w:pPr>
              <w:spacing w:after="0"/>
              <w:rPr>
                <w:sz w:val="1"/>
                <w:szCs w:val="1"/>
                <w:color w:val="auto"/>
              </w:rPr>
            </w:pPr>
          </w:p>
        </w:tc>
      </w:tr>
      <w:tr>
        <w:trPr>
          <w:trHeight w:val="219"/>
        </w:trPr>
        <w:tc>
          <w:tcPr>
            <w:tcW w:w="1220" w:type="dxa"/>
            <w:vAlign w:val="bottom"/>
          </w:tcPr>
          <w:p>
            <w:pPr>
              <w:jc w:val="right"/>
              <w:spacing w:after="0"/>
              <w:rPr>
                <w:sz w:val="20"/>
                <w:szCs w:val="20"/>
                <w:color w:val="auto"/>
              </w:rPr>
            </w:pPr>
            <w:r>
              <w:rPr>
                <w:rFonts w:ascii="Arial" w:cs="Arial" w:eastAsia="Arial" w:hAnsi="Arial"/>
                <w:sz w:val="16"/>
                <w:szCs w:val="16"/>
                <w:color w:val="auto"/>
                <w:w w:val="99"/>
              </w:rPr>
              <w:t>September 2023</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0.12</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183.13</w:t>
            </w:r>
          </w:p>
        </w:tc>
        <w:tc>
          <w:tcPr>
            <w:tcW w:w="12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0.12</w:t>
            </w:r>
          </w:p>
        </w:tc>
        <w:tc>
          <w:tcPr>
            <w:tcW w:w="8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1,059</w:t>
            </w:r>
          </w:p>
        </w:tc>
        <w:tc>
          <w:tcPr>
            <w:tcW w:w="0" w:type="dxa"/>
            <w:vAlign w:val="bottom"/>
          </w:tcPr>
          <w:p>
            <w:pPr>
              <w:spacing w:after="0"/>
              <w:rPr>
                <w:sz w:val="1"/>
                <w:szCs w:val="1"/>
                <w:color w:val="auto"/>
              </w:rPr>
            </w:pPr>
          </w:p>
        </w:tc>
      </w:tr>
      <w:tr>
        <w:trPr>
          <w:trHeight w:val="213"/>
        </w:trPr>
        <w:tc>
          <w:tcPr>
            <w:tcW w:w="1220" w:type="dxa"/>
            <w:vAlign w:val="bottom"/>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2.20</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2020" w:type="dxa"/>
            <w:vAlign w:val="bottom"/>
          </w:tcPr>
          <w:p>
            <w:pPr>
              <w:jc w:val="right"/>
              <w:spacing w:after="0"/>
              <w:rPr>
                <w:sz w:val="20"/>
                <w:szCs w:val="20"/>
                <w:color w:val="auto"/>
              </w:rPr>
            </w:pPr>
            <w:r>
              <w:rPr>
                <w:rFonts w:ascii="Arial" w:cs="Arial" w:eastAsia="Arial" w:hAnsi="Arial"/>
                <w:sz w:val="16"/>
                <w:szCs w:val="16"/>
                <w:b w:val="1"/>
                <w:bCs w:val="1"/>
                <w:color w:val="auto"/>
              </w:rPr>
              <w:t>220.68</w:t>
            </w:r>
          </w:p>
        </w:tc>
        <w:tc>
          <w:tcPr>
            <w:tcW w:w="120" w:type="dxa"/>
            <w:vAlign w:val="bottom"/>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2.20</w:t>
            </w:r>
          </w:p>
        </w:tc>
        <w:tc>
          <w:tcPr>
            <w:tcW w:w="860" w:type="dxa"/>
            <w:vAlign w:val="bottom"/>
            <w:gridSpan w:val="2"/>
          </w:tcPr>
          <w:p>
            <w:pPr>
              <w:ind w:left="140"/>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1,059</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7"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Excludes shares which were withheld by the Company to satisfy employees’ income tax liabilities attributable to the vesting of restricted stock unit awards.</w:t>
      </w:r>
    </w:p>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62626"/>
        </w:rPr>
        <w:t xml:space="preserve">The Company’s Board of Directors has authorized the repurchase of up to </w:t>
      </w:r>
      <w:r>
        <w:rPr>
          <w:rFonts w:ascii="Arial" w:cs="Arial" w:eastAsia="Arial" w:hAnsi="Arial"/>
          <w:sz w:val="18"/>
          <w:szCs w:val="18"/>
          <w:color w:val="000000"/>
        </w:rPr>
        <w:t>$8.1 billion</w:t>
      </w:r>
      <w:r>
        <w:rPr>
          <w:rFonts w:ascii="Arial" w:cs="Arial" w:eastAsia="Arial" w:hAnsi="Arial"/>
          <w:sz w:val="18"/>
          <w:szCs w:val="18"/>
          <w:color w:val="262626"/>
        </w:rPr>
        <w:t xml:space="preserve"> of our common stock under a plan originally approved in 2013 and subsequently expanded, most recently in </w:t>
      </w:r>
      <w:r>
        <w:rPr>
          <w:rFonts w:ascii="Arial" w:cs="Arial" w:eastAsia="Arial" w:hAnsi="Arial"/>
          <w:sz w:val="18"/>
          <w:szCs w:val="18"/>
          <w:color w:val="000000"/>
        </w:rPr>
        <w:t>February 2023</w:t>
      </w:r>
      <w:r>
        <w:rPr>
          <w:rFonts w:ascii="Arial" w:cs="Arial" w:eastAsia="Arial" w:hAnsi="Arial"/>
          <w:sz w:val="18"/>
          <w:szCs w:val="18"/>
          <w:color w:val="262626"/>
        </w:rPr>
        <w:t>. Under our stock repurchase program, the Company may repurchase shares from time to time in open market transactions, and may also repurchase shares in accelerated share repurchases, tender offers, privately negotiated transactions or by other means. Repurchases may also be made under a plan pursuant to Rule 10b5-1 under the Securities Exchange Act of 1934, as amended. The timing and amount of repurchase transactions will be determined by the Company’s management based on its evaluation of market conditions, the Company’s share price, legal requirements, restricted payment capacity under its debt instruments and other factors. The stock repurchase program may be suspended, modified or discontinued without prior notice.</w:t>
      </w:r>
    </w:p>
    <w:p>
      <w:pPr>
        <w:spacing w:after="0" w:line="21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262626"/>
        </w:rPr>
        <w:t xml:space="preserve">During the </w:t>
      </w:r>
      <w:r>
        <w:rPr>
          <w:rFonts w:ascii="Arial" w:cs="Arial" w:eastAsia="Arial" w:hAnsi="Arial"/>
          <w:sz w:val="18"/>
          <w:szCs w:val="18"/>
          <w:color w:val="000000"/>
        </w:rPr>
        <w:t>three months ended September 30, 2023</w:t>
      </w:r>
      <w:r>
        <w:rPr>
          <w:rFonts w:ascii="Arial" w:cs="Arial" w:eastAsia="Arial" w:hAnsi="Arial"/>
          <w:sz w:val="18"/>
          <w:szCs w:val="18"/>
          <w:color w:val="262626"/>
        </w:rPr>
        <w:t>, no director or Section 16 officer of the Company adopted or terminated a "Rule 10b5-1 trading arrangement" or "non-Rule 10b5-1 trading arrangement," as each term is defined in Item 408(a) of Regulation S-K.</w:t>
      </w:r>
    </w:p>
    <w:p>
      <w:pPr>
        <w:spacing w:after="0" w:line="1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SIGNATURES</w:t>
      </w:r>
    </w:p>
    <w:p>
      <w:pPr>
        <w:spacing w:after="0" w:line="26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660" w:type="dxa"/>
            <w:vAlign w:val="bottom"/>
          </w:tcPr>
          <w:p>
            <w:pPr>
              <w:spacing w:after="0"/>
              <w:rPr>
                <w:sz w:val="21"/>
                <w:szCs w:val="21"/>
                <w:color w:val="auto"/>
              </w:rPr>
            </w:pPr>
          </w:p>
        </w:tc>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AVIS BUDGET GROUP, INC.</w:t>
            </w:r>
          </w:p>
        </w:tc>
      </w:tr>
      <w:tr>
        <w:trPr>
          <w:trHeight w:val="488"/>
        </w:trPr>
        <w:tc>
          <w:tcPr>
            <w:tcW w:w="3660" w:type="dxa"/>
            <w:vAlign w:val="bottom"/>
          </w:tcPr>
          <w:p>
            <w:pPr>
              <w:ind w:left="20"/>
              <w:spacing w:after="0"/>
              <w:rPr>
                <w:sz w:val="20"/>
                <w:szCs w:val="20"/>
                <w:color w:val="auto"/>
              </w:rPr>
            </w:pPr>
            <w:r>
              <w:rPr>
                <w:rFonts w:ascii="Arial" w:cs="Arial" w:eastAsia="Arial" w:hAnsi="Arial"/>
                <w:sz w:val="18"/>
                <w:szCs w:val="18"/>
                <w:color w:val="auto"/>
              </w:rPr>
              <w:t>Date:   November 2, 2023</w:t>
            </w:r>
          </w:p>
        </w:tc>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Cathleen DeGenova</w:t>
            </w:r>
          </w:p>
        </w:tc>
      </w:tr>
      <w:tr>
        <w:trPr>
          <w:trHeight w:val="223"/>
        </w:trPr>
        <w:tc>
          <w:tcPr>
            <w:tcW w:w="366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Cathleen DeGenova</w:t>
            </w:r>
          </w:p>
        </w:tc>
      </w:tr>
      <w:tr>
        <w:trPr>
          <w:trHeight w:val="229"/>
        </w:trPr>
        <w:tc>
          <w:tcPr>
            <w:tcW w:w="366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Vice President and</w:t>
            </w:r>
          </w:p>
        </w:tc>
      </w:tr>
      <w:tr>
        <w:trPr>
          <w:trHeight w:val="230"/>
        </w:trPr>
        <w:tc>
          <w:tcPr>
            <w:tcW w:w="366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918"/>
        </w:trPr>
        <w:tc>
          <w:tcPr>
            <w:tcW w:w="3660" w:type="dxa"/>
            <w:vAlign w:val="bottom"/>
          </w:tcPr>
          <w:p>
            <w:pPr>
              <w:spacing w:after="0"/>
              <w:rPr>
                <w:sz w:val="24"/>
                <w:szCs w:val="24"/>
                <w:color w:val="auto"/>
              </w:rPr>
            </w:pPr>
          </w:p>
        </w:tc>
        <w:tc>
          <w:tcPr>
            <w:tcW w:w="7580" w:type="dxa"/>
            <w:vAlign w:val="bottom"/>
          </w:tcPr>
          <w:p>
            <w:pPr>
              <w:ind w:left="1860"/>
              <w:spacing w:after="0"/>
              <w:rPr>
                <w:sz w:val="20"/>
                <w:szCs w:val="20"/>
                <w:color w:val="auto"/>
              </w:rPr>
            </w:pPr>
            <w:r>
              <w:rPr>
                <w:rFonts w:ascii="Arial" w:cs="Arial" w:eastAsia="Arial" w:hAnsi="Arial"/>
                <w:sz w:val="18"/>
                <w:szCs w:val="18"/>
                <w:color w:val="auto"/>
              </w:rPr>
              <w:t>41</w:t>
            </w:r>
          </w:p>
        </w:tc>
      </w:tr>
      <w:tr>
        <w:trPr>
          <w:trHeight w:val="115"/>
        </w:trPr>
        <w:tc>
          <w:tcPr>
            <w:tcW w:w="3660" w:type="dxa"/>
            <w:vAlign w:val="bottom"/>
            <w:tcBorders>
              <w:bottom w:val="single" w:sz="8" w:color="9A9A9A"/>
            </w:tcBorders>
          </w:tcPr>
          <w:p>
            <w:pPr>
              <w:spacing w:after="0"/>
              <w:rPr>
                <w:sz w:val="10"/>
                <w:szCs w:val="10"/>
                <w:color w:val="auto"/>
              </w:rPr>
            </w:pPr>
          </w:p>
        </w:tc>
        <w:tc>
          <w:tcPr>
            <w:tcW w:w="7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3" w:name="page44"/>
    <w:bookmarkEnd w:id="43"/>
    <w:tbl>
      <w:tblPr>
        <w:tblLayout w:type="fixed"/>
        <w:tblInd w:w="10" w:type="dxa"/>
        <w:tblCellMar>
          <w:top w:w="0" w:type="dxa"/>
          <w:left w:w="0" w:type="dxa"/>
          <w:bottom w:w="0" w:type="dxa"/>
          <w:right w:w="0" w:type="dxa"/>
        </w:tblCellMar>
      </w:tblPr>
      <w:tr>
        <w:trPr>
          <w:trHeight w:val="227"/>
        </w:trPr>
        <w:tc>
          <w:tcPr>
            <w:tcW w:w="1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680" w:type="dxa"/>
            <w:vAlign w:val="bottom"/>
            <w:gridSpan w:val="13"/>
          </w:tcPr>
          <w:p>
            <w:pPr>
              <w:ind w:left="2440"/>
              <w:spacing w:after="0"/>
              <w:rPr>
                <w:sz w:val="20"/>
                <w:szCs w:val="20"/>
                <w:color w:val="auto"/>
              </w:rPr>
            </w:pPr>
            <w:r>
              <w:rPr>
                <w:rFonts w:ascii="Arial" w:cs="Arial" w:eastAsia="Arial" w:hAnsi="Arial"/>
                <w:sz w:val="16"/>
                <w:szCs w:val="16"/>
                <w:b w:val="1"/>
                <w:bCs w:val="1"/>
                <w:color w:val="auto"/>
              </w:rPr>
              <w:t>Exhibit Index</w:t>
            </w:r>
          </w:p>
        </w:tc>
      </w:tr>
      <w:tr>
        <w:trPr>
          <w:trHeight w:val="250"/>
        </w:trPr>
        <w:tc>
          <w:tcPr>
            <w:tcW w:w="1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r>
      <w:tr>
        <w:trPr>
          <w:trHeight w:val="210"/>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Exhibit No.</w:t>
            </w:r>
          </w:p>
        </w:tc>
        <w:tc>
          <w:tcPr>
            <w:tcW w:w="13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980" w:type="dxa"/>
            <w:vAlign w:val="bottom"/>
            <w:tcBorders>
              <w:bottom w:val="single" w:sz="8" w:color="auto"/>
              <w:right w:val="single" w:sz="8" w:color="auto"/>
            </w:tcBorders>
            <w:gridSpan w:val="11"/>
          </w:tcPr>
          <w:p>
            <w:pPr>
              <w:ind w:left="440"/>
              <w:spacing w:after="0"/>
              <w:rPr>
                <w:sz w:val="20"/>
                <w:szCs w:val="20"/>
                <w:color w:val="auto"/>
              </w:rPr>
            </w:pPr>
            <w:r>
              <w:rPr>
                <w:rFonts w:ascii="Arial" w:cs="Arial" w:eastAsia="Arial" w:hAnsi="Arial"/>
                <w:sz w:val="16"/>
                <w:szCs w:val="16"/>
                <w:b w:val="1"/>
                <w:bCs w:val="1"/>
                <w:color w:val="auto"/>
              </w:rPr>
              <w:t>Description</w:t>
            </w: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w:t>
            </w:r>
          </w:p>
        </w:tc>
        <w:tc>
          <w:tcPr>
            <w:tcW w:w="10060" w:type="dxa"/>
            <w:vAlign w:val="bottom"/>
            <w:tcBorders>
              <w:right w:val="single" w:sz="8" w:color="auto"/>
            </w:tcBorders>
            <w:gridSpan w:val="14"/>
          </w:tcPr>
          <w:p>
            <w:pPr>
              <w:spacing w:after="0" w:line="169" w:lineRule="exact"/>
              <w:rPr>
                <w:rFonts w:ascii="Arial" w:cs="Arial" w:eastAsia="Arial" w:hAnsi="Arial"/>
                <w:sz w:val="16"/>
                <w:szCs w:val="16"/>
                <w:color w:val="0000FF"/>
              </w:rPr>
            </w:pPr>
            <w:hyperlink r:id="rId61">
              <w:r>
                <w:rPr>
                  <w:rFonts w:ascii="Arial" w:cs="Arial" w:eastAsia="Arial" w:hAnsi="Arial"/>
                  <w:sz w:val="16"/>
                  <w:szCs w:val="16"/>
                  <w:color w:val="0000FF"/>
                </w:rPr>
                <w:t>Amended and Restated Certificate of Incorporation of Avis Budget Group, Inc. (incorporated by reference to Exhibit 3.1 to the Company’s</w:t>
              </w:r>
            </w:hyperlink>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994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r:id="rId61">
              <w:r>
                <w:rPr>
                  <w:rFonts w:ascii="Arial" w:cs="Arial" w:eastAsia="Arial" w:hAnsi="Arial"/>
                  <w:sz w:val="16"/>
                  <w:szCs w:val="16"/>
                  <w:color w:val="0000FF"/>
                </w:rPr>
                <w:t>Current Report on Form 8-K dated September 5, 2006).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26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3.2</w:t>
            </w:r>
          </w:p>
        </w:tc>
        <w:tc>
          <w:tcPr>
            <w:tcW w:w="10060" w:type="dxa"/>
            <w:vAlign w:val="bottom"/>
            <w:tcBorders>
              <w:right w:val="single" w:sz="8" w:color="auto"/>
            </w:tcBorders>
            <w:gridSpan w:val="14"/>
          </w:tcPr>
          <w:p>
            <w:pPr>
              <w:spacing w:after="0" w:line="169" w:lineRule="exact"/>
              <w:rPr>
                <w:rFonts w:ascii="Arial" w:cs="Arial" w:eastAsia="Arial" w:hAnsi="Arial"/>
                <w:sz w:val="16"/>
                <w:szCs w:val="16"/>
                <w:color w:val="0000FF"/>
              </w:rPr>
            </w:pPr>
            <w:hyperlink r:id="rId62">
              <w:r>
                <w:rPr>
                  <w:rFonts w:ascii="Arial" w:cs="Arial" w:eastAsia="Arial" w:hAnsi="Arial"/>
                  <w:sz w:val="16"/>
                  <w:szCs w:val="16"/>
                  <w:color w:val="0000FF"/>
                </w:rPr>
                <w:t>Amended and Restated Bylaws of Avis Budget Group, Inc., dated as of August 10, 2020 (incorporated by reference to Exhibit 3.2 to the</w:t>
              </w:r>
            </w:hyperlink>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992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62">
              <w:r>
                <w:rPr>
                  <w:rFonts w:ascii="Arial" w:cs="Arial" w:eastAsia="Arial" w:hAnsi="Arial"/>
                  <w:sz w:val="16"/>
                  <w:szCs w:val="16"/>
                  <w:color w:val="0000FF"/>
                </w:rPr>
                <w:t>Company’s Current Report on Form 8-K dated August 13, 2020).</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26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4.1</w:t>
            </w:r>
          </w:p>
        </w:tc>
        <w:tc>
          <w:tcPr>
            <w:tcW w:w="10060" w:type="dxa"/>
            <w:vAlign w:val="bottom"/>
            <w:tcBorders>
              <w:right w:val="single" w:sz="8" w:color="auto"/>
            </w:tcBorders>
            <w:gridSpan w:val="14"/>
          </w:tcPr>
          <w:p>
            <w:pPr>
              <w:spacing w:after="0" w:line="169" w:lineRule="exact"/>
              <w:rPr>
                <w:rFonts w:ascii="Arial" w:cs="Arial" w:eastAsia="Arial" w:hAnsi="Arial"/>
                <w:sz w:val="16"/>
                <w:szCs w:val="16"/>
                <w:color w:val="0000FF"/>
              </w:rPr>
            </w:pPr>
            <w:hyperlink r:id="rId63">
              <w:r>
                <w:rPr>
                  <w:rFonts w:ascii="Arial" w:cs="Arial" w:eastAsia="Arial" w:hAnsi="Arial"/>
                  <w:sz w:val="16"/>
                  <w:szCs w:val="16"/>
                  <w:color w:val="0000FF"/>
                </w:rPr>
                <w:t>Indenture, dated as of July 13, 2023, by and among Avis Budget Finance plc, as issuer, the guarantors party thereto, Deutsche Bank Trust</w:t>
              </w:r>
            </w:hyperlink>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998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63">
              <w:r>
                <w:rPr>
                  <w:rFonts w:ascii="Arial" w:cs="Arial" w:eastAsia="Arial" w:hAnsi="Arial"/>
                  <w:sz w:val="16"/>
                  <w:szCs w:val="16"/>
                  <w:color w:val="0000FF"/>
                </w:rPr>
                <w:t>Company Americas, as trustee and registrar, and Deutsche Bank AG, London Branch, as paying agent (incorporated by reference to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996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63">
              <w:r>
                <w:rPr>
                  <w:rFonts w:ascii="Arial" w:cs="Arial" w:eastAsia="Arial" w:hAnsi="Arial"/>
                  <w:sz w:val="16"/>
                  <w:szCs w:val="16"/>
                  <w:color w:val="0000FF"/>
                </w:rPr>
                <w:t>Exhibit 4.1 to the Company’s Current Report on Form 8-K dated July 14, 2023).</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26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4.2</w:t>
            </w:r>
          </w:p>
        </w:tc>
        <w:tc>
          <w:tcPr>
            <w:tcW w:w="10060" w:type="dxa"/>
            <w:vAlign w:val="bottom"/>
            <w:tcBorders>
              <w:right w:val="single" w:sz="8" w:color="auto"/>
            </w:tcBorders>
            <w:gridSpan w:val="14"/>
          </w:tcPr>
          <w:p>
            <w:pPr>
              <w:spacing w:after="0" w:line="169" w:lineRule="exact"/>
              <w:rPr>
                <w:rFonts w:ascii="Arial" w:cs="Arial" w:eastAsia="Arial" w:hAnsi="Arial"/>
                <w:sz w:val="16"/>
                <w:szCs w:val="16"/>
                <w:color w:val="0000FF"/>
              </w:rPr>
            </w:pPr>
            <w:hyperlink r:id="rId63">
              <w:r>
                <w:rPr>
                  <w:rFonts w:ascii="Arial" w:cs="Arial" w:eastAsia="Arial" w:hAnsi="Arial"/>
                  <w:sz w:val="16"/>
                  <w:szCs w:val="16"/>
                  <w:color w:val="0000FF"/>
                </w:rPr>
                <w:t>Form of 7.25% Senior Notes due 2030 (included as Exhibit A to Exhibit 4.1).</w:t>
              </w:r>
            </w:hyperlink>
          </w:p>
        </w:tc>
      </w:tr>
      <w:tr>
        <w:trPr>
          <w:trHeight w:val="21"/>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26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w:t>
            </w:r>
          </w:p>
        </w:tc>
        <w:tc>
          <w:tcPr>
            <w:tcW w:w="10060" w:type="dxa"/>
            <w:vAlign w:val="bottom"/>
            <w:tcBorders>
              <w:right w:val="single" w:sz="8" w:color="auto"/>
            </w:tcBorders>
            <w:gridSpan w:val="14"/>
          </w:tcPr>
          <w:p>
            <w:pPr>
              <w:spacing w:after="0" w:line="169" w:lineRule="exact"/>
              <w:rPr>
                <w:rFonts w:ascii="Arial" w:cs="Arial" w:eastAsia="Arial" w:hAnsi="Arial"/>
                <w:sz w:val="16"/>
                <w:szCs w:val="16"/>
                <w:color w:val="0000FF"/>
              </w:rPr>
            </w:pPr>
            <w:hyperlink r:id="rId64">
              <w:r>
                <w:rPr>
                  <w:rFonts w:ascii="Arial" w:cs="Arial" w:eastAsia="Arial" w:hAnsi="Arial"/>
                  <w:sz w:val="16"/>
                  <w:szCs w:val="16"/>
                  <w:color w:val="0000FF"/>
                </w:rPr>
                <w:t>Series 2023-7 Supplement, dated as of September 18, 2023, between Avis Budget Rental Car Funding (AESOP) LLC and The Bank of</w:t>
              </w:r>
            </w:hyperlink>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1002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64">
              <w:r>
                <w:rPr>
                  <w:rFonts w:ascii="Arial" w:cs="Arial" w:eastAsia="Arial" w:hAnsi="Arial"/>
                  <w:sz w:val="16"/>
                  <w:szCs w:val="16"/>
                  <w:color w:val="0000FF"/>
                </w:rPr>
                <w:t>New York Mellon Trust Company, N.A., as trustee and as Series 2023-7 Agent (incorporated by reference to Exhibit 10.1 to the Company’s</w:t>
              </w:r>
            </w:hyperlink>
          </w:p>
        </w:tc>
        <w:tc>
          <w:tcPr>
            <w:tcW w:w="40" w:type="dxa"/>
            <w:vAlign w:val="bottom"/>
            <w:tcBorders>
              <w:right w:val="single" w:sz="8" w:color="auto"/>
            </w:tcBorders>
          </w:tcPr>
          <w:p>
            <w:pPr>
              <w:spacing w:after="0"/>
              <w:rPr>
                <w:sz w:val="12"/>
                <w:szCs w:val="12"/>
                <w:color w:val="auto"/>
              </w:rPr>
            </w:pP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996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64">
              <w:r>
                <w:rPr>
                  <w:rFonts w:ascii="Arial" w:cs="Arial" w:eastAsia="Arial" w:hAnsi="Arial"/>
                  <w:sz w:val="16"/>
                  <w:szCs w:val="16"/>
                  <w:color w:val="0000FF"/>
                </w:rPr>
                <w:t>Current Report on Form 8-K dated September 21, 2023).</w:t>
              </w:r>
            </w:hyperlink>
          </w:p>
        </w:tc>
        <w:tc>
          <w:tcPr>
            <w:tcW w:w="40" w:type="dxa"/>
            <w:vAlign w:val="bottom"/>
            <w:gridSpan w:val="2"/>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1"/>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26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w:t>
            </w:r>
          </w:p>
        </w:tc>
        <w:tc>
          <w:tcPr>
            <w:tcW w:w="10060" w:type="dxa"/>
            <w:vAlign w:val="bottom"/>
            <w:tcBorders>
              <w:right w:val="single" w:sz="8" w:color="auto"/>
            </w:tcBorders>
            <w:gridSpan w:val="14"/>
          </w:tcPr>
          <w:p>
            <w:pPr>
              <w:spacing w:after="0" w:line="169" w:lineRule="exact"/>
              <w:rPr>
                <w:rFonts w:ascii="Arial" w:cs="Arial" w:eastAsia="Arial" w:hAnsi="Arial"/>
                <w:sz w:val="16"/>
                <w:szCs w:val="16"/>
                <w:color w:val="0000FF"/>
              </w:rPr>
            </w:pPr>
            <w:hyperlink r:id="rId65">
              <w:r>
                <w:rPr>
                  <w:rFonts w:ascii="Arial" w:cs="Arial" w:eastAsia="Arial" w:hAnsi="Arial"/>
                  <w:sz w:val="16"/>
                  <w:szCs w:val="16"/>
                  <w:color w:val="0000FF"/>
                </w:rPr>
                <w:t>Series 2023-8 Supplement, dated as of September 18, 2023, between Avis Budget Rental Car Funding (AESOP) LLC and The Bank of</w:t>
              </w:r>
            </w:hyperlink>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1002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65">
              <w:r>
                <w:rPr>
                  <w:rFonts w:ascii="Arial" w:cs="Arial" w:eastAsia="Arial" w:hAnsi="Arial"/>
                  <w:sz w:val="16"/>
                  <w:szCs w:val="16"/>
                  <w:color w:val="0000FF"/>
                </w:rPr>
                <w:t>New York Mellon Trust Company, N.A., as trustee and as Series 2023-8 Agent (incorporated by reference to Exhibit 10.2 to the Company’s</w:t>
              </w:r>
            </w:hyperlink>
          </w:p>
        </w:tc>
        <w:tc>
          <w:tcPr>
            <w:tcW w:w="40" w:type="dxa"/>
            <w:vAlign w:val="bottom"/>
            <w:tcBorders>
              <w:right w:val="single" w:sz="8" w:color="auto"/>
            </w:tcBorders>
          </w:tcPr>
          <w:p>
            <w:pPr>
              <w:spacing w:after="0"/>
              <w:rPr>
                <w:sz w:val="12"/>
                <w:szCs w:val="12"/>
                <w:color w:val="auto"/>
              </w:rPr>
            </w:pP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996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65">
              <w:r>
                <w:rPr>
                  <w:rFonts w:ascii="Arial" w:cs="Arial" w:eastAsia="Arial" w:hAnsi="Arial"/>
                  <w:sz w:val="16"/>
                  <w:szCs w:val="16"/>
                  <w:color w:val="0000FF"/>
                </w:rPr>
                <w:t>Current Report on Form 8-K dated September 21, 2023).</w:t>
              </w:r>
            </w:hyperlink>
          </w:p>
        </w:tc>
        <w:tc>
          <w:tcPr>
            <w:tcW w:w="40" w:type="dxa"/>
            <w:vAlign w:val="bottom"/>
            <w:gridSpan w:val="2"/>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1"/>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26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31.1</w:t>
            </w:r>
          </w:p>
        </w:tc>
        <w:tc>
          <w:tcPr>
            <w:tcW w:w="10060" w:type="dxa"/>
            <w:vAlign w:val="bottom"/>
            <w:tcBorders>
              <w:right w:val="single" w:sz="8" w:color="auto"/>
            </w:tcBorders>
            <w:gridSpan w:val="14"/>
          </w:tcPr>
          <w:p>
            <w:pPr>
              <w:spacing w:after="0" w:line="169" w:lineRule="exact"/>
              <w:rPr>
                <w:sz w:val="20"/>
                <w:szCs w:val="20"/>
                <w:color w:val="auto"/>
              </w:rPr>
            </w:pPr>
            <w:r>
              <w:rPr>
                <w:rFonts w:ascii="Arial" w:cs="Arial" w:eastAsia="Arial" w:hAnsi="Arial"/>
                <w:sz w:val="16"/>
                <w:szCs w:val="16"/>
                <w:color w:val="0000FF"/>
              </w:rPr>
              <w:t>Certification of Chief Executive Officer pursuant to Rules 13(a)-14(a) and 15(d)-14(a) promulgated under the Securities Exchange Act of</w:t>
            </w: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10000" w:type="dxa"/>
            <w:vAlign w:val="bottom"/>
            <w:tcBorders>
              <w:top w:val="single" w:sz="8" w:color="0000FF"/>
            </w:tcBorders>
            <w:gridSpan w:val="12"/>
          </w:tcPr>
          <w:p>
            <w:pPr>
              <w:spacing w:after="0" w:line="142" w:lineRule="exact"/>
              <w:rPr>
                <w:sz w:val="20"/>
                <w:szCs w:val="20"/>
                <w:color w:val="auto"/>
              </w:rPr>
            </w:pPr>
            <w:r>
              <w:rPr>
                <w:rFonts w:ascii="Arial" w:cs="Arial" w:eastAsia="Arial" w:hAnsi="Arial"/>
                <w:sz w:val="16"/>
                <w:szCs w:val="16"/>
                <w:color w:val="0000FF"/>
              </w:rPr>
              <w:t>1934, as amended.</w:t>
            </w:r>
          </w:p>
        </w:tc>
        <w:tc>
          <w:tcPr>
            <w:tcW w:w="60" w:type="dxa"/>
            <w:vAlign w:val="bottom"/>
            <w:tcBorders>
              <w:right w:val="single" w:sz="8" w:color="auto"/>
            </w:tcBorders>
            <w:gridSpan w:val="2"/>
          </w:tcPr>
          <w:p>
            <w:pPr>
              <w:spacing w:after="0"/>
              <w:rPr>
                <w:sz w:val="12"/>
                <w:szCs w:val="12"/>
                <w:color w:val="auto"/>
              </w:rPr>
            </w:pPr>
          </w:p>
        </w:tc>
      </w:tr>
      <w:tr>
        <w:trPr>
          <w:trHeight w:val="21"/>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31.2</w:t>
            </w:r>
          </w:p>
        </w:tc>
        <w:tc>
          <w:tcPr>
            <w:tcW w:w="10060" w:type="dxa"/>
            <w:vAlign w:val="bottom"/>
            <w:tcBorders>
              <w:right w:val="single" w:sz="8" w:color="auto"/>
            </w:tcBorders>
            <w:gridSpan w:val="14"/>
          </w:tcPr>
          <w:p>
            <w:pPr>
              <w:spacing w:after="0" w:line="169" w:lineRule="exact"/>
              <w:rPr>
                <w:sz w:val="20"/>
                <w:szCs w:val="20"/>
                <w:color w:val="auto"/>
              </w:rPr>
            </w:pPr>
            <w:r>
              <w:rPr>
                <w:rFonts w:ascii="Arial" w:cs="Arial" w:eastAsia="Arial" w:hAnsi="Arial"/>
                <w:sz w:val="16"/>
                <w:szCs w:val="16"/>
                <w:color w:val="0000FF"/>
              </w:rPr>
              <w:t>Certification of Chief Financial Officer pursuant to Rules 13(a)-14(a) and 15(d)-14(a) promulgated under the Securities Exchange Act of</w:t>
            </w: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10000" w:type="dxa"/>
            <w:vAlign w:val="bottom"/>
            <w:tcBorders>
              <w:top w:val="single" w:sz="8" w:color="0000FF"/>
            </w:tcBorders>
            <w:gridSpan w:val="12"/>
          </w:tcPr>
          <w:p>
            <w:pPr>
              <w:spacing w:after="0" w:line="142" w:lineRule="exact"/>
              <w:rPr>
                <w:sz w:val="20"/>
                <w:szCs w:val="20"/>
                <w:color w:val="auto"/>
              </w:rPr>
            </w:pPr>
            <w:r>
              <w:rPr>
                <w:rFonts w:ascii="Arial" w:cs="Arial" w:eastAsia="Arial" w:hAnsi="Arial"/>
                <w:sz w:val="16"/>
                <w:szCs w:val="16"/>
                <w:color w:val="0000FF"/>
              </w:rPr>
              <w:t>1934, as amended.</w:t>
            </w:r>
          </w:p>
        </w:tc>
        <w:tc>
          <w:tcPr>
            <w:tcW w:w="60" w:type="dxa"/>
            <w:vAlign w:val="bottom"/>
            <w:tcBorders>
              <w:right w:val="single" w:sz="8" w:color="auto"/>
            </w:tcBorders>
            <w:gridSpan w:val="2"/>
          </w:tcPr>
          <w:p>
            <w:pPr>
              <w:spacing w:after="0"/>
              <w:rPr>
                <w:sz w:val="12"/>
                <w:szCs w:val="12"/>
                <w:color w:val="auto"/>
              </w:rPr>
            </w:pPr>
          </w:p>
        </w:tc>
      </w:tr>
      <w:tr>
        <w:trPr>
          <w:trHeight w:val="20"/>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32</w:t>
            </w:r>
          </w:p>
        </w:tc>
        <w:tc>
          <w:tcPr>
            <w:tcW w:w="10060" w:type="dxa"/>
            <w:vAlign w:val="bottom"/>
            <w:tcBorders>
              <w:right w:val="single" w:sz="8" w:color="auto"/>
            </w:tcBorders>
            <w:gridSpan w:val="14"/>
          </w:tcPr>
          <w:p>
            <w:pPr>
              <w:spacing w:after="0" w:line="169" w:lineRule="exact"/>
              <w:rPr>
                <w:sz w:val="20"/>
                <w:szCs w:val="20"/>
                <w:color w:val="auto"/>
              </w:rPr>
            </w:pPr>
            <w:r>
              <w:rPr>
                <w:rFonts w:ascii="Arial" w:cs="Arial" w:eastAsia="Arial" w:hAnsi="Arial"/>
                <w:sz w:val="16"/>
                <w:szCs w:val="16"/>
                <w:color w:val="0000FF"/>
              </w:rPr>
              <w:t>Certification pursuant to 18 U.S.C. Section 1350, as adopted pursuant to Section 906 of the Sarbanes-Oxley Act of 2002.</w:t>
            </w:r>
          </w:p>
        </w:tc>
      </w:tr>
      <w:tr>
        <w:trPr>
          <w:trHeight w:val="21"/>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26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980" w:type="dxa"/>
            <w:vAlign w:val="bottom"/>
            <w:tcBorders>
              <w:top w:val="single" w:sz="8" w:color="0000FF"/>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59"/>
        </w:trPr>
        <w:tc>
          <w:tcPr>
            <w:tcW w:w="1260" w:type="dxa"/>
            <w:vAlign w:val="bottom"/>
            <w:tcBorders>
              <w:left w:val="single" w:sz="8" w:color="auto"/>
              <w:right w:val="single" w:sz="8" w:color="auto"/>
            </w:tcBorders>
          </w:tcPr>
          <w:p>
            <w:pPr>
              <w:ind w:left="40"/>
              <w:spacing w:after="0" w:line="159" w:lineRule="exact"/>
              <w:rPr>
                <w:sz w:val="20"/>
                <w:szCs w:val="20"/>
                <w:color w:val="auto"/>
              </w:rPr>
            </w:pPr>
            <w:r>
              <w:rPr>
                <w:rFonts w:ascii="Arial" w:cs="Arial" w:eastAsia="Arial" w:hAnsi="Arial"/>
                <w:sz w:val="16"/>
                <w:szCs w:val="16"/>
                <w:color w:val="auto"/>
              </w:rPr>
              <w:t>101.INS</w:t>
            </w:r>
          </w:p>
        </w:tc>
        <w:tc>
          <w:tcPr>
            <w:tcW w:w="10060" w:type="dxa"/>
            <w:vAlign w:val="bottom"/>
            <w:tcBorders>
              <w:right w:val="single" w:sz="8" w:color="auto"/>
            </w:tcBorders>
            <w:gridSpan w:val="14"/>
          </w:tcPr>
          <w:p>
            <w:pPr>
              <w:spacing w:after="0" w:line="159"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w:t>
            </w:r>
          </w:p>
        </w:tc>
      </w:tr>
      <w:tr>
        <w:trPr>
          <w:trHeight w:val="210"/>
        </w:trPr>
        <w:tc>
          <w:tcPr>
            <w:tcW w:w="1260" w:type="dxa"/>
            <w:vAlign w:val="bottom"/>
            <w:tcBorders>
              <w:left w:val="single" w:sz="8" w:color="auto"/>
              <w:bottom w:val="single" w:sz="8" w:color="auto"/>
              <w:right w:val="single" w:sz="8" w:color="auto"/>
            </w:tcBorders>
          </w:tcPr>
          <w:p>
            <w:pPr>
              <w:spacing w:after="0"/>
              <w:rPr>
                <w:sz w:val="18"/>
                <w:szCs w:val="18"/>
                <w:color w:val="auto"/>
              </w:rPr>
            </w:pPr>
          </w:p>
        </w:tc>
        <w:tc>
          <w:tcPr>
            <w:tcW w:w="1006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6"/>
                <w:szCs w:val="16"/>
                <w:color w:val="auto"/>
              </w:rPr>
              <w:t>within the Inline XBRL document.</w:t>
            </w:r>
          </w:p>
        </w:tc>
      </w:tr>
      <w:tr>
        <w:trPr>
          <w:trHeight w:val="209"/>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101.SCH</w:t>
            </w:r>
          </w:p>
        </w:tc>
        <w:tc>
          <w:tcPr>
            <w:tcW w:w="1006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6"/>
                <w:szCs w:val="16"/>
                <w:color w:val="auto"/>
              </w:rPr>
              <w:t>XBRL Taxonomy Extension Schema.</w:t>
            </w:r>
          </w:p>
        </w:tc>
      </w:tr>
      <w:tr>
        <w:trPr>
          <w:trHeight w:val="209"/>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101.CAL</w:t>
            </w:r>
          </w:p>
        </w:tc>
        <w:tc>
          <w:tcPr>
            <w:tcW w:w="1006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09"/>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101.DEF</w:t>
            </w:r>
          </w:p>
        </w:tc>
        <w:tc>
          <w:tcPr>
            <w:tcW w:w="1006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209"/>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101.LAB</w:t>
            </w:r>
          </w:p>
        </w:tc>
        <w:tc>
          <w:tcPr>
            <w:tcW w:w="1006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6"/>
                <w:szCs w:val="16"/>
                <w:color w:val="auto"/>
              </w:rPr>
              <w:t>XBRL Taxonomy Extension Label Linkbase.</w:t>
            </w:r>
          </w:p>
        </w:tc>
      </w:tr>
      <w:tr>
        <w:trPr>
          <w:trHeight w:val="210"/>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101.PRE</w:t>
            </w:r>
          </w:p>
        </w:tc>
        <w:tc>
          <w:tcPr>
            <w:tcW w:w="1006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209"/>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w:t>
            </w:r>
          </w:p>
        </w:tc>
        <w:tc>
          <w:tcPr>
            <w:tcW w:w="1006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6"/>
                <w:szCs w:val="16"/>
                <w:color w:val="auto"/>
              </w:rPr>
              <w:t>Cover Page Interactive Data File -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40" w:top="93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I, Joseph A. Ferraro, certify that:</w:t>
      </w:r>
    </w:p>
    <w:p>
      <w:pPr>
        <w:spacing w:after="0" w:line="90" w:lineRule="exact"/>
        <w:rPr>
          <w:sz w:val="20"/>
          <w:szCs w:val="20"/>
          <w:color w:val="auto"/>
        </w:rPr>
      </w:pPr>
    </w:p>
    <w:p>
      <w:pPr>
        <w:ind w:left="640" w:hanging="308"/>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03" w:lineRule="exact"/>
        <w:rPr>
          <w:rFonts w:ascii="Arial" w:cs="Arial" w:eastAsia="Arial" w:hAnsi="Arial"/>
          <w:sz w:val="18"/>
          <w:szCs w:val="18"/>
          <w:color w:val="auto"/>
        </w:rPr>
      </w:pPr>
    </w:p>
    <w:p>
      <w:pPr>
        <w:ind w:left="660" w:right="80" w:hanging="328"/>
        <w:spacing w:after="0" w:line="263"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328"/>
        <w:spacing w:after="0" w:line="263"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ind w:left="660" w:right="140" w:hanging="328"/>
        <w:spacing w:after="0" w:line="263"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hanging="320"/>
        <w:spacing w:after="0" w:line="263" w:lineRule="auto"/>
        <w:tabs>
          <w:tab w:leader="none" w:pos="1298"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320"/>
        <w:spacing w:after="0" w:line="285" w:lineRule="auto"/>
        <w:tabs>
          <w:tab w:leader="none" w:pos="1298"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7"/>
          <w:szCs w:val="17"/>
          <w:color w:val="auto"/>
        </w:rPr>
      </w:pPr>
    </w:p>
    <w:p>
      <w:pPr>
        <w:ind w:left="1300" w:right="300" w:hanging="320"/>
        <w:spacing w:after="0" w:line="263" w:lineRule="auto"/>
        <w:tabs>
          <w:tab w:leader="none" w:pos="1288"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320"/>
        <w:spacing w:after="0" w:line="263" w:lineRule="auto"/>
        <w:tabs>
          <w:tab w:leader="none" w:pos="1298"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328"/>
        <w:spacing w:after="0" w:line="263"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Arial" w:cs="Arial" w:eastAsia="Arial" w:hAnsi="Arial"/>
          <w:sz w:val="18"/>
          <w:szCs w:val="18"/>
          <w:color w:val="auto"/>
        </w:rPr>
      </w:pPr>
    </w:p>
    <w:p>
      <w:pPr>
        <w:jc w:val="both"/>
        <w:ind w:left="1300" w:right="440" w:hanging="320"/>
        <w:spacing w:after="0" w:line="263" w:lineRule="auto"/>
        <w:tabs>
          <w:tab w:leader="none" w:pos="1298"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320"/>
        <w:spacing w:after="0" w:line="275" w:lineRule="auto"/>
        <w:tabs>
          <w:tab w:leader="none" w:pos="1298"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2023</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Joseph A.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13970</wp:posOffset>
            </wp:positionV>
            <wp:extent cx="28632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6"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I, Brian Choi, certify that:</w:t>
      </w:r>
    </w:p>
    <w:p>
      <w:pPr>
        <w:spacing w:after="0" w:line="171" w:lineRule="exact"/>
        <w:rPr>
          <w:sz w:val="20"/>
          <w:szCs w:val="20"/>
          <w:color w:val="auto"/>
        </w:rPr>
      </w:pPr>
    </w:p>
    <w:p>
      <w:pPr>
        <w:ind w:left="640" w:hanging="308"/>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80" w:hanging="328"/>
        <w:spacing w:after="0" w:line="263" w:lineRule="auto"/>
        <w:tabs>
          <w:tab w:leader="none" w:pos="6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140" w:hanging="328"/>
        <w:spacing w:after="0" w:line="263" w:lineRule="auto"/>
        <w:tabs>
          <w:tab w:leader="none" w:pos="6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660" w:right="140" w:hanging="328"/>
        <w:spacing w:after="0" w:line="263" w:lineRule="auto"/>
        <w:tabs>
          <w:tab w:leader="none" w:pos="6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hanging="320"/>
        <w:spacing w:after="0" w:line="263" w:lineRule="auto"/>
        <w:tabs>
          <w:tab w:leader="none" w:pos="129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540" w:hanging="320"/>
        <w:spacing w:after="0" w:line="285" w:lineRule="auto"/>
        <w:tabs>
          <w:tab w:leader="none" w:pos="1298"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7"/>
          <w:szCs w:val="17"/>
          <w:color w:val="auto"/>
        </w:rPr>
      </w:pPr>
    </w:p>
    <w:p>
      <w:pPr>
        <w:ind w:left="1300" w:right="300" w:hanging="320"/>
        <w:spacing w:after="0" w:line="263" w:lineRule="auto"/>
        <w:tabs>
          <w:tab w:leader="none" w:pos="1288"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300" w:right="60" w:hanging="320"/>
        <w:spacing w:after="0" w:line="263" w:lineRule="auto"/>
        <w:tabs>
          <w:tab w:leader="none" w:pos="129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360" w:hanging="328"/>
        <w:spacing w:after="0" w:line="263" w:lineRule="auto"/>
        <w:tabs>
          <w:tab w:leader="none" w:pos="6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300" w:right="440" w:hanging="320"/>
        <w:spacing w:after="0" w:line="263" w:lineRule="auto"/>
        <w:tabs>
          <w:tab w:leader="none" w:pos="129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300" w:right="780" w:hanging="320"/>
        <w:spacing w:after="0" w:line="275" w:lineRule="auto"/>
        <w:tabs>
          <w:tab w:leader="none" w:pos="129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2023</w:t>
      </w:r>
    </w:p>
    <w:p>
      <w:pPr>
        <w:spacing w:after="0" w:line="266" w:lineRule="exact"/>
        <w:rPr>
          <w:sz w:val="20"/>
          <w:szCs w:val="20"/>
          <w:color w:val="auto"/>
        </w:rPr>
      </w:pPr>
    </w:p>
    <w:p>
      <w:pPr>
        <w:jc w:val="center"/>
        <w:ind w:right="-19"/>
        <w:spacing w:after="0"/>
        <w:tabs>
          <w:tab w:leader="none" w:pos="1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Brian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13970</wp:posOffset>
            </wp:positionV>
            <wp:extent cx="41662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6"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9"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September 30, 2023, as filed with the Securities and Exchange Commission on the date hereof (the “Report”), Joseph A. Ferraro, as Chief Executive Officer of the Company, and Brian Choi, as Chief Financial Officer of the Company, each hereby certifies, pursuant to 18 U.S.C. Section 1350, as adopted pursuant to Section 906 of the Sarbanes-Oxley Act of 2002, that, to the best of his knowledge:</w:t>
      </w:r>
    </w:p>
    <w:p>
      <w:pPr>
        <w:spacing w:after="0" w:line="136" w:lineRule="exact"/>
        <w:rPr>
          <w:sz w:val="20"/>
          <w:szCs w:val="20"/>
          <w:color w:val="auto"/>
        </w:rPr>
      </w:pPr>
    </w:p>
    <w:p>
      <w:pPr>
        <w:ind w:left="640" w:hanging="308"/>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75" w:lineRule="auto"/>
        <w:tabs>
          <w:tab w:leader="none" w:pos="65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JOSEPH A. FERRARO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Joseph A. Ferraro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2, 2023</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BRIAN CHOI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Choi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2, 2023</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lowerLetter"/>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lowerLetter"/>
      <w:start w:val="1"/>
    </w:lvl>
  </w:abstractNum>
  <w:abstractNum w:abstractNumId="6">
    <w:nsid w:val="2CA88611"/>
    <w:multiLevelType w:val="hybridMultilevel"/>
    <w:lvl w:ilvl="0">
      <w:lvlJc w:val="left"/>
      <w:lvlText w:val="%1."/>
      <w:numFmt w:val="decimal"/>
      <w:start w:val="2"/>
    </w:lvl>
  </w:abstractNum>
  <w:abstractNum w:abstractNumId="7">
    <w:nsid w:val="836C40E"/>
    <w:multiLevelType w:val="hybridMultilevel"/>
    <w:lvl w:ilvl="0">
      <w:lvlJc w:val="left"/>
      <w:lvlText w:val="(%1)"/>
      <w:numFmt w:val="lowerLetter"/>
      <w:start w:val="1"/>
    </w:lvl>
  </w:abstractNum>
  <w:abstractNum w:abstractNumId="8">
    <w:nsid w:val="2901D82"/>
    <w:multiLevelType w:val="hybridMultilevel"/>
    <w:lvl w:ilvl="0">
      <w:lvlJc w:val="left"/>
      <w:lvlText w:val="(%1)"/>
      <w:numFmt w:val="lowerLetter"/>
      <w:start w:val="1"/>
    </w:lvl>
  </w:abstractNum>
  <w:abstractNum w:abstractNumId="9">
    <w:nsid w:val="3A95F874"/>
    <w:multiLevelType w:val="hybridMultilevel"/>
    <w:lvl w:ilvl="0">
      <w:lvlJc w:val="left"/>
      <w:lvlText w:val="%1."/>
      <w:numFmt w:val="decimal"/>
      <w:start w:val="3"/>
    </w:lvl>
  </w:abstractNum>
  <w:abstractNum w:abstractNumId="10">
    <w:nsid w:val="8138641"/>
    <w:multiLevelType w:val="hybridMultilevel"/>
    <w:lvl w:ilvl="0">
      <w:lvlJc w:val="left"/>
      <w:lvlText w:val="%1."/>
      <w:numFmt w:val="decimal"/>
      <w:start w:val="4"/>
    </w:lvl>
  </w:abstractNum>
  <w:abstractNum w:abstractNumId="11">
    <w:nsid w:val="1E7FF521"/>
    <w:multiLevelType w:val="hybridMultilevel"/>
    <w:lvl w:ilvl="0">
      <w:lvlJc w:val="left"/>
      <w:lvlText w:val="(%1)"/>
      <w:numFmt w:val="lowerLetter"/>
      <w:start w:val="1"/>
    </w:lvl>
  </w:abstractNum>
  <w:abstractNum w:abstractNumId="12">
    <w:nsid w:val="7C3DBD3D"/>
    <w:multiLevelType w:val="hybridMultilevel"/>
    <w:lvl w:ilvl="0">
      <w:lvlJc w:val="left"/>
      <w:lvlText w:val="%1."/>
      <w:numFmt w:val="decimal"/>
      <w:start w:val="6"/>
    </w:lvl>
  </w:abstractNum>
  <w:abstractNum w:abstractNumId="13">
    <w:nsid w:val="737B8DDC"/>
    <w:multiLevelType w:val="hybridMultilevel"/>
    <w:lvl w:ilvl="0">
      <w:lvlJc w:val="left"/>
      <w:lvlText w:val="%1."/>
      <w:numFmt w:val="decimal"/>
      <w:start w:val="8"/>
    </w:lvl>
  </w:abstractNum>
  <w:abstractNum w:abstractNumId="14">
    <w:nsid w:val="6CEAF087"/>
    <w:multiLevelType w:val="hybridMultilevel"/>
    <w:lvl w:ilvl="0">
      <w:lvlJc w:val="left"/>
      <w:lvlText w:val="(%1)"/>
      <w:numFmt w:val="lowerLetter"/>
      <w:start w:val="1"/>
    </w:lvl>
  </w:abstractNum>
  <w:abstractNum w:abstractNumId="15">
    <w:nsid w:val="22221A70"/>
    <w:multiLevelType w:val="hybridMultilevel"/>
    <w:lvl w:ilvl="0">
      <w:lvlJc w:val="left"/>
      <w:lvlText w:val="%1."/>
      <w:numFmt w:val="decimal"/>
      <w:start w:val="9"/>
    </w:lvl>
  </w:abstractNum>
  <w:abstractNum w:abstractNumId="16">
    <w:nsid w:val="4516DDE9"/>
    <w:multiLevelType w:val="hybridMultilevel"/>
    <w:lvl w:ilvl="0">
      <w:lvlJc w:val="left"/>
      <w:lvlText w:val="%1."/>
      <w:numFmt w:val="decimal"/>
      <w:start w:val="11"/>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1)"/>
      <w:numFmt w:val="lowerLetter"/>
      <w:start w:val="1"/>
    </w:lvl>
  </w:abstractNum>
  <w:abstractNum w:abstractNumId="19">
    <w:nsid w:val="419AC241"/>
    <w:multiLevelType w:val="hybridMultilevel"/>
    <w:lvl w:ilvl="0">
      <w:lvlJc w:val="left"/>
      <w:lvlText w:val="%1."/>
      <w:numFmt w:val="decimal"/>
      <w:start w:val="12"/>
    </w:lvl>
  </w:abstractNum>
  <w:abstractNum w:abstractNumId="20">
    <w:nsid w:val="5577F8E1"/>
    <w:multiLevelType w:val="hybridMultilevel"/>
    <w:lvl w:ilvl="0">
      <w:lvlJc w:val="left"/>
      <w:lvlText w:val="(%1)"/>
      <w:numFmt w:val="lowerLetter"/>
      <w:start w:val="1"/>
    </w:lvl>
  </w:abstractNum>
  <w:abstractNum w:abstractNumId="21">
    <w:nsid w:val="440BADFC"/>
    <w:multiLevelType w:val="hybridMultilevel"/>
    <w:lvl w:ilvl="0">
      <w:lvlJc w:val="left"/>
      <w:lvlText w:val="(%1)"/>
      <w:numFmt w:val="lowerLetter"/>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1)"/>
      <w:numFmt w:val="lowerLetter"/>
      <w:start w:val="1"/>
    </w:lvl>
  </w:abstractNum>
  <w:abstractNum w:abstractNumId="25">
    <w:nsid w:val="7724C67E"/>
    <w:multiLevelType w:val="hybridMultilevel"/>
    <w:lvl w:ilvl="0">
      <w:lvlJc w:val="left"/>
      <w:lvlText w:val="%1."/>
      <w:numFmt w:val="decimal"/>
      <w:start w:val="13"/>
    </w:lvl>
  </w:abstractNum>
  <w:abstractNum w:abstractNumId="26">
    <w:nsid w:val="5C482A97"/>
    <w:multiLevelType w:val="hybridMultilevel"/>
    <w:lvl w:ilvl="0">
      <w:lvlJc w:val="left"/>
      <w:lvlText w:val="%1."/>
      <w:numFmt w:val="decimal"/>
      <w:start w:val="14"/>
    </w:lvl>
  </w:abstractNum>
  <w:abstractNum w:abstractNumId="27">
    <w:nsid w:val="2463B9EA"/>
    <w:multiLevelType w:val="hybridMultilevel"/>
    <w:lvl w:ilvl="0">
      <w:lvlJc w:val="left"/>
      <w:lvlText w:val="%1"/>
      <w:numFmt w:val="decimal"/>
      <w:start w:val="1"/>
    </w:lvl>
    <w:lvl w:ilvl="1">
      <w:lvlJc w:val="left"/>
      <w:lvlText w:val="(%2)"/>
      <w:numFmt w:val="lowerLetter"/>
      <w:start w:val="1"/>
    </w:lvl>
  </w:abstractNum>
  <w:abstractNum w:abstractNumId="28">
    <w:nsid w:val="5E884ADC"/>
    <w:multiLevelType w:val="hybridMultilevel"/>
    <w:lvl w:ilvl="0">
      <w:lvlJc w:val="left"/>
      <w:lvlText w:val="%1."/>
      <w:numFmt w:val="decimal"/>
      <w:start w:val="15"/>
    </w:lvl>
    <w:lvl w:ilvl="1">
      <w:lvlJc w:val="left"/>
      <w:lvlText w:val="%2"/>
      <w:numFmt w:val="lowerLetter"/>
      <w:start w:val="1"/>
    </w:lvl>
  </w:abstractNum>
  <w:abstractNum w:abstractNumId="29">
    <w:nsid w:val="51EAD36B"/>
    <w:multiLevelType w:val="hybridMultilevel"/>
    <w:lvl w:ilvl="0">
      <w:lvlJc w:val="left"/>
      <w:lvlText w:val="%1."/>
      <w:numFmt w:val="decimal"/>
      <w:start w:val="16"/>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1"/>
      <w:numFmt w:val="decimal"/>
      <w:start w:val="1"/>
    </w:lvl>
    <w:lvl w:ilvl="1">
      <w:lvlJc w:val="left"/>
      <w:lvlText w:val="(%2)"/>
      <w:numFmt w:val="lowerLetter"/>
      <w:start w:val="2"/>
    </w:lvl>
  </w:abstractNum>
  <w:abstractNum w:abstractNumId="32">
    <w:nsid w:val="153EA438"/>
    <w:multiLevelType w:val="hybridMultilevel"/>
    <w:lvl w:ilvl="0">
      <w:lvlJc w:val="left"/>
      <w:lvlText w:val="%1."/>
      <w:numFmt w:val="decimal"/>
      <w:start w:val="17"/>
    </w:lvl>
    <w:lvl w:ilvl="1">
      <w:lvlJc w:val="left"/>
      <w:lvlText w:val="%2"/>
      <w:numFmt w:val="lowerLetter"/>
      <w:start w:val="1"/>
    </w:lvl>
  </w:abstractNum>
  <w:abstractNum w:abstractNumId="33">
    <w:nsid w:val="3855585C"/>
    <w:multiLevelType w:val="hybridMultilevel"/>
    <w:lvl w:ilvl="0">
      <w:lvlJc w:val="left"/>
      <w:lvlText w:val="(%1)"/>
      <w:numFmt w:val="lowerLetter"/>
      <w:start w:val="1"/>
    </w:lvl>
  </w:abstractNum>
  <w:abstractNum w:abstractNumId="34">
    <w:nsid w:val="70A64E2A"/>
    <w:multiLevelType w:val="hybridMultilevel"/>
    <w:lvl w:ilvl="0">
      <w:lvlJc w:val="left"/>
      <w:lvlText w:val="(%1)"/>
      <w:numFmt w:val="lowerLetter"/>
      <w:start w:val="1"/>
    </w:lvl>
  </w:abstractNum>
  <w:abstractNum w:abstractNumId="35">
    <w:nsid w:val="6A2342EC"/>
    <w:multiLevelType w:val="hybridMultilevel"/>
    <w:lvl w:ilvl="0">
      <w:lvlJc w:val="left"/>
      <w:lvlText w:val="(%1)"/>
      <w:numFmt w:val="lowerLetter"/>
      <w:start w:val="1"/>
    </w:lvl>
  </w:abstractNum>
  <w:abstractNum w:abstractNumId="36">
    <w:nsid w:val="2A487CB0"/>
    <w:multiLevelType w:val="hybridMultilevel"/>
    <w:lvl w:ilvl="0">
      <w:lvlJc w:val="left"/>
      <w:lvlText w:val="%1"/>
      <w:numFmt w:val="decimal"/>
      <w:start w:val="1"/>
    </w:lvl>
    <w:lvl w:ilvl="1">
      <w:lvlJc w:val="left"/>
      <w:lvlText w:val="(%2)"/>
      <w:numFmt w:val="lowerLetter"/>
      <w:start w:val="1"/>
    </w:lvl>
  </w:abstractNum>
  <w:abstractNum w:abstractNumId="37">
    <w:nsid w:val="1D4ED43B"/>
    <w:multiLevelType w:val="hybridMultilevel"/>
    <w:lvl w:ilvl="0">
      <w:lvlJc w:val="left"/>
      <w:lvlText w:val="%1."/>
      <w:numFmt w:val="decimal"/>
      <w:start w:val="18"/>
    </w:lvl>
    <w:lvl w:ilvl="1">
      <w:lvlJc w:val="left"/>
      <w:lvlText w:val="%2"/>
      <w:numFmt w:val="lowerLetter"/>
      <w:start w:val="1"/>
    </w:lvl>
  </w:abstractNum>
  <w:abstractNum w:abstractNumId="38">
    <w:nsid w:val="725A06FB"/>
    <w:multiLevelType w:val="hybridMultilevel"/>
    <w:lvl w:ilvl="0">
      <w:lvlJc w:val="left"/>
      <w:lvlText w:val="(%1)"/>
      <w:numFmt w:val="lowerLetter"/>
      <w:start w:val="1"/>
    </w:lvl>
  </w:abstractNum>
  <w:abstractNum w:abstractNumId="39">
    <w:nsid w:val="2CD89A32"/>
    <w:multiLevelType w:val="hybridMultilevel"/>
    <w:lvl w:ilvl="0">
      <w:lvlJc w:val="left"/>
      <w:lvlText w:val="(%1)"/>
      <w:numFmt w:val="lowerLetter"/>
      <w:start w:val="1"/>
    </w:lvl>
  </w:abstractNum>
  <w:abstractNum w:abstractNumId="40">
    <w:nsid w:val="57E4CCAF"/>
    <w:multiLevelType w:val="hybridMultilevel"/>
    <w:lvl w:ilvl="0">
      <w:lvlJc w:val="left"/>
      <w:lvlText w:val="%1."/>
      <w:numFmt w:val="decimal"/>
      <w:start w:val="19"/>
    </w:lvl>
    <w:lvl w:ilvl="1">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lowerLetter"/>
      <w:start w:val="1"/>
    </w:lvl>
  </w:abstractNum>
  <w:abstractNum w:abstractNumId="44">
    <w:nsid w:val="6DE91B18"/>
    <w:multiLevelType w:val="hybridMultilevel"/>
    <w:lvl w:ilvl="0">
      <w:lvlJc w:val="left"/>
      <w:lvlText w:val="(%1)"/>
      <w:numFmt w:val="lowerLetter"/>
      <w:start w:val="1"/>
    </w:lvl>
  </w:abstractNum>
  <w:abstractNum w:abstractNumId="45">
    <w:nsid w:val="38437FDB"/>
    <w:multiLevelType w:val="hybridMultilevel"/>
    <w:lvl w:ilvl="0">
      <w:lvlJc w:val="left"/>
      <w:lvlText w:val="(%1)"/>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1" Type="http://schemas.openxmlformats.org/officeDocument/2006/relationships/hyperlink" Target="http://www.sec.gov/Archives/edgar/data/723612/000072361206000058/articles.htm" TargetMode="External"/><Relationship Id="rId62" Type="http://schemas.openxmlformats.org/officeDocument/2006/relationships/hyperlink" Target="http://www.sec.gov/Archives/edgar/data/723612/000119312520218349/d84038dex32.htm" TargetMode="External"/><Relationship Id="rId63" Type="http://schemas.openxmlformats.org/officeDocument/2006/relationships/hyperlink" Target="http://www.sec.gov/Archives/edgar/data/723612/000119312523187288/d519763dex41.htm" TargetMode="External"/><Relationship Id="rId64" Type="http://schemas.openxmlformats.org/officeDocument/2006/relationships/hyperlink" Target="http://www.sec.gov/Archives/edgar/data/723612/000095014223002455/eh230400939_ex1001.htm" TargetMode="External"/><Relationship Id="rId65" Type="http://schemas.openxmlformats.org/officeDocument/2006/relationships/hyperlink" Target="http://www.sec.gov/Archives/edgar/data/723612/000095014223002455/eh230400939_ex10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2023-11-02T08:36:00Z</dcterms:created>
  <dcterms:modified xsi:type="dcterms:W3CDTF">2023-11-02T08:36:00Z</dcterms:modified>
</cp:coreProperties>
</file>